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31AFB65C" w:rsidR="00B40422" w:rsidRPr="00B422F6" w:rsidRDefault="00EE17E2" w:rsidP="0024182A">
            <w:pPr>
              <w:jc w:val="center"/>
              <w:rPr>
                <w:b/>
                <w:kern w:val="2"/>
                <w:szCs w:val="24"/>
              </w:rPr>
            </w:pPr>
            <w:r w:rsidRPr="00B422F6">
              <w:rPr>
                <w:b/>
                <w:kern w:val="2"/>
                <w:szCs w:val="24"/>
              </w:rPr>
              <w:t>„</w:t>
            </w:r>
            <w:r w:rsidR="003C6BCC">
              <w:rPr>
                <w:b/>
                <w:kern w:val="2"/>
                <w:szCs w:val="24"/>
              </w:rPr>
              <w:t>AUTOMATIZUOTA OTORINOLARINGOLOGO DARBO VIETA SU MIKROSKOPU</w:t>
            </w:r>
            <w:r w:rsidR="008804B9" w:rsidRPr="008804B9">
              <w:rPr>
                <w:b/>
                <w:kern w:val="2"/>
                <w:szCs w:val="24"/>
              </w:rPr>
              <w:t xml:space="preserve"> (Nr. </w:t>
            </w:r>
            <w:r w:rsidR="002B2CCE" w:rsidRPr="002B2CCE">
              <w:rPr>
                <w:b/>
                <w:kern w:val="2"/>
                <w:szCs w:val="24"/>
              </w:rPr>
              <w:t>10</w:t>
            </w:r>
            <w:r w:rsidR="003C6BCC">
              <w:rPr>
                <w:b/>
                <w:kern w:val="2"/>
                <w:szCs w:val="24"/>
              </w:rPr>
              <w:t>139</w:t>
            </w:r>
            <w:r w:rsidR="002B2CCE" w:rsidRPr="002B2CCE">
              <w:rPr>
                <w:b/>
                <w:kern w:val="2"/>
                <w:szCs w:val="24"/>
              </w:rPr>
              <w:t>-1</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291E2779" w:rsidR="00B40422" w:rsidRPr="00B422F6" w:rsidRDefault="00926C90"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5A67501" w14:textId="32C79AF2" w:rsidR="008804B9" w:rsidRPr="008804B9" w:rsidRDefault="008804B9" w:rsidP="008804B9">
            <w:pPr>
              <w:pStyle w:val="Body2"/>
              <w:rPr>
                <w:rFonts w:cs="Times New Roman"/>
                <w:color w:val="auto"/>
                <w:sz w:val="24"/>
                <w:szCs w:val="24"/>
                <w:lang w:val="lt-LT"/>
              </w:rPr>
            </w:pPr>
            <w:r w:rsidRPr="008804B9">
              <w:rPr>
                <w:rFonts w:cs="Times New Roman"/>
                <w:color w:val="auto"/>
                <w:sz w:val="24"/>
                <w:szCs w:val="24"/>
                <w:lang w:val="lt-LT"/>
              </w:rPr>
              <w:t>Tiekėjas įsipareigoja Sutartyje numatytomis sąlygomis perduoti Pirkėjui Sutarties priede Nr. 1 „Techninė specifikacija ir pasiūlymo kaina“ nurodytas prekes (toliau – Prekės), jas pristatyti, įnešti, surinkti/sumontuoti,</w:t>
            </w:r>
            <w:r w:rsidR="00B72052" w:rsidRPr="00B72052">
              <w:rPr>
                <w:lang w:val="lt-LT"/>
              </w:rPr>
              <w:t xml:space="preserve"> </w:t>
            </w:r>
            <w:r w:rsidR="00B72052" w:rsidRPr="00B72052">
              <w:rPr>
                <w:rFonts w:cs="Times New Roman"/>
                <w:color w:val="auto"/>
                <w:sz w:val="24"/>
                <w:szCs w:val="24"/>
                <w:lang w:val="lt-LT"/>
              </w:rPr>
              <w:t>pajungti</w:t>
            </w:r>
            <w:r w:rsidR="00B72052">
              <w:rPr>
                <w:rFonts w:cs="Times New Roman"/>
                <w:color w:val="auto"/>
                <w:sz w:val="24"/>
                <w:szCs w:val="24"/>
                <w:lang w:val="lt-LT"/>
              </w:rPr>
              <w:t>,</w:t>
            </w:r>
            <w:r w:rsidRPr="008804B9">
              <w:rPr>
                <w:rFonts w:cs="Times New Roman"/>
                <w:color w:val="auto"/>
                <w:sz w:val="24"/>
                <w:szCs w:val="24"/>
                <w:lang w:val="lt-LT"/>
              </w:rPr>
              <w:t xml:space="preserve"> suderinti, paruošti darbui, išbandyti, </w:t>
            </w:r>
            <w:r w:rsidRPr="008804B9">
              <w:rPr>
                <w:rFonts w:cs="Times New Roman"/>
                <w:color w:val="auto"/>
                <w:sz w:val="24"/>
                <w:szCs w:val="24"/>
                <w:lang w:val="lt-LT"/>
              </w:rPr>
              <w:lastRenderedPageBreak/>
              <w:t>pateikti 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46B2DEBA" w14:textId="6DE37849" w:rsidR="00AA2914" w:rsidRPr="002E57F5" w:rsidRDefault="008804B9" w:rsidP="008804B9">
            <w:pPr>
              <w:pStyle w:val="Body2"/>
              <w:rPr>
                <w:rFonts w:cs="Times New Roman"/>
                <w:kern w:val="2"/>
                <w:sz w:val="24"/>
                <w:szCs w:val="24"/>
                <w:lang w:val="lt-LT"/>
              </w:rPr>
            </w:pPr>
            <w:r w:rsidRPr="008804B9">
              <w:rPr>
                <w:rFonts w:cs="Times New Roman"/>
                <w:color w:val="auto"/>
                <w:sz w:val="24"/>
                <w:szCs w:val="24"/>
                <w:lang w:val="lt-LT"/>
              </w:rPr>
              <w:t>Išsamus Prekių ir su Prekėmis susijusių paslaugų aprašymas ir kiti reikalavimai tiekiamoms Prekėms nustatyti Techninėje specifikacijoje Sutarties priede Nr. 1 „Techninė specifikacija ir pasiūlymo kaina</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6CEA589D" w:rsidR="00B40422" w:rsidRPr="000A0E07" w:rsidRDefault="000A0E07" w:rsidP="00257967">
            <w:pPr>
              <w:rPr>
                <w:kern w:val="2"/>
                <w:szCs w:val="24"/>
              </w:rPr>
            </w:pPr>
            <w:r w:rsidRPr="000A0E07">
              <w:rPr>
                <w:kern w:val="2"/>
                <w:szCs w:val="24"/>
              </w:rPr>
              <w:t>CVP IS N</w:t>
            </w:r>
            <w:r w:rsidR="00F13AE7">
              <w:rPr>
                <w:kern w:val="2"/>
                <w:szCs w:val="24"/>
              </w:rPr>
              <w:t>r</w:t>
            </w:r>
            <w:r w:rsidRPr="000A0E07">
              <w:rPr>
                <w:kern w:val="2"/>
                <w:szCs w:val="24"/>
              </w:rPr>
              <w:t xml:space="preserve">. </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74E55D2B" w:rsidR="00B40422" w:rsidRPr="00B422F6" w:rsidRDefault="008804B9" w:rsidP="00B24A9C">
            <w:pPr>
              <w:rPr>
                <w:kern w:val="2"/>
                <w:szCs w:val="24"/>
              </w:rPr>
            </w:pPr>
            <w:r w:rsidRPr="008804B9">
              <w:rPr>
                <w:kern w:val="2"/>
                <w:szCs w:val="24"/>
              </w:rPr>
              <w:t>Pirkimas vykdomas pagal projektą „</w:t>
            </w:r>
            <w:r w:rsidRPr="00C44750">
              <w:rPr>
                <w:b/>
                <w:bCs/>
                <w:kern w:val="2"/>
                <w:szCs w:val="24"/>
              </w:rPr>
              <w:t>Skubios pagalbos skyriaus ir reanimacijos ir intensyvios terapijos skyriaus infrastruktūros modernizavimas“ (projekto kodas 09-008-P-0007).</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4FF62E00" w:rsidR="00B40422" w:rsidRPr="00B422F6"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tc>
        <w:tc>
          <w:tcPr>
            <w:tcW w:w="6831" w:type="dxa"/>
            <w:gridSpan w:val="3"/>
          </w:tcPr>
          <w:p w14:paraId="01ECD09B" w14:textId="4421561B" w:rsidR="00B40422" w:rsidRPr="00B422F6" w:rsidRDefault="008804B9" w:rsidP="00D4489C">
            <w:pPr>
              <w:jc w:val="both"/>
              <w:rPr>
                <w:strike/>
                <w:szCs w:val="24"/>
              </w:rPr>
            </w:pPr>
            <w:r w:rsidRPr="008804B9">
              <w:rPr>
                <w:kern w:val="2"/>
                <w:szCs w:val="24"/>
              </w:rPr>
              <w:t xml:space="preserve">Tiekėjas įsipareigoja Prekes pristatyti ir suteikti su Prekėmis susijusias paslaugas, </w:t>
            </w:r>
            <w:r w:rsidR="00620214">
              <w:rPr>
                <w:kern w:val="2"/>
                <w:szCs w:val="24"/>
              </w:rPr>
              <w:t xml:space="preserve">nurodytas Sutarties Specialiųjų sąlygų 3.1 punkte, </w:t>
            </w:r>
            <w:r w:rsidRPr="008804B9">
              <w:rPr>
                <w:kern w:val="2"/>
                <w:szCs w:val="24"/>
              </w:rPr>
              <w:t xml:space="preserve"> ne vėliau kaip per </w:t>
            </w:r>
            <w:r>
              <w:rPr>
                <w:kern w:val="2"/>
                <w:szCs w:val="24"/>
              </w:rPr>
              <w:t>4</w:t>
            </w:r>
            <w:r w:rsidRPr="008804B9">
              <w:rPr>
                <w:kern w:val="2"/>
                <w:szCs w:val="24"/>
              </w:rPr>
              <w:t xml:space="preserve"> mėnesius nuo Sutarties įsigaliojimo dienos šiuo adresu: Šiltnamių g. 29, Vilnius.</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17AF3D12" w:rsidR="00B40422" w:rsidRPr="00B422F6" w:rsidRDefault="008804B9" w:rsidP="004F1935">
            <w:pPr>
              <w:pStyle w:val="Body2"/>
              <w:rPr>
                <w:rFonts w:cs="Times New Roman"/>
                <w:strike/>
                <w:color w:val="auto"/>
                <w:kern w:val="2"/>
                <w:sz w:val="24"/>
                <w:szCs w:val="24"/>
                <w:lang w:val="lt-LT"/>
              </w:rPr>
            </w:pPr>
            <w:r>
              <w:rPr>
                <w:rFonts w:cs="Times New Roman"/>
                <w:noProof/>
                <w:color w:val="auto"/>
                <w:sz w:val="24"/>
                <w:szCs w:val="24"/>
                <w:lang w:val="lt-LT"/>
              </w:rPr>
              <w:t>Netaikoma</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4DF1182F" w:rsidR="00103E79" w:rsidRPr="00B422F6" w:rsidRDefault="00B40422" w:rsidP="00103E79">
            <w:pPr>
              <w:jc w:val="both"/>
              <w:rPr>
                <w:kern w:val="2"/>
                <w:szCs w:val="24"/>
              </w:rPr>
            </w:pPr>
            <w:r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4EE40A94" w14:textId="35399CC4" w:rsidR="00050033" w:rsidRDefault="00050033" w:rsidP="004C7783">
            <w:pPr>
              <w:jc w:val="both"/>
              <w:rPr>
                <w:kern w:val="2"/>
                <w:szCs w:val="24"/>
              </w:rPr>
            </w:pPr>
            <w:r>
              <w:rPr>
                <w:kern w:val="2"/>
                <w:szCs w:val="24"/>
              </w:rPr>
              <w:t xml:space="preserve">1. </w:t>
            </w:r>
            <w:r w:rsidR="008804B9" w:rsidRPr="008804B9">
              <w:rPr>
                <w:kern w:val="2"/>
                <w:szCs w:val="24"/>
              </w:rPr>
              <w:t>Prekių naudojimo ir valymo/ dezinfekavimo instrukcijos originalo ir lietuvių kalba</w:t>
            </w:r>
            <w:r>
              <w:rPr>
                <w:kern w:val="2"/>
                <w:szCs w:val="24"/>
              </w:rPr>
              <w:t>.</w:t>
            </w:r>
          </w:p>
          <w:p w14:paraId="67CE3CDE" w14:textId="487DE3AA" w:rsidR="00050033" w:rsidRDefault="00050033" w:rsidP="004C7783">
            <w:pPr>
              <w:jc w:val="both"/>
              <w:rPr>
                <w:kern w:val="2"/>
                <w:szCs w:val="24"/>
              </w:rPr>
            </w:pPr>
            <w:r>
              <w:rPr>
                <w:kern w:val="2"/>
                <w:szCs w:val="24"/>
              </w:rPr>
              <w:t xml:space="preserve">2. Sertifikatas arba lygiaverčiai dokumentai dėl prekės ženklinimo </w:t>
            </w:r>
            <w:r w:rsidRPr="003F541C">
              <w:rPr>
                <w:color w:val="000000"/>
              </w:rPr>
              <w:t>„CE“</w:t>
            </w:r>
            <w:r>
              <w:rPr>
                <w:kern w:val="2"/>
                <w:szCs w:val="24"/>
              </w:rPr>
              <w:t xml:space="preserve"> ir </w:t>
            </w:r>
            <w:r w:rsidRPr="003F541C">
              <w:rPr>
                <w:color w:val="000000"/>
              </w:rPr>
              <w:t>atitik</w:t>
            </w:r>
            <w:r>
              <w:rPr>
                <w:color w:val="000000"/>
              </w:rPr>
              <w:t>imo</w:t>
            </w:r>
            <w:r w:rsidRPr="003F541C">
              <w:rPr>
                <w:color w:val="000000"/>
              </w:rPr>
              <w:t xml:space="preserve"> Europos Parlamento ir Tarybos Reglamento (ES) 2017/745 dėl medicinos priemonių reikalavim</w:t>
            </w:r>
            <w:r>
              <w:rPr>
                <w:color w:val="000000"/>
              </w:rPr>
              <w:t>ams</w:t>
            </w:r>
            <w:r>
              <w:rPr>
                <w:kern w:val="2"/>
                <w:szCs w:val="24"/>
              </w:rPr>
              <w:t>.</w:t>
            </w:r>
          </w:p>
          <w:p w14:paraId="758908FA" w14:textId="6BA768D8" w:rsidR="008804B9" w:rsidRDefault="00050033" w:rsidP="004C7783">
            <w:pPr>
              <w:jc w:val="both"/>
              <w:rPr>
                <w:kern w:val="2"/>
                <w:szCs w:val="24"/>
              </w:rPr>
            </w:pPr>
            <w:r>
              <w:rPr>
                <w:kern w:val="2"/>
                <w:szCs w:val="24"/>
              </w:rPr>
              <w:t xml:space="preserve">3. </w:t>
            </w:r>
            <w:r w:rsidR="008804B9" w:rsidRPr="008804B9">
              <w:rPr>
                <w:kern w:val="2"/>
                <w:szCs w:val="24"/>
              </w:rPr>
              <w:t xml:space="preserve">Prekių perdavimo-priėmimo aktas. </w:t>
            </w:r>
          </w:p>
          <w:p w14:paraId="3717EAC4" w14:textId="7E3FCEEF" w:rsidR="00C950EC" w:rsidRPr="00B422F6" w:rsidRDefault="008804B9" w:rsidP="008804B9">
            <w:pPr>
              <w:jc w:val="both"/>
              <w:rPr>
                <w:kern w:val="2"/>
                <w:szCs w:val="24"/>
              </w:rPr>
            </w:pPr>
            <w:r w:rsidRPr="008804B9">
              <w:rPr>
                <w:kern w:val="2"/>
                <w:szCs w:val="24"/>
              </w:rPr>
              <w:t>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140C4B5F" w:rsidR="00B40422" w:rsidRPr="00B422F6" w:rsidRDefault="00B40422" w:rsidP="00F877F0">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lastRenderedPageBreak/>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16DE4D29" w:rsidR="00176F9D" w:rsidRPr="00B422F6" w:rsidRDefault="00884EEB" w:rsidP="00F435F4">
            <w:pPr>
              <w:jc w:val="both"/>
              <w:rPr>
                <w:color w:val="FF0000"/>
                <w:kern w:val="2"/>
                <w:szCs w:val="24"/>
              </w:rPr>
            </w:pPr>
            <w:r w:rsidRPr="00FB7B73">
              <w:rPr>
                <w:kern w:val="2"/>
                <w:szCs w:val="24"/>
              </w:rPr>
              <w:t xml:space="preserve">Šioje Sutartyje Pradinės Sutarties vertė yra lygi Tiekėjo pasiūlymo kainai be PVM, </w:t>
            </w:r>
            <w:r w:rsidR="008804B9" w:rsidRPr="008804B9">
              <w:rPr>
                <w:kern w:val="2"/>
                <w:szCs w:val="24"/>
              </w:rPr>
              <w:t>nurodytai už visą pirkimo dokumentuose ir Sutartyje nurodytą Prekių kiekį ir (ar) apimtį</w:t>
            </w:r>
            <w:r w:rsidR="00F435F4">
              <w:rPr>
                <w:kern w:val="2"/>
                <w:szCs w:val="24"/>
              </w:rPr>
              <w:t>.</w:t>
            </w:r>
            <w:r w:rsidRPr="001330CC">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58B2DE" w14:textId="60913E53" w:rsidR="00D53BE3" w:rsidRPr="00B422F6" w:rsidRDefault="00B40422" w:rsidP="008804B9">
            <w:pPr>
              <w:rPr>
                <w:color w:val="FF0000"/>
                <w:kern w:val="2"/>
                <w:szCs w:val="24"/>
              </w:rPr>
            </w:pPr>
            <w:r w:rsidRPr="00B422F6">
              <w:rPr>
                <w:kern w:val="2"/>
                <w:szCs w:val="24"/>
              </w:rPr>
              <w:t>5.3.1. dėl PVM tarifo pasikeitimo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tcPr>
          <w:p w14:paraId="5A91E530" w14:textId="1B2316C3" w:rsidR="00B40422" w:rsidRPr="00B422F6" w:rsidRDefault="008804B9"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617232">
        <w:trPr>
          <w:trHeight w:val="1343"/>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336F9C36" w:rsidR="00B40422" w:rsidRPr="00B422F6" w:rsidRDefault="008804B9" w:rsidP="00E74F70">
            <w:pPr>
              <w:jc w:val="both"/>
              <w:rPr>
                <w:kern w:val="2"/>
                <w:szCs w:val="24"/>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04DD120B"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 xml:space="preserve">Šalių pasirašyto prekių </w:t>
            </w:r>
            <w:r w:rsidR="000D72F3" w:rsidRPr="00B422F6">
              <w:rPr>
                <w:kern w:val="2"/>
                <w:szCs w:val="24"/>
                <w:shd w:val="clear" w:color="auto" w:fill="FFFFFF"/>
              </w:rPr>
              <w:lastRenderedPageBreak/>
              <w:t>perdavimo-priėmimo akto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22F09529"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008804B9" w:rsidRPr="008804B9">
              <w:rPr>
                <w:kern w:val="2"/>
                <w:szCs w:val="24"/>
                <w:shd w:val="clear" w:color="auto" w:fill="FFFFFF"/>
              </w:rPr>
              <w:t>įvykdžius visus sutartinius įsipareigojimus, sumokama visa Sutarties kaina</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lastRenderedPageBreak/>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68B4AA5C" w:rsidR="00417F57" w:rsidRPr="002E57F5" w:rsidRDefault="008804B9" w:rsidP="00884EEB">
            <w:pPr>
              <w:pStyle w:val="Body2"/>
              <w:rPr>
                <w:kern w:val="2"/>
                <w:szCs w:val="24"/>
                <w:lang w:val="lt-LT"/>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40DA0EA2" w14:textId="77777777" w:rsidR="008804B9" w:rsidRPr="008804B9" w:rsidRDefault="008804B9" w:rsidP="008804B9">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8804B9" w:rsidRPr="008804B9" w:rsidRDefault="008804B9" w:rsidP="008804B9">
            <w:pPr>
              <w:jc w:val="both"/>
              <w:rPr>
                <w:kern w:val="2"/>
                <w:szCs w:val="24"/>
              </w:rPr>
            </w:pPr>
          </w:p>
          <w:p w14:paraId="544DD1B4" w14:textId="77777777" w:rsidR="008804B9" w:rsidRPr="008804B9" w:rsidRDefault="008804B9" w:rsidP="008804B9">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8804B9" w:rsidRPr="008804B9" w:rsidRDefault="008804B9" w:rsidP="008804B9">
            <w:pPr>
              <w:jc w:val="both"/>
              <w:rPr>
                <w:kern w:val="2"/>
                <w:szCs w:val="24"/>
              </w:rPr>
            </w:pPr>
          </w:p>
          <w:p w14:paraId="77D1EBBF" w14:textId="40132699" w:rsidR="008804B9" w:rsidRPr="008804B9" w:rsidRDefault="008804B9" w:rsidP="008804B9">
            <w:pPr>
              <w:jc w:val="both"/>
              <w:rPr>
                <w:kern w:val="2"/>
                <w:szCs w:val="24"/>
              </w:rPr>
            </w:pPr>
            <w:r w:rsidRPr="008804B9">
              <w:rPr>
                <w:kern w:val="2"/>
                <w:szCs w:val="24"/>
              </w:rPr>
              <w:t>6.2.3. Garantinio laikotarpio metu Tiekėjas privalo nemokamai atlikti patikimą ir sertifikuotą Prekių techninę priežiūrą bei remontą (darbai ir reikalingos detalės, medžiagos ir kt.). Tiekėjas apmoka visas su Prekių technine priežiūra ir garantiniu remontu susijusias išlaidas. Tiekėjas užtikrina, kad Prekių techninė priežiūra, 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ED9F4A0" w14:textId="77777777" w:rsidR="008804B9" w:rsidRPr="008804B9" w:rsidRDefault="008804B9" w:rsidP="008804B9">
            <w:pPr>
              <w:jc w:val="both"/>
              <w:rPr>
                <w:kern w:val="2"/>
                <w:szCs w:val="24"/>
              </w:rPr>
            </w:pPr>
          </w:p>
          <w:p w14:paraId="0A8A9364" w14:textId="044AB414" w:rsidR="008804B9" w:rsidRPr="008804B9" w:rsidRDefault="008804B9" w:rsidP="008804B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01452126" w14:textId="77777777" w:rsidR="008804B9" w:rsidRPr="008804B9" w:rsidRDefault="008804B9" w:rsidP="008804B9">
            <w:pPr>
              <w:jc w:val="both"/>
              <w:rPr>
                <w:kern w:val="2"/>
                <w:szCs w:val="24"/>
              </w:rPr>
            </w:pPr>
          </w:p>
          <w:p w14:paraId="655E3BD7" w14:textId="29A1D881" w:rsidR="0063101E" w:rsidRPr="00B422F6" w:rsidRDefault="008804B9" w:rsidP="008804B9">
            <w:pPr>
              <w:jc w:val="both"/>
              <w:rPr>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lastRenderedPageBreak/>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3EF06F29" w14:textId="7A488D9C" w:rsidR="00B40422" w:rsidRPr="00B422F6" w:rsidRDefault="00B40422" w:rsidP="008804B9">
            <w:pPr>
              <w:jc w:val="both"/>
              <w:rPr>
                <w:b/>
                <w:bCs/>
                <w:kern w:val="2"/>
                <w:szCs w:val="24"/>
              </w:rPr>
            </w:pPr>
            <w:r w:rsidRPr="00B422F6">
              <w:rPr>
                <w:kern w:val="2"/>
                <w:szCs w:val="24"/>
              </w:rPr>
              <w:t>9.2.</w:t>
            </w:r>
            <w:r w:rsidR="008804B9">
              <w:rPr>
                <w:kern w:val="2"/>
                <w:szCs w:val="24"/>
              </w:rPr>
              <w:t>2</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CB2EEE">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shd w:val="clear" w:color="auto" w:fill="auto"/>
          </w:tcPr>
          <w:p w14:paraId="0B05BC09" w14:textId="77777777" w:rsidR="00B40422" w:rsidRDefault="00802705" w:rsidP="00EB62B0">
            <w:pPr>
              <w:jc w:val="both"/>
              <w:rPr>
                <w:kern w:val="2"/>
                <w:szCs w:val="24"/>
              </w:rPr>
            </w:pPr>
            <w:r>
              <w:rPr>
                <w:kern w:val="2"/>
                <w:szCs w:val="24"/>
              </w:rPr>
              <w:t xml:space="preserve">9.3.1. </w:t>
            </w:r>
            <w:r w:rsidR="00B40422" w:rsidRPr="00CB2EEE">
              <w:rPr>
                <w:kern w:val="2"/>
                <w:szCs w:val="24"/>
              </w:rPr>
              <w:t xml:space="preserve">Nutraukus Sutartį dėl esminio Sutarties pažeidimo, nustatyto Sutarties Specialiosiose sąlygose, mokama </w:t>
            </w:r>
            <w:r w:rsidR="00D65156" w:rsidRPr="00CB2EEE">
              <w:rPr>
                <w:kern w:val="2"/>
                <w:szCs w:val="24"/>
              </w:rPr>
              <w:t>15</w:t>
            </w:r>
            <w:r w:rsidR="004146D0" w:rsidRPr="00CB2EEE">
              <w:rPr>
                <w:kern w:val="2"/>
                <w:szCs w:val="24"/>
              </w:rPr>
              <w:t xml:space="preserve"> (</w:t>
            </w:r>
            <w:r w:rsidR="00D65156" w:rsidRPr="00CB2EEE">
              <w:rPr>
                <w:kern w:val="2"/>
                <w:szCs w:val="24"/>
              </w:rPr>
              <w:t>penkiolikos</w:t>
            </w:r>
            <w:r w:rsidR="004146D0" w:rsidRPr="00CB2EEE">
              <w:rPr>
                <w:kern w:val="2"/>
                <w:szCs w:val="24"/>
              </w:rPr>
              <w:t>)</w:t>
            </w:r>
            <w:r w:rsidR="00B40422" w:rsidRPr="00CB2EEE">
              <w:rPr>
                <w:kern w:val="2"/>
                <w:szCs w:val="24"/>
              </w:rPr>
              <w:t xml:space="preserve"> procentų dydžio bauda nuo Pradinės Sutarties vertės be PVM, nurodytos Specialiųjų sąlygų 5.2 punkte. </w:t>
            </w:r>
          </w:p>
          <w:p w14:paraId="72CC1BA9" w14:textId="77777777" w:rsidR="00802705" w:rsidRDefault="00802705" w:rsidP="00EB62B0">
            <w:pPr>
              <w:jc w:val="both"/>
              <w:rPr>
                <w:kern w:val="2"/>
                <w:szCs w:val="24"/>
              </w:rPr>
            </w:pPr>
          </w:p>
          <w:p w14:paraId="045C277C" w14:textId="6E1A1E92" w:rsidR="00802705" w:rsidRPr="00CB2EEE" w:rsidRDefault="00802705" w:rsidP="00EB62B0">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w:t>
            </w:r>
            <w:r w:rsidRPr="00B422F6">
              <w:rPr>
                <w:b/>
                <w:bCs/>
                <w:kern w:val="2"/>
                <w:szCs w:val="24"/>
              </w:rPr>
              <w:lastRenderedPageBreak/>
              <w:t xml:space="preserve">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lastRenderedPageBreak/>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257967">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157B29CE" w:rsidR="00B40422" w:rsidRPr="00CB2EEE" w:rsidRDefault="008804B9" w:rsidP="00EB62B0">
            <w:pPr>
              <w:jc w:val="both"/>
              <w:rPr>
                <w:kern w:val="2"/>
                <w:szCs w:val="24"/>
              </w:rPr>
            </w:pPr>
            <w:r w:rsidRPr="00CB2EEE">
              <w:rPr>
                <w:kern w:val="2"/>
                <w:szCs w:val="24"/>
              </w:rPr>
              <w:t>Jeigu Sutarties vykdymo metu Prekės nepasiekia nustatytų kokybinių kriterijų, laikoma, kad Prekės neatitinka Sutarties reikalavimų ir tai laikoma esminiu Sutarties pažeidimu. Tokiu atveju Pirkėjas įgyja teisę pasinaudoti Sutarties 9.3 punkte nurodyta bauda.</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B422F6" w:rsidRDefault="00B40422" w:rsidP="008804B9">
            <w:pPr>
              <w:rPr>
                <w:color w:val="4472C4"/>
                <w:kern w:val="2"/>
                <w:szCs w:val="24"/>
              </w:rPr>
            </w:pPr>
            <w:r w:rsidRPr="00B422F6">
              <w:rPr>
                <w:kern w:val="2"/>
                <w:szCs w:val="24"/>
              </w:rPr>
              <w:t>Netaikoma</w:t>
            </w: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7D45A220" w14:textId="70F2AED1" w:rsidR="00620214" w:rsidRDefault="00620214" w:rsidP="00620214">
            <w:pPr>
              <w:jc w:val="both"/>
            </w:pPr>
            <w:r>
              <w:rPr>
                <w:szCs w:val="24"/>
              </w:rPr>
              <w:t xml:space="preserve"> </w:t>
            </w: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7369909F" w14:textId="77777777" w:rsidR="00620214" w:rsidRDefault="00620214" w:rsidP="00620214">
            <w:pPr>
              <w:jc w:val="both"/>
            </w:pPr>
          </w:p>
          <w:p w14:paraId="7E42254F" w14:textId="33DE0C4A" w:rsidR="008F7CD0" w:rsidRPr="002E57F5" w:rsidRDefault="00620214" w:rsidP="00620214">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40422" w:rsidRPr="00B422F6" w14:paraId="53B4D027" w14:textId="77777777" w:rsidTr="00257967">
        <w:trPr>
          <w:trHeight w:val="300"/>
        </w:trPr>
        <w:tc>
          <w:tcPr>
            <w:tcW w:w="9535"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6A43A4B8" w:rsidR="00B40422" w:rsidRPr="008804B9" w:rsidRDefault="008804B9" w:rsidP="008804B9">
            <w:pPr>
              <w:jc w:val="both"/>
              <w:rPr>
                <w:bCs/>
                <w:color w:val="4472C4"/>
                <w:kern w:val="2"/>
                <w:szCs w:val="24"/>
              </w:rPr>
            </w:pPr>
            <w:r w:rsidRPr="008804B9">
              <w:rPr>
                <w:bCs/>
                <w:color w:val="000000"/>
                <w:kern w:val="2"/>
                <w:szCs w:val="24"/>
              </w:rPr>
              <w:t xml:space="preserve">Sutartis galioja iki visiško prievolių įvykdymo, išskyrus </w:t>
            </w:r>
            <w:r w:rsidR="00802705">
              <w:rPr>
                <w:bCs/>
                <w:color w:val="000000"/>
                <w:kern w:val="2"/>
                <w:szCs w:val="24"/>
              </w:rPr>
              <w:t>Tiekėjo</w:t>
            </w:r>
            <w:r w:rsidR="00802705" w:rsidRPr="008804B9">
              <w:rPr>
                <w:bCs/>
                <w:color w:val="000000"/>
                <w:kern w:val="2"/>
                <w:szCs w:val="24"/>
              </w:rPr>
              <w:t xml:space="preserve"> </w:t>
            </w:r>
            <w:r w:rsidRPr="008804B9">
              <w:rPr>
                <w:bCs/>
                <w:color w:val="000000"/>
                <w:kern w:val="2"/>
                <w:szCs w:val="24"/>
              </w:rPr>
              <w:t xml:space="preserve">įsipareigojimus, susijusius su prekių garantiniu aptarnavimu. </w:t>
            </w:r>
            <w:r w:rsidR="00802705">
              <w:rPr>
                <w:bCs/>
                <w:color w:val="000000"/>
                <w:kern w:val="2"/>
                <w:szCs w:val="24"/>
              </w:rPr>
              <w:t>Tiekėjo</w:t>
            </w:r>
            <w:r w:rsidR="00802705" w:rsidRPr="008804B9">
              <w:rPr>
                <w:bCs/>
                <w:color w:val="000000"/>
                <w:kern w:val="2"/>
                <w:szCs w:val="24"/>
              </w:rPr>
              <w:t xml:space="preserve"> </w:t>
            </w:r>
            <w:r w:rsidRPr="008804B9">
              <w:rPr>
                <w:bCs/>
                <w:color w:val="000000"/>
                <w:kern w:val="2"/>
                <w:szCs w:val="24"/>
              </w:rPr>
              <w:t>garantiniai įsipareigojimai galioja visą prekių garantinį laikotarpį</w:t>
            </w:r>
            <w:r w:rsidR="00202DFC" w:rsidRPr="008804B9">
              <w:rPr>
                <w:bCs/>
                <w:kern w:val="2"/>
                <w:szCs w:val="24"/>
              </w:rPr>
              <w:t>.</w:t>
            </w:r>
            <w:r w:rsidR="008D1866" w:rsidRPr="008804B9">
              <w:rPr>
                <w:bCs/>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lastRenderedPageBreak/>
              <w:t>11.1. Sutarties nutraukimo pagrindai</w:t>
            </w:r>
          </w:p>
        </w:tc>
        <w:tc>
          <w:tcPr>
            <w:tcW w:w="6831" w:type="dxa"/>
            <w:gridSpan w:val="3"/>
          </w:tcPr>
          <w:p w14:paraId="453277E3" w14:textId="171BA77B" w:rsidR="00B40422" w:rsidRPr="00B422F6" w:rsidRDefault="00B40422" w:rsidP="008804B9">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t>11.2. Esminiai Sutarties pažeidimai</w:t>
            </w:r>
          </w:p>
        </w:tc>
        <w:tc>
          <w:tcPr>
            <w:tcW w:w="6831" w:type="dxa"/>
            <w:gridSpan w:val="3"/>
          </w:tcPr>
          <w:p w14:paraId="023FA552" w14:textId="77777777"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5EB5E413" w14:textId="77777777"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11.2.2. jeigu Tiekėjas pažeidžia Prekių pristatymo terminus ir priskaičiuotų netesybų už vėlavimą suma viršija 10 (dešimt) proc. Pradinės sutarties vertės;</w:t>
            </w:r>
          </w:p>
          <w:p w14:paraId="40452E5E" w14:textId="02FB89F8" w:rsidR="00B40422" w:rsidRPr="008804B9" w:rsidRDefault="008804B9" w:rsidP="008804B9">
            <w:pPr>
              <w:spacing w:line="257" w:lineRule="auto"/>
              <w:jc w:val="both"/>
              <w:rPr>
                <w:rFonts w:eastAsia="Arial"/>
                <w:kern w:val="2"/>
                <w:szCs w:val="24"/>
              </w:rPr>
            </w:pPr>
            <w:r w:rsidRPr="008804B9">
              <w:rPr>
                <w:rFonts w:eastAsia="Arial"/>
                <w:kern w:val="2"/>
                <w:szCs w:val="24"/>
                <w:lang w:val="lt"/>
              </w:rPr>
              <w:t>11.2.3.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5A6976BA" w:rsidR="00B40422" w:rsidRPr="00B422F6" w:rsidRDefault="008804B9" w:rsidP="00D40F6D">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4.4.4.2.  papunkčiu.</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4E5739F" w:rsidR="00B40422" w:rsidRPr="00B422F6" w:rsidRDefault="008804B9" w:rsidP="00D4489C">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 xml:space="preserve">Nustačius, kad Tiekėjas šiame punkte nustatyto reikalavimo </w:t>
            </w:r>
            <w:r w:rsidRPr="00B422F6">
              <w:rPr>
                <w:color w:val="000000"/>
                <w:kern w:val="2"/>
                <w:szCs w:val="24"/>
                <w:shd w:val="clear" w:color="auto" w:fill="FFFFFF"/>
              </w:rPr>
              <w:lastRenderedPageBreak/>
              <w:t>nesilaiko, Tiekėjui taikoma Specialiųjų sąlygų 9.5 punkte nurodyto dydžio bauda.</w:t>
            </w:r>
          </w:p>
        </w:tc>
      </w:tr>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lastRenderedPageBreak/>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1605F91E" w14:textId="61BF076A" w:rsidR="00B40422" w:rsidRPr="008804B9" w:rsidRDefault="008804B9" w:rsidP="008804B9">
            <w:pPr>
              <w:rPr>
                <w:kern w:val="2"/>
                <w:szCs w:val="24"/>
                <w:highlight w:val="yellow"/>
              </w:rPr>
            </w:pPr>
            <w:r w:rsidRPr="00CB2EEE">
              <w:rPr>
                <w:kern w:val="2"/>
                <w:szCs w:val="24"/>
              </w:rPr>
              <w:t>Tiekėjas įsipareigoja parengti mokymus perkančiosios organizacijos darbuotojams, kuriuose būtų aptarti įrangos elektros vartojimo efektyvumo didinimo aspektai (parametrų reguliavimas, tikslinimas, režimų parinkimas ir t.t.).</w:t>
            </w: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B422F6"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w:t>
            </w:r>
            <w:r w:rsidRPr="0024182A">
              <w:rPr>
                <w:rFonts w:eastAsia="Arial"/>
                <w:szCs w:val="24"/>
              </w:rPr>
              <w:lastRenderedPageBreak/>
              <w:t xml:space="preserve">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0D1624FB" w14:textId="65482418" w:rsidR="00520C83" w:rsidRPr="00B422F6" w:rsidRDefault="00D6645D" w:rsidP="002E57F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sidRPr="0024182A">
              <w:rPr>
                <w:rFonts w:eastAsia="Arial"/>
                <w:szCs w:val="24"/>
              </w:rPr>
              <w:t>12.2.2. Pirkėjas elektronines sąskaitas faktūras priima ir apdoroja naudodamasis informacinės sistemos „SABIS“ priemonėmis, išskyrus VPĮ nustatytus išimtinius atvejus.</w:t>
            </w: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lastRenderedPageBreak/>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728A3EF9" w14:textId="79B25B0E" w:rsidR="00B40422" w:rsidRPr="00B422F6" w:rsidRDefault="00856548" w:rsidP="003C0791">
            <w:pPr>
              <w:rPr>
                <w:kern w:val="2"/>
                <w:szCs w:val="24"/>
              </w:rPr>
            </w:pPr>
            <w:r w:rsidRPr="00B422F6">
              <w:rPr>
                <w:szCs w:val="24"/>
              </w:rPr>
              <w:t xml:space="preserve">21.2.5. </w:t>
            </w:r>
            <w:r w:rsidR="001C3300" w:rsidRPr="00B422F6">
              <w:rPr>
                <w:szCs w:val="24"/>
              </w:rPr>
              <w:t>punktą.</w:t>
            </w:r>
          </w:p>
        </w:tc>
      </w:tr>
      <w:tr w:rsidR="00114B99" w:rsidRPr="00B422F6" w14:paraId="5BB71A56" w14:textId="77777777" w:rsidTr="00257967">
        <w:trPr>
          <w:trHeight w:val="300"/>
        </w:trPr>
        <w:tc>
          <w:tcPr>
            <w:tcW w:w="2532" w:type="dxa"/>
          </w:tcPr>
          <w:p w14:paraId="11EAA1A1" w14:textId="0F53173F" w:rsidR="00114B99" w:rsidRPr="00B422F6" w:rsidRDefault="00114B99" w:rsidP="00257967">
            <w:pPr>
              <w:rPr>
                <w:b/>
                <w:bCs/>
                <w:kern w:val="2"/>
                <w:szCs w:val="24"/>
              </w:rPr>
            </w:pPr>
            <w:r w:rsidRPr="00B422F6">
              <w:rPr>
                <w:b/>
                <w:bCs/>
                <w:kern w:val="2"/>
                <w:szCs w:val="24"/>
              </w:rPr>
              <w:t>13.</w:t>
            </w:r>
            <w:r w:rsidR="001F7E55">
              <w:rPr>
                <w:b/>
                <w:bCs/>
                <w:kern w:val="2"/>
                <w:szCs w:val="24"/>
              </w:rPr>
              <w:t>3</w:t>
            </w:r>
            <w:r w:rsidRPr="00B422F6">
              <w:rPr>
                <w:b/>
                <w:bCs/>
                <w:kern w:val="2"/>
                <w:szCs w:val="24"/>
              </w:rPr>
              <w:t>.</w:t>
            </w:r>
          </w:p>
        </w:tc>
        <w:tc>
          <w:tcPr>
            <w:tcW w:w="7003" w:type="dxa"/>
            <w:gridSpan w:val="4"/>
          </w:tcPr>
          <w:p w14:paraId="714769EA" w14:textId="1FB63B8D" w:rsidR="00114B99" w:rsidRPr="00B422F6" w:rsidRDefault="00114B99" w:rsidP="007E765F">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sidRPr="00B422F6">
        <w:rPr>
          <w:rFonts w:eastAsia="Cambria"/>
          <w:szCs w:val="24"/>
        </w:rPr>
        <w:lastRenderedPageBreak/>
        <w:t>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w:t>
      </w:r>
      <w:r w:rsidRPr="00B422F6">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lastRenderedPageBreak/>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 xml:space="preserve">Subtiekėjams pageidaujant, Pirkėjas su jais atsiskaitys tiesiogiai. Pirkėjas numato tiesioginio </w:t>
      </w:r>
      <w:r w:rsidRPr="00B422F6">
        <w:rPr>
          <w:rFonts w:eastAsia="Arial"/>
          <w:color w:val="000000"/>
          <w:szCs w:val="24"/>
          <w:shd w:val="clear" w:color="auto" w:fill="FFFFFF"/>
        </w:rPr>
        <w:lastRenderedPageBreak/>
        <w:t>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2E57F5" w:rsidRDefault="00F10495" w:rsidP="00CC010D">
      <w:pPr>
        <w:pStyle w:val="Body2"/>
        <w:jc w:val="center"/>
        <w:rPr>
          <w:szCs w:val="24"/>
          <w:lang w:val="lt-LT"/>
        </w:rPr>
      </w:pPr>
    </w:p>
    <w:sectPr w:rsidR="00F10495" w:rsidRPr="002E57F5"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B4FB" w14:textId="77777777" w:rsidR="00B57890" w:rsidRDefault="00B57890">
      <w:r>
        <w:separator/>
      </w:r>
    </w:p>
  </w:endnote>
  <w:endnote w:type="continuationSeparator" w:id="0">
    <w:p w14:paraId="7551EEAE" w14:textId="77777777" w:rsidR="00B57890" w:rsidRDefault="00B5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0C76" w14:textId="77777777" w:rsidR="00B57890" w:rsidRDefault="00B57890">
      <w:r>
        <w:separator/>
      </w:r>
    </w:p>
  </w:footnote>
  <w:footnote w:type="continuationSeparator" w:id="0">
    <w:p w14:paraId="3348322C" w14:textId="77777777" w:rsidR="00B57890" w:rsidRDefault="00B57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0033"/>
    <w:rsid w:val="0005187D"/>
    <w:rsid w:val="000639DA"/>
    <w:rsid w:val="00065A16"/>
    <w:rsid w:val="00067A6C"/>
    <w:rsid w:val="00072779"/>
    <w:rsid w:val="00074BEF"/>
    <w:rsid w:val="000777A4"/>
    <w:rsid w:val="00077C34"/>
    <w:rsid w:val="00094F98"/>
    <w:rsid w:val="000A0E07"/>
    <w:rsid w:val="000A1C25"/>
    <w:rsid w:val="000A6EF7"/>
    <w:rsid w:val="000B2BD3"/>
    <w:rsid w:val="000B37A5"/>
    <w:rsid w:val="000C4BB3"/>
    <w:rsid w:val="000C4C7B"/>
    <w:rsid w:val="000D72F3"/>
    <w:rsid w:val="000E45D5"/>
    <w:rsid w:val="000F563E"/>
    <w:rsid w:val="00103E79"/>
    <w:rsid w:val="00114B99"/>
    <w:rsid w:val="00114BBC"/>
    <w:rsid w:val="00122CEA"/>
    <w:rsid w:val="001330CC"/>
    <w:rsid w:val="00141B13"/>
    <w:rsid w:val="00144479"/>
    <w:rsid w:val="001566C1"/>
    <w:rsid w:val="00171FB0"/>
    <w:rsid w:val="00176F9D"/>
    <w:rsid w:val="00180764"/>
    <w:rsid w:val="0018191F"/>
    <w:rsid w:val="00185659"/>
    <w:rsid w:val="00191FE9"/>
    <w:rsid w:val="00195C50"/>
    <w:rsid w:val="001A0B2C"/>
    <w:rsid w:val="001A5D87"/>
    <w:rsid w:val="001B4A7D"/>
    <w:rsid w:val="001C0A13"/>
    <w:rsid w:val="001C3300"/>
    <w:rsid w:val="001C72A3"/>
    <w:rsid w:val="001D011D"/>
    <w:rsid w:val="001E4572"/>
    <w:rsid w:val="001F7E55"/>
    <w:rsid w:val="00202DFC"/>
    <w:rsid w:val="0020317A"/>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854F0"/>
    <w:rsid w:val="002B2CCE"/>
    <w:rsid w:val="002B362D"/>
    <w:rsid w:val="002C0D50"/>
    <w:rsid w:val="002D4395"/>
    <w:rsid w:val="002E107F"/>
    <w:rsid w:val="002E5007"/>
    <w:rsid w:val="002E57F5"/>
    <w:rsid w:val="002F63F7"/>
    <w:rsid w:val="002F766A"/>
    <w:rsid w:val="00303337"/>
    <w:rsid w:val="00314CFF"/>
    <w:rsid w:val="0032012C"/>
    <w:rsid w:val="00334071"/>
    <w:rsid w:val="00344047"/>
    <w:rsid w:val="00373365"/>
    <w:rsid w:val="003742CE"/>
    <w:rsid w:val="00377484"/>
    <w:rsid w:val="003875EA"/>
    <w:rsid w:val="003902B7"/>
    <w:rsid w:val="003928AE"/>
    <w:rsid w:val="003969E1"/>
    <w:rsid w:val="00396C50"/>
    <w:rsid w:val="003A1FA7"/>
    <w:rsid w:val="003B5030"/>
    <w:rsid w:val="003C0791"/>
    <w:rsid w:val="003C3043"/>
    <w:rsid w:val="003C35B2"/>
    <w:rsid w:val="003C6BCC"/>
    <w:rsid w:val="003D0298"/>
    <w:rsid w:val="003E0F79"/>
    <w:rsid w:val="003E3D32"/>
    <w:rsid w:val="003E45F7"/>
    <w:rsid w:val="003E660F"/>
    <w:rsid w:val="004119DD"/>
    <w:rsid w:val="004146D0"/>
    <w:rsid w:val="00417F57"/>
    <w:rsid w:val="00420B7E"/>
    <w:rsid w:val="004240C1"/>
    <w:rsid w:val="00434319"/>
    <w:rsid w:val="00437DD5"/>
    <w:rsid w:val="00451B27"/>
    <w:rsid w:val="004618B6"/>
    <w:rsid w:val="00461A5D"/>
    <w:rsid w:val="00470077"/>
    <w:rsid w:val="00491EDD"/>
    <w:rsid w:val="00495AC1"/>
    <w:rsid w:val="004A1789"/>
    <w:rsid w:val="004A2832"/>
    <w:rsid w:val="004B0CC9"/>
    <w:rsid w:val="004C112A"/>
    <w:rsid w:val="004C1948"/>
    <w:rsid w:val="004C7783"/>
    <w:rsid w:val="004E065E"/>
    <w:rsid w:val="004E2050"/>
    <w:rsid w:val="004F1935"/>
    <w:rsid w:val="004F4F98"/>
    <w:rsid w:val="00501386"/>
    <w:rsid w:val="0051387B"/>
    <w:rsid w:val="00520C83"/>
    <w:rsid w:val="0052411E"/>
    <w:rsid w:val="00524DE5"/>
    <w:rsid w:val="00525123"/>
    <w:rsid w:val="00556832"/>
    <w:rsid w:val="00561D5A"/>
    <w:rsid w:val="00566B7A"/>
    <w:rsid w:val="00567818"/>
    <w:rsid w:val="005759E1"/>
    <w:rsid w:val="00582F97"/>
    <w:rsid w:val="00584049"/>
    <w:rsid w:val="005B0EAD"/>
    <w:rsid w:val="005B67AD"/>
    <w:rsid w:val="005C4CA4"/>
    <w:rsid w:val="005D13F4"/>
    <w:rsid w:val="005E224D"/>
    <w:rsid w:val="005E7974"/>
    <w:rsid w:val="006003F7"/>
    <w:rsid w:val="006013FD"/>
    <w:rsid w:val="0060301A"/>
    <w:rsid w:val="006064F8"/>
    <w:rsid w:val="00611E76"/>
    <w:rsid w:val="00617232"/>
    <w:rsid w:val="00620214"/>
    <w:rsid w:val="00630631"/>
    <w:rsid w:val="0063101E"/>
    <w:rsid w:val="00654A2A"/>
    <w:rsid w:val="00655FD6"/>
    <w:rsid w:val="00663ED1"/>
    <w:rsid w:val="00671FD2"/>
    <w:rsid w:val="00676257"/>
    <w:rsid w:val="006A139E"/>
    <w:rsid w:val="006A18BD"/>
    <w:rsid w:val="006B0675"/>
    <w:rsid w:val="006B0974"/>
    <w:rsid w:val="006B68B6"/>
    <w:rsid w:val="006C0648"/>
    <w:rsid w:val="006C58D4"/>
    <w:rsid w:val="006E097D"/>
    <w:rsid w:val="006E2AF4"/>
    <w:rsid w:val="006E3AE2"/>
    <w:rsid w:val="006F1B1F"/>
    <w:rsid w:val="006F3064"/>
    <w:rsid w:val="006F4ED1"/>
    <w:rsid w:val="006F4FD6"/>
    <w:rsid w:val="006F5B9B"/>
    <w:rsid w:val="006F727F"/>
    <w:rsid w:val="00706BD7"/>
    <w:rsid w:val="007100E9"/>
    <w:rsid w:val="00717555"/>
    <w:rsid w:val="00740221"/>
    <w:rsid w:val="00740C43"/>
    <w:rsid w:val="00747155"/>
    <w:rsid w:val="0075418A"/>
    <w:rsid w:val="00755767"/>
    <w:rsid w:val="00757AB8"/>
    <w:rsid w:val="00762B4A"/>
    <w:rsid w:val="00763D91"/>
    <w:rsid w:val="00795CE5"/>
    <w:rsid w:val="00797EE7"/>
    <w:rsid w:val="007A01BF"/>
    <w:rsid w:val="007B1D0B"/>
    <w:rsid w:val="007B4DF9"/>
    <w:rsid w:val="007C1E53"/>
    <w:rsid w:val="007C5B8C"/>
    <w:rsid w:val="007D0E70"/>
    <w:rsid w:val="007D19B8"/>
    <w:rsid w:val="007D63A4"/>
    <w:rsid w:val="007E30D8"/>
    <w:rsid w:val="007E4A42"/>
    <w:rsid w:val="007E765F"/>
    <w:rsid w:val="00802705"/>
    <w:rsid w:val="00804427"/>
    <w:rsid w:val="00807957"/>
    <w:rsid w:val="00807B84"/>
    <w:rsid w:val="00810CE6"/>
    <w:rsid w:val="008129F7"/>
    <w:rsid w:val="00820A40"/>
    <w:rsid w:val="00821C01"/>
    <w:rsid w:val="00822006"/>
    <w:rsid w:val="00827CBD"/>
    <w:rsid w:val="008316C1"/>
    <w:rsid w:val="008423E4"/>
    <w:rsid w:val="00852933"/>
    <w:rsid w:val="00856548"/>
    <w:rsid w:val="0086677C"/>
    <w:rsid w:val="0086722B"/>
    <w:rsid w:val="00872620"/>
    <w:rsid w:val="008804B9"/>
    <w:rsid w:val="00884EEB"/>
    <w:rsid w:val="00887A39"/>
    <w:rsid w:val="008D0F7F"/>
    <w:rsid w:val="008D1866"/>
    <w:rsid w:val="008E0299"/>
    <w:rsid w:val="008F2D91"/>
    <w:rsid w:val="008F7CD0"/>
    <w:rsid w:val="0092653B"/>
    <w:rsid w:val="00926C90"/>
    <w:rsid w:val="009447B7"/>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2F2F"/>
    <w:rsid w:val="009C51C6"/>
    <w:rsid w:val="009D6CED"/>
    <w:rsid w:val="009E4DED"/>
    <w:rsid w:val="009F001E"/>
    <w:rsid w:val="00A04612"/>
    <w:rsid w:val="00A07A82"/>
    <w:rsid w:val="00A11D4D"/>
    <w:rsid w:val="00A1367B"/>
    <w:rsid w:val="00A32324"/>
    <w:rsid w:val="00A33A06"/>
    <w:rsid w:val="00A345C7"/>
    <w:rsid w:val="00A366BB"/>
    <w:rsid w:val="00A42AAF"/>
    <w:rsid w:val="00A45D97"/>
    <w:rsid w:val="00A46442"/>
    <w:rsid w:val="00A53D20"/>
    <w:rsid w:val="00A5609A"/>
    <w:rsid w:val="00A724E5"/>
    <w:rsid w:val="00A809DC"/>
    <w:rsid w:val="00A943D9"/>
    <w:rsid w:val="00AA2914"/>
    <w:rsid w:val="00AA7A56"/>
    <w:rsid w:val="00AB7803"/>
    <w:rsid w:val="00AC4FCC"/>
    <w:rsid w:val="00AC69D4"/>
    <w:rsid w:val="00AE1102"/>
    <w:rsid w:val="00AE7F0A"/>
    <w:rsid w:val="00AF5792"/>
    <w:rsid w:val="00AF79AF"/>
    <w:rsid w:val="00B04F5B"/>
    <w:rsid w:val="00B0745D"/>
    <w:rsid w:val="00B150F9"/>
    <w:rsid w:val="00B24A9C"/>
    <w:rsid w:val="00B378A3"/>
    <w:rsid w:val="00B40422"/>
    <w:rsid w:val="00B40946"/>
    <w:rsid w:val="00B422F6"/>
    <w:rsid w:val="00B552ED"/>
    <w:rsid w:val="00B57890"/>
    <w:rsid w:val="00B65A70"/>
    <w:rsid w:val="00B66815"/>
    <w:rsid w:val="00B72052"/>
    <w:rsid w:val="00B7537C"/>
    <w:rsid w:val="00B86C48"/>
    <w:rsid w:val="00BA5A77"/>
    <w:rsid w:val="00BB4540"/>
    <w:rsid w:val="00BB59DF"/>
    <w:rsid w:val="00BC38B0"/>
    <w:rsid w:val="00BD2D8D"/>
    <w:rsid w:val="00BD4115"/>
    <w:rsid w:val="00BD492E"/>
    <w:rsid w:val="00BF4F93"/>
    <w:rsid w:val="00BF71C0"/>
    <w:rsid w:val="00C12D13"/>
    <w:rsid w:val="00C302CD"/>
    <w:rsid w:val="00C33531"/>
    <w:rsid w:val="00C411BF"/>
    <w:rsid w:val="00C44750"/>
    <w:rsid w:val="00C46C81"/>
    <w:rsid w:val="00C51589"/>
    <w:rsid w:val="00C72CDB"/>
    <w:rsid w:val="00C80FC1"/>
    <w:rsid w:val="00C816EF"/>
    <w:rsid w:val="00C926C9"/>
    <w:rsid w:val="00C950EC"/>
    <w:rsid w:val="00CA061C"/>
    <w:rsid w:val="00CA2330"/>
    <w:rsid w:val="00CA251D"/>
    <w:rsid w:val="00CB1F87"/>
    <w:rsid w:val="00CB27D4"/>
    <w:rsid w:val="00CB2EEE"/>
    <w:rsid w:val="00CC010D"/>
    <w:rsid w:val="00CC2071"/>
    <w:rsid w:val="00CC283F"/>
    <w:rsid w:val="00CD2D2B"/>
    <w:rsid w:val="00CD7B1E"/>
    <w:rsid w:val="00CE0DB7"/>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4933"/>
    <w:rsid w:val="00DF74D7"/>
    <w:rsid w:val="00DF784A"/>
    <w:rsid w:val="00E032DF"/>
    <w:rsid w:val="00E400A7"/>
    <w:rsid w:val="00E42042"/>
    <w:rsid w:val="00E46D0A"/>
    <w:rsid w:val="00E52197"/>
    <w:rsid w:val="00E60125"/>
    <w:rsid w:val="00E72192"/>
    <w:rsid w:val="00E74F70"/>
    <w:rsid w:val="00EA2CC7"/>
    <w:rsid w:val="00EA7750"/>
    <w:rsid w:val="00EB0112"/>
    <w:rsid w:val="00EB2CB9"/>
    <w:rsid w:val="00EB62B0"/>
    <w:rsid w:val="00EC3D0A"/>
    <w:rsid w:val="00EE17E2"/>
    <w:rsid w:val="00EF3C8B"/>
    <w:rsid w:val="00EF4CFE"/>
    <w:rsid w:val="00EF58C9"/>
    <w:rsid w:val="00F079B9"/>
    <w:rsid w:val="00F10495"/>
    <w:rsid w:val="00F13AE7"/>
    <w:rsid w:val="00F16CE5"/>
    <w:rsid w:val="00F23EC9"/>
    <w:rsid w:val="00F33687"/>
    <w:rsid w:val="00F41446"/>
    <w:rsid w:val="00F435F4"/>
    <w:rsid w:val="00F444FD"/>
    <w:rsid w:val="00F46F92"/>
    <w:rsid w:val="00F5557C"/>
    <w:rsid w:val="00F56633"/>
    <w:rsid w:val="00F64DFB"/>
    <w:rsid w:val="00F71EF2"/>
    <w:rsid w:val="00F82812"/>
    <w:rsid w:val="00F839E8"/>
    <w:rsid w:val="00F877F0"/>
    <w:rsid w:val="00F958E9"/>
    <w:rsid w:val="00FA27F4"/>
    <w:rsid w:val="00FA2F1F"/>
    <w:rsid w:val="00FC70E3"/>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64154</Words>
  <Characters>36569</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Aurelija Jokimčienė</cp:lastModifiedBy>
  <cp:revision>3</cp:revision>
  <cp:lastPrinted>2024-03-12T12:16:00Z</cp:lastPrinted>
  <dcterms:created xsi:type="dcterms:W3CDTF">2025-04-14T06:03:00Z</dcterms:created>
  <dcterms:modified xsi:type="dcterms:W3CDTF">2025-04-14T07:19:00Z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