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CC319"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VŠĮ VILNIAUS UNIVERSITETO LIGONINĖ SANTAROS KLINIKOS</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77777777" w:rsidR="000E0AC4" w:rsidRPr="005711CF" w:rsidRDefault="000E0AC4" w:rsidP="000E0AC4">
      <w:pPr>
        <w:pStyle w:val="Heading"/>
        <w:jc w:val="center"/>
        <w:rPr>
          <w:rFonts w:cs="Times New Roman"/>
          <w:color w:val="000000" w:themeColor="text1"/>
          <w:lang w:val="lt-LT"/>
        </w:rPr>
      </w:pPr>
      <w:r w:rsidRPr="005711CF">
        <w:rPr>
          <w:rFonts w:cs="Times New Roman"/>
          <w:color w:val="000000" w:themeColor="text1"/>
          <w:lang w:val="lt-LT"/>
        </w:rPr>
        <w:t>ATVIRAS KONKURSAS (TARPTAUTINIS PIRKIMAS)</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VšĮ Vilniaus universiteto ligoninė Santaros klinikos, juridinio asmens kodas </w:t>
      </w:r>
      <w:r w:rsidRPr="005711CF">
        <w:rPr>
          <w:rFonts w:cs="Times New Roman"/>
          <w:bCs/>
          <w:color w:val="000000" w:themeColor="text1"/>
          <w:lang w:val="lt-LT"/>
        </w:rPr>
        <w:t>124364561</w:t>
      </w:r>
      <w:r w:rsidRPr="005711CF">
        <w:rPr>
          <w:rFonts w:cs="Times New Roman"/>
          <w:color w:val="000000" w:themeColor="text1"/>
          <w:lang w:val="lt-LT"/>
        </w:rPr>
        <w:t xml:space="preserve">, adresas </w:t>
      </w:r>
      <w:r w:rsidRPr="005711CF">
        <w:rPr>
          <w:rFonts w:cs="Times New Roman"/>
          <w:bCs/>
          <w:color w:val="000000" w:themeColor="text1"/>
          <w:lang w:val="lt-LT"/>
        </w:rPr>
        <w:t>Santariškių g. 2, 08661</w:t>
      </w:r>
      <w:r w:rsidRPr="005711CF">
        <w:rPr>
          <w:rFonts w:cs="Times New Roman"/>
          <w:color w:val="000000" w:themeColor="text1"/>
          <w:lang w:val="lt-LT"/>
        </w:rPr>
        <w:t xml:space="preserve"> Vilnius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711CF">
          <w:rPr>
            <w:rStyle w:val="Hyperlink0"/>
            <w:color w:val="000000" w:themeColor="text1"/>
            <w:lang w:val="lt-LT"/>
          </w:rPr>
          <w:t>https://pirkimai.eviesiejipirkimai.lt</w:t>
        </w:r>
      </w:hyperlink>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440264A1"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w:t>
      </w:r>
      <w:r w:rsidR="009047D3">
        <w:rPr>
          <w:rFonts w:cs="Times New Roman"/>
          <w:color w:val="000000" w:themeColor="text1"/>
          <w:lang w:val="lt-LT"/>
        </w:rPr>
        <w:t>Prekių</w:t>
      </w:r>
      <w:r w:rsidR="009047D3" w:rsidRPr="005711CF">
        <w:rPr>
          <w:rFonts w:cs="Times New Roman"/>
          <w:color w:val="000000" w:themeColor="text1"/>
          <w:lang w:val="lt-LT"/>
        </w:rPr>
        <w:t xml:space="preserve"> </w:t>
      </w:r>
      <w:r w:rsidRPr="005711CF">
        <w:rPr>
          <w:rFonts w:cs="Times New Roman"/>
          <w:color w:val="000000" w:themeColor="text1"/>
          <w:lang w:val="lt-LT"/>
        </w:rPr>
        <w:t>pirkimo</w:t>
      </w:r>
      <w:r w:rsidR="009047D3">
        <w:rPr>
          <w:rFonts w:cs="Times New Roman"/>
          <w:color w:val="000000" w:themeColor="text1"/>
          <w:lang w:val="lt-LT"/>
        </w:rPr>
        <w:t>-pardavimo</w:t>
      </w:r>
      <w:r w:rsidRPr="005711CF">
        <w:rPr>
          <w:rFonts w:cs="Times New Roman"/>
          <w:color w:val="000000" w:themeColor="text1"/>
          <w:lang w:val="lt-LT"/>
        </w:rPr>
        <w:t xml:space="preserve">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2ADB4CFB"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w:t>
      </w:r>
      <w:r w:rsidR="009047D3">
        <w:rPr>
          <w:color w:val="000000" w:themeColor="text1"/>
          <w:sz w:val="22"/>
          <w:szCs w:val="22"/>
          <w:lang w:val="lt-LT"/>
        </w:rPr>
        <w:t>Prekių</w:t>
      </w:r>
      <w:r w:rsidR="009047D3" w:rsidRPr="00A4556C">
        <w:rPr>
          <w:color w:val="000000" w:themeColor="text1"/>
          <w:sz w:val="22"/>
          <w:szCs w:val="22"/>
          <w:lang w:val="lt-LT"/>
        </w:rPr>
        <w:t xml:space="preserve"> </w:t>
      </w:r>
      <w:r w:rsidRPr="00A4556C">
        <w:rPr>
          <w:color w:val="000000" w:themeColor="text1"/>
          <w:sz w:val="22"/>
          <w:szCs w:val="22"/>
          <w:lang w:val="lt-LT"/>
        </w:rPr>
        <w:t>pirkimo</w:t>
      </w:r>
      <w:r w:rsidR="009047D3">
        <w:rPr>
          <w:color w:val="000000" w:themeColor="text1"/>
          <w:sz w:val="22"/>
          <w:szCs w:val="22"/>
          <w:lang w:val="lt-LT"/>
        </w:rPr>
        <w:t>-pardavimo</w:t>
      </w:r>
      <w:r w:rsidRPr="00A4556C">
        <w:rPr>
          <w:color w:val="000000" w:themeColor="text1"/>
          <w:sz w:val="22"/>
          <w:szCs w:val="22"/>
          <w:lang w:val="lt-LT"/>
        </w:rPr>
        <w:t xml:space="preserve">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3A250084"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w:t>
      </w:r>
      <w:r w:rsidR="009047D3">
        <w:rPr>
          <w:color w:val="000000" w:themeColor="text1"/>
          <w:sz w:val="22"/>
          <w:szCs w:val="22"/>
          <w:lang w:val="lt-LT"/>
        </w:rPr>
        <w:t>Prekių</w:t>
      </w:r>
      <w:r w:rsidR="009047D3" w:rsidRPr="00A4556C">
        <w:rPr>
          <w:color w:val="000000" w:themeColor="text1"/>
          <w:sz w:val="22"/>
          <w:szCs w:val="22"/>
          <w:lang w:val="lt-LT"/>
        </w:rPr>
        <w:t xml:space="preserve"> </w:t>
      </w:r>
      <w:r w:rsidRPr="00A4556C">
        <w:rPr>
          <w:color w:val="000000" w:themeColor="text1"/>
          <w:sz w:val="22"/>
          <w:szCs w:val="22"/>
          <w:lang w:val="lt-LT"/>
        </w:rPr>
        <w:t>pirkimo</w:t>
      </w:r>
      <w:r w:rsidR="009047D3">
        <w:rPr>
          <w:color w:val="000000" w:themeColor="text1"/>
          <w:sz w:val="22"/>
          <w:szCs w:val="22"/>
          <w:lang w:val="lt-LT"/>
        </w:rPr>
        <w:t>-pardavimo</w:t>
      </w:r>
      <w:r w:rsidRPr="00A4556C">
        <w:rPr>
          <w:color w:val="000000" w:themeColor="text1"/>
          <w:sz w:val="22"/>
          <w:szCs w:val="22"/>
          <w:lang w:val="lt-LT"/>
        </w:rPr>
        <w:t xml:space="preserve">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A93B38">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326D5C">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5711CF"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A4556C">
              <w:rPr>
                <w:b/>
                <w:i/>
                <w:sz w:val="22"/>
                <w:szCs w:val="22"/>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 xml:space="preserve">padalinys, per pastaruosius 5 metus buvo priimtas ir įsiteisėjęs apkaltinamasis teismo nuosprendis arba šio straipsnio 3 dalies atveju – galutinis administracinis </w:t>
            </w:r>
            <w:r w:rsidRPr="005711CF">
              <w:rPr>
                <w:rFonts w:ascii="Times New Roman" w:hAnsi="Times New Roman" w:cs="Times New Roman"/>
                <w:bCs/>
                <w:sz w:val="20"/>
                <w:szCs w:val="20"/>
                <w:lang w:eastAsia="en-US"/>
              </w:rPr>
              <w:lastRenderedPageBreak/>
              <w:t>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w:t>
            </w:r>
            <w:r w:rsidRPr="005711CF">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lastRenderedPageBreak/>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5711CF">
              <w:rPr>
                <w:rFonts w:ascii="Times New Roman" w:hAnsi="Times New Roman" w:cs="Times New Roman"/>
                <w:bCs/>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000000"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000000"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000000"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000000"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5711CF"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000000"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326D5C">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proofErr w:type="spellStart"/>
      <w:r w:rsidRPr="005711CF">
        <w:rPr>
          <w:rFonts w:cs="Times New Roman"/>
          <w:i/>
          <w:iCs/>
          <w:lang w:val="lt-LT"/>
        </w:rPr>
        <w:t>Apostille</w:t>
      </w:r>
      <w:proofErr w:type="spellEnd"/>
      <w:r w:rsidRPr="005711CF">
        <w:rPr>
          <w:rFonts w:cs="Times New Roman"/>
          <w:lang w:val="lt-LT"/>
        </w:rPr>
        <w:t xml:space="preserve"> 3.10 papunktyje nurodytus dokumentus, jei dokumentai išduoti užsienio valstybėje. Legalizavimas atliekamas, vadovaujantis Dokumentų legalizavimo ir tvirtinimo pažyma (</w:t>
      </w:r>
      <w:proofErr w:type="spellStart"/>
      <w:r w:rsidRPr="005711CF">
        <w:rPr>
          <w:rFonts w:cs="Times New Roman"/>
          <w:i/>
          <w:iCs/>
          <w:lang w:val="lt-LT"/>
        </w:rPr>
        <w:t>Apostille</w:t>
      </w:r>
      <w:proofErr w:type="spellEnd"/>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711CF">
        <w:rPr>
          <w:rFonts w:cs="Times New Roman"/>
          <w:i/>
          <w:iCs/>
          <w:lang w:val="lt-LT"/>
        </w:rPr>
        <w:t>Apostille</w:t>
      </w:r>
      <w:proofErr w:type="spellEnd"/>
      <w:r w:rsidRPr="005711CF">
        <w:rPr>
          <w:rFonts w:cs="Times New Roman"/>
          <w:i/>
          <w:iCs/>
          <w:lang w:val="lt-LT"/>
        </w:rPr>
        <w:t>).</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A4556C"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w:t>
      </w:r>
      <w:r w:rsidRPr="005711CF">
        <w:rPr>
          <w:sz w:val="22"/>
          <w:szCs w:val="22"/>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w:t>
      </w:r>
      <w:r w:rsidRPr="005711CF">
        <w:rPr>
          <w:rFonts w:cs="Times New Roman"/>
          <w:color w:val="000000" w:themeColor="text1"/>
          <w:lang w:val="lt-LT"/>
        </w:rPr>
        <w:lastRenderedPageBreak/>
        <w:t xml:space="preserve">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w:t>
      </w:r>
      <w:r w:rsidRPr="008F70AC">
        <w:rPr>
          <w:rFonts w:cs="Times New Roman"/>
          <w:lang w:val="lt-LT"/>
        </w:rPr>
        <w:lastRenderedPageBreak/>
        <w:t xml:space="preserve">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w:t>
      </w:r>
      <w:r w:rsidRPr="005711CF">
        <w:rPr>
          <w:rFonts w:cs="Times New Roman"/>
          <w:color w:val="000000" w:themeColor="text1"/>
          <w:lang w:val="lt-LT"/>
        </w:rPr>
        <w:lastRenderedPageBreak/>
        <w:t>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5711CF">
        <w:rPr>
          <w:rFonts w:cs="Times New Roman"/>
          <w:color w:val="000000" w:themeColor="text1"/>
          <w:lang w:val="lt-LT"/>
        </w:rPr>
        <w:t>užtikrintojui</w:t>
      </w:r>
      <w:proofErr w:type="spellEnd"/>
      <w:r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w:t>
      </w:r>
      <w:proofErr w:type="spellStart"/>
      <w:r w:rsidRPr="005711CF">
        <w:rPr>
          <w:rFonts w:cs="Times New Roman"/>
          <w:color w:val="000000" w:themeColor="text1"/>
          <w:lang w:val="lt-LT"/>
        </w:rPr>
        <w:t>užtikrintojas</w:t>
      </w:r>
      <w:proofErr w:type="spellEnd"/>
      <w:r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Pr="005711CF">
        <w:rPr>
          <w:rFonts w:cs="Times New Roman"/>
          <w:color w:val="000000" w:themeColor="text1"/>
          <w:lang w:val="lt-LT"/>
        </w:rPr>
        <w:t>užtikrintojui</w:t>
      </w:r>
      <w:proofErr w:type="spellEnd"/>
      <w:r w:rsidRPr="005711CF">
        <w:rPr>
          <w:rFonts w:cs="Times New Roman"/>
          <w:color w:val="000000" w:themeColor="text1"/>
          <w:lang w:val="lt-LT"/>
        </w:rPr>
        <w:t xml:space="preserve">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w:t>
      </w:r>
      <w:r w:rsidRPr="005711CF">
        <w:rPr>
          <w:rFonts w:cs="Times New Roman"/>
          <w:color w:val="000000" w:themeColor="text1"/>
          <w:lang w:val="lt-LT"/>
        </w:rPr>
        <w:lastRenderedPageBreak/>
        <w:t xml:space="preserve">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 xml:space="preserve">Pasiūlymai tikslinami, </w:t>
      </w:r>
      <w:r w:rsidRPr="00282CC2">
        <w:rPr>
          <w:rFonts w:cs="Times New Roman"/>
          <w:color w:val="000000" w:themeColor="text1"/>
          <w:lang w:val="lt-LT"/>
        </w:rPr>
        <w:lastRenderedPageBreak/>
        <w:t>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t>arba</w:t>
      </w:r>
      <w:proofErr w:type="spellEnd"/>
      <w:r>
        <w:t xml:space="preserve"> </w:t>
      </w:r>
      <w:proofErr w:type="spellStart"/>
      <w:r>
        <w:t>įvertinus</w:t>
      </w:r>
      <w:proofErr w:type="spellEnd"/>
      <w:r>
        <w:t xml:space="preserve"> </w:t>
      </w:r>
      <w:proofErr w:type="spellStart"/>
      <w:r>
        <w:t>pasiūlymus</w:t>
      </w:r>
      <w:proofErr w:type="spellEnd"/>
      <w:r>
        <w:t xml:space="preserve"> </w:t>
      </w:r>
      <w:proofErr w:type="spellStart"/>
      <w:r>
        <w:t>liko</w:t>
      </w:r>
      <w:proofErr w:type="spellEnd"/>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 xml:space="preserve">17.1. Perkančioji organizacija sudaryti pirkimo sutartį raštu kviečia tą dalyvį, kurio pasiūlymas pripažintas laimėjusiu, kartu jam nurodomas laikas, iki kada reikia atvykti sudaryti pirkimo sutarties. </w:t>
      </w:r>
    </w:p>
    <w:p w14:paraId="3A58C533" w14:textId="21C8644D"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w:t>
      </w:r>
      <w:r w:rsidR="009047D3">
        <w:rPr>
          <w:rFonts w:cs="Times New Roman"/>
          <w:color w:val="000000" w:themeColor="text1"/>
          <w:lang w:val="lt-LT"/>
        </w:rPr>
        <w:t>Prekių</w:t>
      </w:r>
      <w:r w:rsidR="009047D3" w:rsidRPr="005711CF">
        <w:rPr>
          <w:rFonts w:cs="Times New Roman"/>
          <w:color w:val="000000" w:themeColor="text1"/>
          <w:lang w:val="lt-LT"/>
        </w:rPr>
        <w:t xml:space="preserve"> </w:t>
      </w:r>
      <w:r w:rsidRPr="005711CF">
        <w:rPr>
          <w:rFonts w:cs="Times New Roman"/>
          <w:color w:val="000000" w:themeColor="text1"/>
          <w:lang w:val="lt-LT"/>
        </w:rPr>
        <w:t>pirkimo</w:t>
      </w:r>
      <w:r w:rsidR="009047D3">
        <w:rPr>
          <w:rFonts w:cs="Times New Roman"/>
          <w:color w:val="000000" w:themeColor="text1"/>
          <w:lang w:val="lt-LT"/>
        </w:rPr>
        <w:t>-pardavimo</w:t>
      </w:r>
      <w:r w:rsidRPr="005711CF">
        <w:rPr>
          <w:rFonts w:cs="Times New Roman"/>
          <w:color w:val="000000" w:themeColor="text1"/>
          <w:lang w:val="lt-LT"/>
        </w:rPr>
        <w:t xml:space="preserve">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326D5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A417F" w14:textId="77777777" w:rsidR="00326D5C" w:rsidRDefault="00326D5C" w:rsidP="000E0AC4">
      <w:r>
        <w:separator/>
      </w:r>
    </w:p>
  </w:endnote>
  <w:endnote w:type="continuationSeparator" w:id="0">
    <w:p w14:paraId="34E9C2DB" w14:textId="77777777" w:rsidR="00326D5C" w:rsidRDefault="00326D5C"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4D28" w14:textId="77777777" w:rsidR="00326D5C" w:rsidRDefault="00326D5C" w:rsidP="000E0AC4">
      <w:r>
        <w:separator/>
      </w:r>
    </w:p>
  </w:footnote>
  <w:footnote w:type="continuationSeparator" w:id="0">
    <w:p w14:paraId="2901554F" w14:textId="77777777" w:rsidR="00326D5C" w:rsidRDefault="00326D5C"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41510"/>
      <w:docPartObj>
        <w:docPartGallery w:val="Page Numbers (Top of Page)"/>
        <w:docPartUnique/>
      </w:docPartObj>
    </w:sdt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1CCA" w14:textId="77777777" w:rsidR="00517B6E" w:rsidRPr="004C189C" w:rsidRDefault="00000000"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80073513">
    <w:abstractNumId w:val="12"/>
  </w:num>
  <w:num w:numId="2" w16cid:durableId="1398749766">
    <w:abstractNumId w:val="3"/>
  </w:num>
  <w:num w:numId="3" w16cid:durableId="773592398">
    <w:abstractNumId w:val="7"/>
  </w:num>
  <w:num w:numId="4" w16cid:durableId="2140830925">
    <w:abstractNumId w:val="11"/>
  </w:num>
  <w:num w:numId="5" w16cid:durableId="189420771">
    <w:abstractNumId w:val="5"/>
  </w:num>
  <w:num w:numId="6" w16cid:durableId="1364210875">
    <w:abstractNumId w:val="8"/>
  </w:num>
  <w:num w:numId="7" w16cid:durableId="904995073">
    <w:abstractNumId w:val="10"/>
  </w:num>
  <w:num w:numId="8" w16cid:durableId="1732994600">
    <w:abstractNumId w:val="0"/>
  </w:num>
  <w:num w:numId="9" w16cid:durableId="1551114466">
    <w:abstractNumId w:val="4"/>
  </w:num>
  <w:num w:numId="10" w16cid:durableId="670109939">
    <w:abstractNumId w:val="1"/>
  </w:num>
  <w:num w:numId="11" w16cid:durableId="1643464511">
    <w:abstractNumId w:val="2"/>
  </w:num>
  <w:num w:numId="12" w16cid:durableId="2145078319">
    <w:abstractNumId w:val="9"/>
  </w:num>
  <w:num w:numId="13" w16cid:durableId="1728214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254E50"/>
    <w:rsid w:val="002562C9"/>
    <w:rsid w:val="002A7B05"/>
    <w:rsid w:val="002D7F49"/>
    <w:rsid w:val="00326D5C"/>
    <w:rsid w:val="00434D86"/>
    <w:rsid w:val="004B6C41"/>
    <w:rsid w:val="00517B6E"/>
    <w:rsid w:val="00542EB0"/>
    <w:rsid w:val="0068132B"/>
    <w:rsid w:val="006B6C21"/>
    <w:rsid w:val="00780683"/>
    <w:rsid w:val="008021FE"/>
    <w:rsid w:val="008F0074"/>
    <w:rsid w:val="0090462C"/>
    <w:rsid w:val="009047D3"/>
    <w:rsid w:val="009543CC"/>
    <w:rsid w:val="00957E0D"/>
    <w:rsid w:val="009E0207"/>
    <w:rsid w:val="00A93B38"/>
    <w:rsid w:val="00B565C3"/>
    <w:rsid w:val="00BE6005"/>
    <w:rsid w:val="00C36F08"/>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B46D-4825-474E-B6FF-0A832ABC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47271</Words>
  <Characters>26945</Characters>
  <Application>Microsoft Office Word</Application>
  <DocSecurity>0</DocSecurity>
  <Lines>224</Lines>
  <Paragraphs>148</Paragraphs>
  <ScaleCrop>false</ScaleCrop>
  <Company/>
  <LinksUpToDate>false</LinksUpToDate>
  <CharactersWithSpaces>74068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21</cp:revision>
  <dcterms:created xsi:type="dcterms:W3CDTF">2023-03-21T08:08:00Z</dcterms:created>
  <dcterms:modified xsi:type="dcterms:W3CDTF">2024-03-20T12:28:00Z</dcterms:modified>
</cp:coreProperties>
</file>