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7B60" w14:textId="77777777" w:rsidR="00A94D10" w:rsidRPr="000A54D7" w:rsidRDefault="000A54D7">
      <w:pPr>
        <w:pStyle w:val="Heading1"/>
        <w:jc w:val="center"/>
        <w:rPr>
          <w:rFonts w:ascii="Times New Roman" w:eastAsia="Times New Roman" w:hAnsi="Times New Roman" w:cs="Times New Roman"/>
          <w:b/>
          <w:color w:val="000000"/>
          <w:sz w:val="22"/>
          <w:szCs w:val="22"/>
        </w:rPr>
      </w:pPr>
      <w:r w:rsidRPr="000A54D7">
        <w:rPr>
          <w:rFonts w:ascii="Times New Roman" w:eastAsia="Times New Roman" w:hAnsi="Times New Roman" w:cs="Times New Roman"/>
          <w:b/>
          <w:color w:val="000000"/>
          <w:sz w:val="22"/>
          <w:szCs w:val="22"/>
        </w:rPr>
        <w:t>TECHNINĖ SPECIFIKACIJA</w:t>
      </w:r>
    </w:p>
    <w:p w14:paraId="6BD1DFB9" w14:textId="77777777" w:rsidR="00A94D10" w:rsidRPr="000A54D7" w:rsidRDefault="00A94D10">
      <w:pPr>
        <w:rPr>
          <w:sz w:val="22"/>
          <w:szCs w:val="22"/>
        </w:rPr>
      </w:pPr>
    </w:p>
    <w:p w14:paraId="6D80B1D8" w14:textId="77777777" w:rsidR="00A94D10" w:rsidRPr="000A54D7" w:rsidRDefault="000A54D7">
      <w:pPr>
        <w:jc w:val="center"/>
        <w:rPr>
          <w:b/>
          <w:sz w:val="22"/>
          <w:szCs w:val="22"/>
        </w:rPr>
      </w:pPr>
      <w:r w:rsidRPr="000A54D7">
        <w:rPr>
          <w:b/>
          <w:sz w:val="22"/>
          <w:szCs w:val="22"/>
        </w:rPr>
        <w:t>Litesko filialų  SCADA atnaujinimo licencijų pirkimui</w:t>
      </w:r>
    </w:p>
    <w:p w14:paraId="7D338C33" w14:textId="77777777" w:rsidR="00A94D10" w:rsidRPr="000A54D7" w:rsidRDefault="00A94D10">
      <w:pPr>
        <w:jc w:val="center"/>
        <w:rPr>
          <w:b/>
          <w:sz w:val="22"/>
          <w:szCs w:val="22"/>
        </w:rPr>
      </w:pPr>
    </w:p>
    <w:p w14:paraId="3D966D8C" w14:textId="77777777" w:rsidR="00A94D10" w:rsidRPr="000A54D7" w:rsidRDefault="000A54D7">
      <w:pPr>
        <w:pStyle w:val="Heading2"/>
        <w:numPr>
          <w:ilvl w:val="0"/>
          <w:numId w:val="1"/>
        </w:numPr>
        <w:rPr>
          <w:rFonts w:cs="Times New Roman"/>
          <w:b w:val="0"/>
          <w:sz w:val="22"/>
          <w:szCs w:val="22"/>
        </w:rPr>
      </w:pPr>
      <w:r w:rsidRPr="000A54D7">
        <w:rPr>
          <w:rFonts w:cs="Times New Roman"/>
          <w:sz w:val="22"/>
          <w:szCs w:val="22"/>
        </w:rPr>
        <w:t>SĄVOKOS IR SUTRUMPINIMAI</w:t>
      </w:r>
    </w:p>
    <w:p w14:paraId="4EF578CA" w14:textId="77777777" w:rsidR="00A94D10" w:rsidRPr="000A54D7" w:rsidRDefault="00A94D10">
      <w:pPr>
        <w:ind w:firstLine="426"/>
        <w:rPr>
          <w:b/>
          <w:sz w:val="22"/>
          <w:szCs w:val="22"/>
        </w:rPr>
      </w:pPr>
    </w:p>
    <w:p w14:paraId="3A27AA8F"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b/>
          <w:color w:val="000000"/>
          <w:sz w:val="22"/>
          <w:szCs w:val="22"/>
        </w:rPr>
      </w:pPr>
      <w:r w:rsidRPr="000A54D7">
        <w:rPr>
          <w:rFonts w:eastAsia="Times New Roman"/>
          <w:b/>
          <w:color w:val="000000"/>
          <w:sz w:val="22"/>
          <w:szCs w:val="22"/>
        </w:rPr>
        <w:t xml:space="preserve">Pirkėjas – </w:t>
      </w:r>
      <w:r w:rsidRPr="000A54D7">
        <w:rPr>
          <w:rFonts w:eastAsia="Times New Roman"/>
          <w:color w:val="000000"/>
          <w:sz w:val="22"/>
          <w:szCs w:val="22"/>
        </w:rPr>
        <w:t>UAB „Litesko“.</w:t>
      </w:r>
    </w:p>
    <w:p w14:paraId="1EC70D3D"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b/>
          <w:color w:val="000000"/>
          <w:sz w:val="22"/>
          <w:szCs w:val="22"/>
        </w:rPr>
      </w:pPr>
      <w:r w:rsidRPr="000A54D7">
        <w:rPr>
          <w:rFonts w:eastAsia="Times New Roman"/>
          <w:b/>
          <w:color w:val="000000"/>
          <w:sz w:val="22"/>
          <w:szCs w:val="22"/>
        </w:rPr>
        <w:t>Tiekėjas –</w:t>
      </w:r>
      <w:r w:rsidRPr="000A54D7">
        <w:rPr>
          <w:rFonts w:eastAsia="Times New Roman"/>
          <w:color w:val="000000"/>
          <w:sz w:val="22"/>
          <w:szCs w:val="22"/>
        </w:rPr>
        <w:t xml:space="preserve"> ūkio subjektas – fizinis asmuo, privatusis juridinis asmuo, viešasis juridinis asmuo, kitos organizacijos ir jų padaliniai ar tokių asmenų grupė, su kuriuo Pirkėjas sudaro sutartį. </w:t>
      </w:r>
    </w:p>
    <w:p w14:paraId="5553961B"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color w:val="000000"/>
          <w:sz w:val="22"/>
          <w:szCs w:val="22"/>
        </w:rPr>
      </w:pPr>
      <w:r w:rsidRPr="000A54D7">
        <w:rPr>
          <w:rFonts w:eastAsia="Times New Roman"/>
          <w:b/>
          <w:color w:val="000000"/>
          <w:sz w:val="22"/>
          <w:szCs w:val="22"/>
        </w:rPr>
        <w:t>Sutartis</w:t>
      </w:r>
      <w:r w:rsidRPr="000A54D7">
        <w:rPr>
          <w:rFonts w:eastAsia="Times New Roman"/>
          <w:color w:val="000000"/>
          <w:sz w:val="22"/>
          <w:szCs w:val="22"/>
        </w:rPr>
        <w:t xml:space="preserve"> – dėl ekonominės naudos vieno ar daugiau ūkio subjektų sudaroma pirkimo sutartis, kurios dalykas yra prekės, paslaugos ar darbai. </w:t>
      </w:r>
    </w:p>
    <w:p w14:paraId="02B26573"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b/>
          <w:color w:val="000000"/>
          <w:sz w:val="22"/>
          <w:szCs w:val="22"/>
        </w:rPr>
      </w:pPr>
      <w:r w:rsidRPr="000A54D7">
        <w:rPr>
          <w:rFonts w:eastAsia="Times New Roman"/>
          <w:b/>
          <w:color w:val="000000"/>
          <w:sz w:val="22"/>
          <w:szCs w:val="22"/>
        </w:rPr>
        <w:t xml:space="preserve">Pirkimas – </w:t>
      </w:r>
      <w:r w:rsidRPr="000A54D7">
        <w:rPr>
          <w:rFonts w:eastAsia="Times New Roman"/>
          <w:color w:val="000000"/>
          <w:sz w:val="22"/>
          <w:szCs w:val="22"/>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10EAA5E0" w14:textId="77777777" w:rsidR="00A94D10" w:rsidRPr="000A54D7" w:rsidRDefault="00A94D10">
      <w:pPr>
        <w:tabs>
          <w:tab w:val="left" w:pos="851"/>
        </w:tabs>
        <w:jc w:val="both"/>
        <w:rPr>
          <w:b/>
          <w:sz w:val="22"/>
          <w:szCs w:val="22"/>
        </w:rPr>
      </w:pPr>
    </w:p>
    <w:p w14:paraId="14EA4597" w14:textId="77777777" w:rsidR="00A94D10" w:rsidRPr="000A54D7" w:rsidRDefault="000A54D7">
      <w:pPr>
        <w:pStyle w:val="Heading2"/>
        <w:numPr>
          <w:ilvl w:val="0"/>
          <w:numId w:val="1"/>
        </w:numPr>
        <w:rPr>
          <w:rFonts w:cs="Times New Roman"/>
          <w:sz w:val="22"/>
          <w:szCs w:val="22"/>
        </w:rPr>
      </w:pPr>
      <w:r w:rsidRPr="000A54D7">
        <w:rPr>
          <w:rFonts w:cs="Times New Roman"/>
          <w:sz w:val="22"/>
          <w:szCs w:val="22"/>
        </w:rPr>
        <w:t>PIRKIMO OBJEKTAS</w:t>
      </w:r>
    </w:p>
    <w:p w14:paraId="7A7C79B5" w14:textId="77777777" w:rsidR="00A94D10" w:rsidRPr="000A54D7" w:rsidRDefault="00A94D10">
      <w:pPr>
        <w:pBdr>
          <w:top w:val="nil"/>
          <w:left w:val="nil"/>
          <w:bottom w:val="nil"/>
          <w:right w:val="nil"/>
          <w:between w:val="nil"/>
        </w:pBdr>
        <w:ind w:left="720"/>
        <w:rPr>
          <w:rFonts w:eastAsia="Times New Roman"/>
          <w:b/>
          <w:color w:val="000000"/>
          <w:sz w:val="22"/>
          <w:szCs w:val="22"/>
        </w:rPr>
      </w:pPr>
    </w:p>
    <w:p w14:paraId="14561C61"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color w:val="000000"/>
          <w:sz w:val="22"/>
          <w:szCs w:val="22"/>
        </w:rPr>
      </w:pPr>
      <w:r w:rsidRPr="000A54D7">
        <w:rPr>
          <w:rFonts w:eastAsia="Times New Roman"/>
          <w:color w:val="000000"/>
          <w:sz w:val="22"/>
          <w:szCs w:val="22"/>
        </w:rPr>
        <w:t>Pirkimo</w:t>
      </w:r>
      <w:r w:rsidRPr="000A54D7">
        <w:rPr>
          <w:rFonts w:eastAsia="Times New Roman"/>
          <w:b/>
          <w:color w:val="000000"/>
          <w:sz w:val="22"/>
          <w:szCs w:val="22"/>
        </w:rPr>
        <w:t xml:space="preserve"> </w:t>
      </w:r>
      <w:r w:rsidRPr="000A54D7">
        <w:rPr>
          <w:rFonts w:eastAsia="Times New Roman"/>
          <w:b/>
          <w:color w:val="000000"/>
          <w:sz w:val="22"/>
          <w:szCs w:val="22"/>
        </w:rPr>
        <w:t>objektas</w:t>
      </w:r>
      <w:r w:rsidRPr="000A54D7">
        <w:rPr>
          <w:rFonts w:eastAsia="Times New Roman"/>
          <w:color w:val="000000"/>
          <w:sz w:val="22"/>
          <w:szCs w:val="22"/>
        </w:rPr>
        <w:t xml:space="preserve"> – </w:t>
      </w:r>
      <w:r w:rsidRPr="000A54D7">
        <w:rPr>
          <w:sz w:val="22"/>
          <w:szCs w:val="22"/>
        </w:rPr>
        <w:t>Druskininkų, Telšių, Kelmės</w:t>
      </w:r>
      <w:r w:rsidRPr="000A54D7">
        <w:rPr>
          <w:rFonts w:eastAsia="Times New Roman"/>
          <w:color w:val="000000"/>
          <w:sz w:val="22"/>
          <w:szCs w:val="22"/>
        </w:rPr>
        <w:t xml:space="preserve"> filial</w:t>
      </w:r>
      <w:r w:rsidRPr="000A54D7">
        <w:rPr>
          <w:sz w:val="22"/>
          <w:szCs w:val="22"/>
        </w:rPr>
        <w:t>ų</w:t>
      </w:r>
      <w:r w:rsidRPr="000A54D7">
        <w:rPr>
          <w:rFonts w:eastAsia="Times New Roman"/>
          <w:color w:val="000000"/>
          <w:sz w:val="22"/>
          <w:szCs w:val="22"/>
        </w:rPr>
        <w:t xml:space="preserve"> SCADA atnaujinimo licencijos.</w:t>
      </w:r>
    </w:p>
    <w:p w14:paraId="468B6006" w14:textId="77777777" w:rsidR="00A94D10" w:rsidRPr="000A54D7" w:rsidRDefault="000A54D7">
      <w:pPr>
        <w:numPr>
          <w:ilvl w:val="1"/>
          <w:numId w:val="1"/>
        </w:numPr>
        <w:pBdr>
          <w:top w:val="nil"/>
          <w:left w:val="nil"/>
          <w:bottom w:val="nil"/>
          <w:right w:val="nil"/>
          <w:between w:val="nil"/>
        </w:pBdr>
        <w:ind w:left="993" w:hanging="567"/>
        <w:jc w:val="both"/>
        <w:rPr>
          <w:rFonts w:eastAsia="Times New Roman"/>
          <w:b/>
          <w:color w:val="000000"/>
          <w:sz w:val="22"/>
          <w:szCs w:val="22"/>
        </w:rPr>
      </w:pPr>
      <w:r w:rsidRPr="000A54D7">
        <w:rPr>
          <w:rFonts w:eastAsia="Times New Roman"/>
          <w:color w:val="000000"/>
          <w:sz w:val="22"/>
          <w:szCs w:val="22"/>
        </w:rPr>
        <w:t>Pirkimas</w:t>
      </w:r>
      <w:r w:rsidRPr="000A54D7">
        <w:rPr>
          <w:rFonts w:eastAsia="Times New Roman"/>
          <w:color w:val="000000"/>
          <w:sz w:val="22"/>
          <w:szCs w:val="22"/>
        </w:rPr>
        <w:t xml:space="preserve"> </w:t>
      </w:r>
      <w:r w:rsidRPr="000A54D7">
        <w:rPr>
          <w:rFonts w:eastAsia="Times New Roman"/>
          <w:b/>
          <w:color w:val="000000"/>
          <w:sz w:val="22"/>
          <w:szCs w:val="22"/>
        </w:rPr>
        <w:t>neskaidomas</w:t>
      </w:r>
      <w:r w:rsidRPr="000A54D7">
        <w:rPr>
          <w:rFonts w:eastAsia="Times New Roman"/>
          <w:color w:val="000000"/>
          <w:sz w:val="22"/>
          <w:szCs w:val="22"/>
        </w:rPr>
        <w:t xml:space="preserve"> į Pirkimo</w:t>
      </w:r>
      <w:r w:rsidRPr="000A54D7">
        <w:rPr>
          <w:rFonts w:eastAsia="Times New Roman"/>
          <w:color w:val="000000"/>
          <w:sz w:val="22"/>
          <w:szCs w:val="22"/>
        </w:rPr>
        <w:t xml:space="preserve"> objekto dalis.</w:t>
      </w:r>
    </w:p>
    <w:p w14:paraId="6BEF9527" w14:textId="77777777" w:rsidR="00A94D10" w:rsidRPr="000A54D7" w:rsidRDefault="00A94D10">
      <w:pPr>
        <w:pBdr>
          <w:top w:val="nil"/>
          <w:left w:val="nil"/>
          <w:bottom w:val="nil"/>
          <w:right w:val="nil"/>
          <w:between w:val="nil"/>
        </w:pBdr>
        <w:ind w:left="993"/>
        <w:jc w:val="both"/>
        <w:rPr>
          <w:rFonts w:eastAsia="Times New Roman"/>
          <w:b/>
          <w:color w:val="000000"/>
          <w:sz w:val="22"/>
          <w:szCs w:val="22"/>
        </w:rPr>
      </w:pPr>
    </w:p>
    <w:p w14:paraId="6139E43D" w14:textId="77777777" w:rsidR="00A94D10" w:rsidRPr="000A54D7" w:rsidRDefault="000A54D7">
      <w:pPr>
        <w:pStyle w:val="Heading2"/>
        <w:numPr>
          <w:ilvl w:val="0"/>
          <w:numId w:val="1"/>
        </w:numPr>
        <w:rPr>
          <w:rFonts w:cs="Times New Roman"/>
          <w:sz w:val="22"/>
          <w:szCs w:val="22"/>
        </w:rPr>
      </w:pPr>
      <w:r w:rsidRPr="000A54D7">
        <w:rPr>
          <w:rFonts w:cs="Times New Roman"/>
          <w:sz w:val="22"/>
          <w:szCs w:val="22"/>
        </w:rPr>
        <w:t>PIRKIMO OBJEKTO APIMTYS</w:t>
      </w:r>
    </w:p>
    <w:p w14:paraId="04F5E7BB" w14:textId="77777777" w:rsidR="00A94D10" w:rsidRPr="000A54D7" w:rsidRDefault="00A94D10">
      <w:pPr>
        <w:ind w:firstLine="720"/>
        <w:rPr>
          <w:b/>
          <w:sz w:val="22"/>
          <w:szCs w:val="22"/>
        </w:rPr>
      </w:pPr>
    </w:p>
    <w:p w14:paraId="68C7B62A" w14:textId="77777777" w:rsidR="00A94D10" w:rsidRPr="000A54D7" w:rsidRDefault="000A54D7">
      <w:pPr>
        <w:numPr>
          <w:ilvl w:val="1"/>
          <w:numId w:val="1"/>
        </w:numPr>
        <w:pBdr>
          <w:top w:val="nil"/>
          <w:left w:val="nil"/>
          <w:bottom w:val="nil"/>
          <w:right w:val="nil"/>
          <w:between w:val="nil"/>
        </w:pBdr>
        <w:ind w:left="786"/>
        <w:jc w:val="both"/>
        <w:rPr>
          <w:rFonts w:eastAsia="Times New Roman"/>
          <w:color w:val="000000"/>
          <w:sz w:val="22"/>
          <w:szCs w:val="22"/>
        </w:rPr>
      </w:pPr>
      <w:r w:rsidRPr="000A54D7">
        <w:rPr>
          <w:sz w:val="22"/>
          <w:szCs w:val="22"/>
        </w:rPr>
        <w:t>Tiekėjas turi pateikti Priede Nr.1 nurodytas  naujas prekes.</w:t>
      </w:r>
      <w:r w:rsidRPr="000A54D7">
        <w:rPr>
          <w:rFonts w:eastAsia="Times New Roman"/>
          <w:b/>
          <w:color w:val="000000"/>
          <w:sz w:val="22"/>
          <w:szCs w:val="22"/>
        </w:rPr>
        <w:t xml:space="preserve"> </w:t>
      </w:r>
    </w:p>
    <w:p w14:paraId="50A4632A" w14:textId="77777777" w:rsidR="00A94D10" w:rsidRPr="000A54D7" w:rsidRDefault="000A54D7">
      <w:pPr>
        <w:numPr>
          <w:ilvl w:val="1"/>
          <w:numId w:val="1"/>
        </w:numPr>
        <w:ind w:left="786"/>
        <w:jc w:val="both"/>
        <w:rPr>
          <w:sz w:val="22"/>
          <w:szCs w:val="22"/>
        </w:rPr>
      </w:pPr>
      <w:r w:rsidRPr="000A54D7">
        <w:rPr>
          <w:sz w:val="22"/>
          <w:szCs w:val="22"/>
        </w:rPr>
        <w:t>Prekės kainas Tiekėjas pateikia užpildydamas Priede Nr.1. esančią lentelę. Į prekės kainą turi būti įskaičiuotos prekės pristatymo ir kitos su prekės pateikimu susiję išlaidos.</w:t>
      </w:r>
    </w:p>
    <w:p w14:paraId="4D7D3067" w14:textId="77777777" w:rsidR="00A94D10" w:rsidRPr="000A54D7" w:rsidRDefault="000A54D7">
      <w:pPr>
        <w:numPr>
          <w:ilvl w:val="1"/>
          <w:numId w:val="1"/>
        </w:numPr>
        <w:pBdr>
          <w:top w:val="nil"/>
          <w:left w:val="nil"/>
          <w:bottom w:val="nil"/>
          <w:right w:val="nil"/>
          <w:between w:val="nil"/>
        </w:pBdr>
        <w:ind w:left="786"/>
        <w:jc w:val="both"/>
        <w:rPr>
          <w:rFonts w:eastAsia="Times New Roman"/>
          <w:color w:val="000000"/>
          <w:sz w:val="22"/>
          <w:szCs w:val="22"/>
        </w:rPr>
      </w:pPr>
      <w:r w:rsidRPr="000A54D7">
        <w:rPr>
          <w:rFonts w:eastAsia="Times New Roman"/>
          <w:color w:val="000000"/>
          <w:sz w:val="22"/>
          <w:szCs w:val="22"/>
        </w:rPr>
        <w:t xml:space="preserve"> </w:t>
      </w:r>
      <w:r w:rsidRPr="000A54D7">
        <w:rPr>
          <w:color w:val="000000"/>
          <w:sz w:val="22"/>
          <w:szCs w:val="22"/>
        </w:rPr>
        <w:t xml:space="preserve">Užsakymą Pirkėjas Tiekėjui pateikia </w:t>
      </w:r>
      <w:r w:rsidRPr="000A54D7">
        <w:rPr>
          <w:sz w:val="22"/>
          <w:szCs w:val="22"/>
        </w:rPr>
        <w:t xml:space="preserve">po sutarties pasirašymo </w:t>
      </w:r>
      <w:r w:rsidRPr="000A54D7">
        <w:rPr>
          <w:color w:val="000000"/>
          <w:sz w:val="22"/>
          <w:szCs w:val="22"/>
        </w:rPr>
        <w:t>raštu arba elektroniniu paštu.</w:t>
      </w:r>
    </w:p>
    <w:p w14:paraId="56B6B9B5" w14:textId="77777777" w:rsidR="00A94D10" w:rsidRPr="000A54D7" w:rsidRDefault="000A54D7">
      <w:pPr>
        <w:numPr>
          <w:ilvl w:val="1"/>
          <w:numId w:val="1"/>
        </w:numPr>
        <w:pBdr>
          <w:top w:val="nil"/>
          <w:left w:val="nil"/>
          <w:bottom w:val="nil"/>
          <w:right w:val="nil"/>
          <w:between w:val="nil"/>
        </w:pBdr>
        <w:ind w:left="786"/>
        <w:jc w:val="both"/>
        <w:rPr>
          <w:sz w:val="22"/>
          <w:szCs w:val="22"/>
        </w:rPr>
      </w:pPr>
      <w:r w:rsidRPr="000A54D7">
        <w:rPr>
          <w:sz w:val="22"/>
          <w:szCs w:val="22"/>
        </w:rPr>
        <w:t xml:space="preserve"> Pirkėjas neįsipareigoja užsakyti ir nupirkti visų Priede Nr.1 numatytų prekių.</w:t>
      </w:r>
    </w:p>
    <w:p w14:paraId="3AFF29E0" w14:textId="77777777" w:rsidR="00A94D10" w:rsidRPr="000A54D7" w:rsidRDefault="000A54D7">
      <w:pPr>
        <w:numPr>
          <w:ilvl w:val="1"/>
          <w:numId w:val="1"/>
        </w:numPr>
        <w:pBdr>
          <w:top w:val="nil"/>
          <w:left w:val="nil"/>
          <w:bottom w:val="nil"/>
          <w:right w:val="nil"/>
          <w:between w:val="nil"/>
        </w:pBdr>
        <w:ind w:left="786"/>
        <w:jc w:val="both"/>
        <w:rPr>
          <w:rFonts w:eastAsia="Times New Roman"/>
          <w:color w:val="000000"/>
          <w:sz w:val="22"/>
          <w:szCs w:val="22"/>
        </w:rPr>
      </w:pPr>
      <w:r w:rsidRPr="000A54D7">
        <w:rPr>
          <w:color w:val="000000"/>
          <w:sz w:val="22"/>
          <w:szCs w:val="22"/>
        </w:rPr>
        <w:t xml:space="preserve"> Prekių tiekimo terminas n</w:t>
      </w:r>
      <w:r w:rsidRPr="000A54D7">
        <w:rPr>
          <w:rFonts w:eastAsia="Times New Roman"/>
          <w:color w:val="000000"/>
          <w:sz w:val="22"/>
          <w:szCs w:val="22"/>
        </w:rPr>
        <w:t>e daugiau</w:t>
      </w:r>
      <w:r w:rsidRPr="000A54D7">
        <w:rPr>
          <w:sz w:val="22"/>
          <w:szCs w:val="22"/>
        </w:rPr>
        <w:t xml:space="preserve"> 50</w:t>
      </w:r>
      <w:r w:rsidRPr="000A54D7">
        <w:rPr>
          <w:rFonts w:eastAsia="Times New Roman"/>
          <w:color w:val="000000"/>
          <w:sz w:val="22"/>
          <w:szCs w:val="22"/>
        </w:rPr>
        <w:t xml:space="preserve"> kalendorinių dienų nuo užsakymo pateikimo dienos.</w:t>
      </w:r>
    </w:p>
    <w:p w14:paraId="69F63709" w14:textId="77777777" w:rsidR="00A94D10" w:rsidRPr="000A54D7" w:rsidRDefault="00A94D10">
      <w:pPr>
        <w:pBdr>
          <w:top w:val="nil"/>
          <w:left w:val="nil"/>
          <w:bottom w:val="nil"/>
          <w:right w:val="nil"/>
          <w:between w:val="nil"/>
        </w:pBdr>
        <w:tabs>
          <w:tab w:val="left" w:pos="851"/>
        </w:tabs>
        <w:ind w:left="426"/>
        <w:jc w:val="both"/>
        <w:rPr>
          <w:rFonts w:eastAsia="Times New Roman"/>
          <w:b/>
          <w:color w:val="000000"/>
          <w:sz w:val="22"/>
          <w:szCs w:val="22"/>
        </w:rPr>
      </w:pPr>
    </w:p>
    <w:p w14:paraId="25AA4B1C" w14:textId="77777777" w:rsidR="00A94D10" w:rsidRPr="000A54D7" w:rsidRDefault="000A54D7">
      <w:pPr>
        <w:pStyle w:val="Heading2"/>
        <w:numPr>
          <w:ilvl w:val="0"/>
          <w:numId w:val="1"/>
        </w:numPr>
        <w:rPr>
          <w:rFonts w:cs="Times New Roman"/>
          <w:sz w:val="22"/>
          <w:szCs w:val="22"/>
        </w:rPr>
      </w:pPr>
      <w:r w:rsidRPr="000A54D7">
        <w:rPr>
          <w:rFonts w:cs="Times New Roman"/>
          <w:sz w:val="22"/>
          <w:szCs w:val="22"/>
        </w:rPr>
        <w:t>SUTARTINIŲ ĮSIPAREIGOJIMŲ VYKDYMO VIETA</w:t>
      </w:r>
    </w:p>
    <w:p w14:paraId="111027CC" w14:textId="77777777" w:rsidR="00A94D10" w:rsidRPr="000A54D7" w:rsidRDefault="00A94D10">
      <w:pPr>
        <w:ind w:left="426"/>
        <w:jc w:val="both"/>
        <w:rPr>
          <w:b/>
          <w:sz w:val="22"/>
          <w:szCs w:val="22"/>
        </w:rPr>
      </w:pPr>
    </w:p>
    <w:p w14:paraId="33D3808C" w14:textId="77777777" w:rsidR="00A94D10" w:rsidRPr="000A54D7" w:rsidRDefault="000A54D7">
      <w:pPr>
        <w:numPr>
          <w:ilvl w:val="1"/>
          <w:numId w:val="1"/>
        </w:numPr>
        <w:pBdr>
          <w:top w:val="nil"/>
          <w:left w:val="nil"/>
          <w:bottom w:val="nil"/>
          <w:right w:val="nil"/>
          <w:between w:val="nil"/>
        </w:pBdr>
        <w:ind w:left="786"/>
        <w:jc w:val="both"/>
        <w:rPr>
          <w:rFonts w:eastAsia="Times New Roman"/>
          <w:color w:val="000000"/>
          <w:sz w:val="22"/>
          <w:szCs w:val="22"/>
        </w:rPr>
      </w:pPr>
      <w:r w:rsidRPr="000A54D7">
        <w:rPr>
          <w:rFonts w:eastAsia="Times New Roman"/>
          <w:color w:val="000000"/>
          <w:sz w:val="22"/>
          <w:szCs w:val="22"/>
        </w:rPr>
        <w:t xml:space="preserve">  Prekės turi būti pateiktos adres</w:t>
      </w:r>
      <w:r w:rsidRPr="000A54D7">
        <w:rPr>
          <w:sz w:val="22"/>
          <w:szCs w:val="22"/>
        </w:rPr>
        <w:t>ais</w:t>
      </w:r>
    </w:p>
    <w:p w14:paraId="53F7409E" w14:textId="77777777" w:rsidR="00A94D10" w:rsidRPr="000A54D7" w:rsidRDefault="000A54D7">
      <w:pPr>
        <w:numPr>
          <w:ilvl w:val="2"/>
          <w:numId w:val="1"/>
        </w:numPr>
        <w:pBdr>
          <w:top w:val="nil"/>
          <w:left w:val="nil"/>
          <w:bottom w:val="nil"/>
          <w:right w:val="nil"/>
          <w:between w:val="nil"/>
        </w:pBdr>
        <w:ind w:left="1212"/>
        <w:jc w:val="both"/>
        <w:rPr>
          <w:sz w:val="22"/>
          <w:szCs w:val="22"/>
        </w:rPr>
      </w:pPr>
      <w:r w:rsidRPr="000A54D7">
        <w:rPr>
          <w:sz w:val="22"/>
          <w:szCs w:val="22"/>
        </w:rPr>
        <w:t>UAB “Litesko” filialas “Druskininkų šiluma”, Pramonės g. 7,  Druskininkai.</w:t>
      </w:r>
    </w:p>
    <w:p w14:paraId="4F76CB5C" w14:textId="77777777" w:rsidR="00A94D10" w:rsidRPr="000A54D7" w:rsidRDefault="000A54D7">
      <w:pPr>
        <w:numPr>
          <w:ilvl w:val="2"/>
          <w:numId w:val="1"/>
        </w:numPr>
        <w:pBdr>
          <w:top w:val="nil"/>
          <w:left w:val="nil"/>
          <w:bottom w:val="nil"/>
          <w:right w:val="nil"/>
          <w:between w:val="nil"/>
        </w:pBdr>
        <w:ind w:left="1212"/>
        <w:jc w:val="both"/>
        <w:rPr>
          <w:sz w:val="22"/>
          <w:szCs w:val="22"/>
        </w:rPr>
      </w:pPr>
      <w:r w:rsidRPr="000A54D7">
        <w:rPr>
          <w:sz w:val="22"/>
          <w:szCs w:val="22"/>
        </w:rPr>
        <w:t>UAB „Litesko“ filialas „Telšių šiluma“ Lygumų g. 69, Telšiai</w:t>
      </w:r>
    </w:p>
    <w:p w14:paraId="1B6459B9" w14:textId="77777777" w:rsidR="00A94D10" w:rsidRPr="000A54D7" w:rsidRDefault="000A54D7">
      <w:pPr>
        <w:numPr>
          <w:ilvl w:val="2"/>
          <w:numId w:val="1"/>
        </w:numPr>
        <w:pBdr>
          <w:top w:val="nil"/>
          <w:left w:val="nil"/>
          <w:bottom w:val="nil"/>
          <w:right w:val="nil"/>
          <w:between w:val="nil"/>
        </w:pBdr>
        <w:ind w:left="1212"/>
        <w:jc w:val="both"/>
        <w:rPr>
          <w:sz w:val="22"/>
          <w:szCs w:val="22"/>
        </w:rPr>
      </w:pPr>
      <w:r w:rsidRPr="000A54D7">
        <w:rPr>
          <w:sz w:val="22"/>
          <w:szCs w:val="22"/>
        </w:rPr>
        <w:t xml:space="preserve"> UAB „Litesko“ filialas „Kelmės šiluma“ Mackevičiaus g. 10 Kelmė</w:t>
      </w:r>
    </w:p>
    <w:p w14:paraId="73D2C4C1" w14:textId="77777777" w:rsidR="00A94D10" w:rsidRPr="000A54D7" w:rsidRDefault="00A94D10">
      <w:pPr>
        <w:jc w:val="both"/>
        <w:rPr>
          <w:sz w:val="22"/>
          <w:szCs w:val="22"/>
        </w:rPr>
      </w:pPr>
    </w:p>
    <w:p w14:paraId="77D302F1" w14:textId="77777777" w:rsidR="00A94D10" w:rsidRPr="000A54D7" w:rsidRDefault="000A54D7">
      <w:pPr>
        <w:pStyle w:val="Heading2"/>
        <w:numPr>
          <w:ilvl w:val="0"/>
          <w:numId w:val="1"/>
        </w:numPr>
        <w:rPr>
          <w:rFonts w:cs="Times New Roman"/>
          <w:sz w:val="22"/>
          <w:szCs w:val="22"/>
        </w:rPr>
      </w:pPr>
      <w:r w:rsidRPr="000A54D7">
        <w:rPr>
          <w:rFonts w:cs="Times New Roman"/>
          <w:sz w:val="22"/>
          <w:szCs w:val="22"/>
        </w:rPr>
        <w:t>KOKYBĖ IR TRŪKUMŲ ŠALINIMAS</w:t>
      </w:r>
    </w:p>
    <w:p w14:paraId="7524C7DE" w14:textId="77777777" w:rsidR="00A94D10" w:rsidRPr="000A54D7" w:rsidRDefault="00A94D10">
      <w:pPr>
        <w:pBdr>
          <w:top w:val="nil"/>
          <w:left w:val="nil"/>
          <w:bottom w:val="nil"/>
          <w:right w:val="nil"/>
          <w:between w:val="nil"/>
        </w:pBdr>
        <w:tabs>
          <w:tab w:val="left" w:pos="851"/>
        </w:tabs>
        <w:ind w:left="720"/>
        <w:jc w:val="both"/>
        <w:rPr>
          <w:rFonts w:eastAsia="Times New Roman"/>
          <w:color w:val="000000"/>
          <w:sz w:val="22"/>
          <w:szCs w:val="22"/>
        </w:rPr>
      </w:pPr>
    </w:p>
    <w:p w14:paraId="1F147448" w14:textId="77777777" w:rsidR="00A94D10" w:rsidRPr="000A54D7" w:rsidRDefault="000A54D7">
      <w:pPr>
        <w:numPr>
          <w:ilvl w:val="1"/>
          <w:numId w:val="1"/>
        </w:numPr>
        <w:pBdr>
          <w:top w:val="nil"/>
          <w:left w:val="nil"/>
          <w:bottom w:val="nil"/>
          <w:right w:val="nil"/>
          <w:between w:val="nil"/>
        </w:pBdr>
        <w:ind w:left="992" w:hanging="567"/>
        <w:jc w:val="both"/>
        <w:rPr>
          <w:rFonts w:eastAsia="Times New Roman"/>
          <w:color w:val="000000"/>
          <w:sz w:val="22"/>
          <w:szCs w:val="22"/>
        </w:rPr>
      </w:pPr>
      <w:r w:rsidRPr="000A54D7">
        <w:rPr>
          <w:rFonts w:eastAsia="Times New Roman"/>
          <w:color w:val="000000"/>
          <w:sz w:val="22"/>
          <w:szCs w:val="22"/>
        </w:rPr>
        <w:t xml:space="preserve"> Pirkėjui pastebėjus prekės trūkumus Tiekėjas priva</w:t>
      </w:r>
      <w:r w:rsidRPr="000A54D7">
        <w:rPr>
          <w:rFonts w:eastAsia="Times New Roman"/>
          <w:color w:val="000000"/>
          <w:sz w:val="22"/>
          <w:szCs w:val="22"/>
        </w:rPr>
        <w:t>lo pašalinti:</w:t>
      </w:r>
    </w:p>
    <w:p w14:paraId="6EBD9F88" w14:textId="77777777" w:rsidR="00A94D10" w:rsidRPr="000A54D7" w:rsidRDefault="000A54D7">
      <w:pPr>
        <w:ind w:left="992"/>
        <w:jc w:val="both"/>
        <w:rPr>
          <w:sz w:val="22"/>
          <w:szCs w:val="22"/>
        </w:rPr>
      </w:pPr>
      <w:r w:rsidRPr="000A54D7">
        <w:rPr>
          <w:sz w:val="22"/>
          <w:szCs w:val="22"/>
        </w:rPr>
        <w:t>-per 30 kalendorinių dienų, jei pastebėti trūkumai tiesiogiai neįtakoja Pirkėjo gamybinių procesų;</w:t>
      </w:r>
    </w:p>
    <w:p w14:paraId="7B9E1924" w14:textId="77777777" w:rsidR="00A94D10" w:rsidRPr="000A54D7" w:rsidRDefault="000A54D7">
      <w:pPr>
        <w:ind w:left="492"/>
        <w:jc w:val="both"/>
        <w:rPr>
          <w:sz w:val="22"/>
          <w:szCs w:val="22"/>
        </w:rPr>
      </w:pPr>
      <w:r w:rsidRPr="000A54D7">
        <w:rPr>
          <w:sz w:val="22"/>
          <w:szCs w:val="22"/>
        </w:rPr>
        <w:t xml:space="preserve">        -per 2 kalendorines dienas, jei pastebėti trūkumai tiesiogiai įtakoja Pirkėjo gamybinius procesus.</w:t>
      </w:r>
    </w:p>
    <w:p w14:paraId="7B377A47" w14:textId="77777777" w:rsidR="00A94D10" w:rsidRPr="000A54D7" w:rsidRDefault="00A94D10">
      <w:pPr>
        <w:pBdr>
          <w:top w:val="nil"/>
          <w:left w:val="nil"/>
          <w:bottom w:val="nil"/>
          <w:right w:val="nil"/>
          <w:between w:val="nil"/>
        </w:pBdr>
        <w:tabs>
          <w:tab w:val="left" w:pos="851"/>
        </w:tabs>
        <w:ind w:left="426"/>
        <w:jc w:val="both"/>
        <w:rPr>
          <w:rFonts w:eastAsia="Times New Roman"/>
          <w:color w:val="000000"/>
          <w:sz w:val="22"/>
          <w:szCs w:val="22"/>
        </w:rPr>
      </w:pPr>
    </w:p>
    <w:p w14:paraId="1A5AEDE8" w14:textId="77777777" w:rsidR="00A94D10" w:rsidRPr="000A54D7" w:rsidRDefault="000A54D7">
      <w:pPr>
        <w:pStyle w:val="Heading2"/>
        <w:numPr>
          <w:ilvl w:val="0"/>
          <w:numId w:val="1"/>
        </w:numPr>
        <w:rPr>
          <w:rFonts w:cs="Times New Roman"/>
          <w:sz w:val="22"/>
          <w:szCs w:val="22"/>
        </w:rPr>
      </w:pPr>
      <w:r w:rsidRPr="000A54D7">
        <w:rPr>
          <w:rFonts w:cs="Times New Roman"/>
          <w:sz w:val="22"/>
          <w:szCs w:val="22"/>
        </w:rPr>
        <w:t>SUTARTIES GALIOJIMO TERMINAS</w:t>
      </w:r>
    </w:p>
    <w:p w14:paraId="2D65975A" w14:textId="77777777" w:rsidR="00A94D10" w:rsidRPr="000A54D7" w:rsidRDefault="000A54D7">
      <w:pPr>
        <w:numPr>
          <w:ilvl w:val="1"/>
          <w:numId w:val="1"/>
        </w:numPr>
        <w:spacing w:after="160" w:line="259" w:lineRule="auto"/>
        <w:jc w:val="both"/>
        <w:rPr>
          <w:sz w:val="22"/>
          <w:szCs w:val="22"/>
        </w:rPr>
      </w:pPr>
      <w:r w:rsidRPr="000A54D7">
        <w:rPr>
          <w:sz w:val="22"/>
          <w:szCs w:val="22"/>
        </w:rPr>
        <w:t>Sutartis įsigalioja nuo sutarties pasirašymo dienos ir galioja 24 mėnesius.</w:t>
      </w:r>
    </w:p>
    <w:p w14:paraId="2D6C28C5" w14:textId="77777777" w:rsidR="00A94D10" w:rsidRPr="000A54D7" w:rsidRDefault="00A94D10">
      <w:pPr>
        <w:tabs>
          <w:tab w:val="left" w:pos="851"/>
        </w:tabs>
        <w:jc w:val="right"/>
        <w:rPr>
          <w:b/>
          <w:sz w:val="22"/>
          <w:szCs w:val="22"/>
        </w:rPr>
      </w:pPr>
    </w:p>
    <w:p w14:paraId="2964D593" w14:textId="77777777" w:rsidR="00A94D10" w:rsidRPr="000A54D7" w:rsidRDefault="00A94D10">
      <w:pPr>
        <w:tabs>
          <w:tab w:val="left" w:pos="851"/>
        </w:tabs>
        <w:jc w:val="right"/>
        <w:rPr>
          <w:b/>
          <w:sz w:val="22"/>
          <w:szCs w:val="22"/>
        </w:rPr>
      </w:pPr>
    </w:p>
    <w:p w14:paraId="1C62313C" w14:textId="77777777" w:rsidR="00A94D10" w:rsidRPr="000A54D7" w:rsidRDefault="00A94D10">
      <w:pPr>
        <w:tabs>
          <w:tab w:val="left" w:pos="851"/>
        </w:tabs>
        <w:jc w:val="right"/>
        <w:rPr>
          <w:b/>
          <w:sz w:val="22"/>
          <w:szCs w:val="22"/>
        </w:rPr>
      </w:pPr>
    </w:p>
    <w:p w14:paraId="7E07938C" w14:textId="77777777" w:rsidR="00A94D10" w:rsidRPr="000A54D7" w:rsidRDefault="00A94D10">
      <w:pPr>
        <w:tabs>
          <w:tab w:val="left" w:pos="851"/>
        </w:tabs>
        <w:jc w:val="right"/>
        <w:rPr>
          <w:b/>
          <w:sz w:val="22"/>
          <w:szCs w:val="22"/>
        </w:rPr>
      </w:pPr>
    </w:p>
    <w:p w14:paraId="03B47061" w14:textId="77777777" w:rsidR="00A94D10" w:rsidRPr="000A54D7" w:rsidRDefault="00A94D10">
      <w:pPr>
        <w:tabs>
          <w:tab w:val="left" w:pos="851"/>
        </w:tabs>
        <w:jc w:val="right"/>
        <w:rPr>
          <w:b/>
          <w:sz w:val="22"/>
          <w:szCs w:val="22"/>
        </w:rPr>
      </w:pPr>
    </w:p>
    <w:p w14:paraId="3C47D8EF" w14:textId="77777777" w:rsidR="00A94D10" w:rsidRPr="000A54D7" w:rsidRDefault="00A94D10">
      <w:pPr>
        <w:tabs>
          <w:tab w:val="left" w:pos="851"/>
        </w:tabs>
        <w:jc w:val="right"/>
        <w:rPr>
          <w:b/>
          <w:sz w:val="22"/>
          <w:szCs w:val="22"/>
        </w:rPr>
      </w:pPr>
    </w:p>
    <w:p w14:paraId="2B5A1C4C" w14:textId="77777777" w:rsidR="00A94D10" w:rsidRPr="000A54D7" w:rsidRDefault="00A94D10">
      <w:pPr>
        <w:tabs>
          <w:tab w:val="left" w:pos="851"/>
        </w:tabs>
        <w:jc w:val="right"/>
        <w:rPr>
          <w:b/>
          <w:sz w:val="22"/>
          <w:szCs w:val="22"/>
        </w:rPr>
      </w:pPr>
    </w:p>
    <w:p w14:paraId="3AFC506C" w14:textId="77777777" w:rsidR="00A94D10" w:rsidRPr="000A54D7" w:rsidRDefault="00A94D10">
      <w:pPr>
        <w:tabs>
          <w:tab w:val="left" w:pos="851"/>
        </w:tabs>
        <w:jc w:val="right"/>
        <w:rPr>
          <w:b/>
          <w:sz w:val="22"/>
          <w:szCs w:val="22"/>
        </w:rPr>
      </w:pPr>
    </w:p>
    <w:p w14:paraId="7CA61DA4" w14:textId="77777777" w:rsidR="00A94D10" w:rsidRPr="000A54D7" w:rsidRDefault="00A94D10">
      <w:pPr>
        <w:tabs>
          <w:tab w:val="left" w:pos="851"/>
        </w:tabs>
        <w:jc w:val="right"/>
        <w:rPr>
          <w:b/>
          <w:sz w:val="22"/>
          <w:szCs w:val="22"/>
        </w:rPr>
      </w:pPr>
    </w:p>
    <w:p w14:paraId="0BCC17B0" w14:textId="77777777" w:rsidR="00A94D10" w:rsidRPr="000A54D7" w:rsidRDefault="00A94D10">
      <w:pPr>
        <w:tabs>
          <w:tab w:val="left" w:pos="851"/>
        </w:tabs>
        <w:jc w:val="right"/>
        <w:rPr>
          <w:b/>
          <w:sz w:val="22"/>
          <w:szCs w:val="22"/>
        </w:rPr>
      </w:pPr>
    </w:p>
    <w:p w14:paraId="2FB57F33" w14:textId="77777777" w:rsidR="00A94D10" w:rsidRPr="000A54D7" w:rsidRDefault="00A94D10">
      <w:pPr>
        <w:tabs>
          <w:tab w:val="left" w:pos="851"/>
        </w:tabs>
        <w:jc w:val="right"/>
        <w:rPr>
          <w:b/>
          <w:sz w:val="22"/>
          <w:szCs w:val="22"/>
        </w:rPr>
      </w:pPr>
    </w:p>
    <w:p w14:paraId="60DD8D35" w14:textId="77777777" w:rsidR="00A94D10" w:rsidRPr="000A54D7" w:rsidRDefault="000A54D7">
      <w:pPr>
        <w:tabs>
          <w:tab w:val="left" w:pos="851"/>
          <w:tab w:val="right" w:pos="10466"/>
        </w:tabs>
        <w:rPr>
          <w:b/>
          <w:sz w:val="22"/>
          <w:szCs w:val="22"/>
        </w:rPr>
      </w:pPr>
      <w:r w:rsidRPr="000A54D7">
        <w:rPr>
          <w:b/>
          <w:sz w:val="22"/>
          <w:szCs w:val="22"/>
        </w:rPr>
        <w:lastRenderedPageBreak/>
        <w:t>PRIEDAS 1</w:t>
      </w:r>
    </w:p>
    <w:p w14:paraId="2E7F279C" w14:textId="77777777" w:rsidR="00A94D10" w:rsidRPr="000A54D7" w:rsidRDefault="00A94D10">
      <w:pPr>
        <w:rPr>
          <w:sz w:val="22"/>
          <w:szCs w:val="22"/>
        </w:rPr>
      </w:pPr>
    </w:p>
    <w:p w14:paraId="5F1F6117" w14:textId="77777777" w:rsidR="00A94D10" w:rsidRPr="000A54D7" w:rsidRDefault="00A94D10">
      <w:pPr>
        <w:rPr>
          <w:sz w:val="22"/>
          <w:szCs w:val="22"/>
        </w:rPr>
      </w:pPr>
    </w:p>
    <w:p w14:paraId="51DC8BE4" w14:textId="77777777" w:rsidR="00A94D10" w:rsidRPr="000A54D7" w:rsidRDefault="000A54D7">
      <w:pPr>
        <w:rPr>
          <w:sz w:val="22"/>
          <w:szCs w:val="22"/>
        </w:rPr>
      </w:pPr>
      <w:r w:rsidRPr="000A54D7">
        <w:rPr>
          <w:sz w:val="22"/>
          <w:szCs w:val="22"/>
        </w:rPr>
        <w:t>Druskininkai:</w:t>
      </w:r>
    </w:p>
    <w:tbl>
      <w:tblPr>
        <w:tblStyle w:val="a"/>
        <w:tblW w:w="10456" w:type="dxa"/>
        <w:tblLayout w:type="fixed"/>
        <w:tblLook w:val="0400" w:firstRow="0" w:lastRow="0" w:firstColumn="0" w:lastColumn="0" w:noHBand="0" w:noVBand="1"/>
      </w:tblPr>
      <w:tblGrid>
        <w:gridCol w:w="597"/>
        <w:gridCol w:w="1667"/>
        <w:gridCol w:w="3542"/>
        <w:gridCol w:w="991"/>
        <w:gridCol w:w="851"/>
        <w:gridCol w:w="1422"/>
        <w:gridCol w:w="1386"/>
      </w:tblGrid>
      <w:tr w:rsidR="00A94D10" w:rsidRPr="000A54D7" w14:paraId="2AF18D98" w14:textId="77777777">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902F" w14:textId="77777777" w:rsidR="00A94D10" w:rsidRPr="000A54D7" w:rsidRDefault="000A54D7">
            <w:pPr>
              <w:jc w:val="center"/>
              <w:rPr>
                <w:color w:val="000000"/>
                <w:sz w:val="22"/>
                <w:szCs w:val="22"/>
              </w:rPr>
            </w:pPr>
            <w:bookmarkStart w:id="0" w:name="bookmark=id.gjdgxs" w:colFirst="0" w:colLast="0"/>
            <w:bookmarkEnd w:id="0"/>
            <w:r w:rsidRPr="000A54D7">
              <w:rPr>
                <w:color w:val="000000"/>
                <w:sz w:val="22"/>
                <w:szCs w:val="22"/>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457B1332" w14:textId="77777777" w:rsidR="00A94D10" w:rsidRPr="000A54D7" w:rsidRDefault="000A54D7">
            <w:pPr>
              <w:jc w:val="center"/>
              <w:rPr>
                <w:color w:val="000000"/>
                <w:sz w:val="22"/>
                <w:szCs w:val="22"/>
              </w:rPr>
            </w:pPr>
            <w:r w:rsidRPr="000A54D7">
              <w:rPr>
                <w:color w:val="000000"/>
                <w:sz w:val="22"/>
                <w:szCs w:val="22"/>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1D9C40E1" w14:textId="77777777" w:rsidR="00A94D10" w:rsidRPr="000A54D7" w:rsidRDefault="000A54D7">
            <w:pPr>
              <w:jc w:val="center"/>
              <w:rPr>
                <w:color w:val="000000"/>
                <w:sz w:val="22"/>
                <w:szCs w:val="22"/>
              </w:rPr>
            </w:pPr>
            <w:r w:rsidRPr="000A54D7">
              <w:rPr>
                <w:color w:val="000000"/>
                <w:sz w:val="22"/>
                <w:szCs w:val="22"/>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0E71B7CE" w14:textId="77777777" w:rsidR="00A94D10" w:rsidRPr="000A54D7" w:rsidRDefault="000A54D7">
            <w:pPr>
              <w:jc w:val="center"/>
              <w:rPr>
                <w:color w:val="000000"/>
                <w:sz w:val="22"/>
                <w:szCs w:val="22"/>
              </w:rPr>
            </w:pPr>
            <w:r w:rsidRPr="000A54D7">
              <w:rPr>
                <w:color w:val="000000"/>
                <w:sz w:val="22"/>
                <w:szCs w:val="22"/>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BA518ED" w14:textId="77777777" w:rsidR="00A94D10" w:rsidRPr="000A54D7" w:rsidRDefault="000A54D7">
            <w:pPr>
              <w:jc w:val="center"/>
              <w:rPr>
                <w:color w:val="000000"/>
                <w:sz w:val="22"/>
                <w:szCs w:val="22"/>
              </w:rPr>
            </w:pPr>
            <w:r w:rsidRPr="000A54D7">
              <w:rPr>
                <w:color w:val="000000"/>
                <w:sz w:val="22"/>
                <w:szCs w:val="22"/>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13B0" w14:textId="77777777" w:rsidR="00A94D10" w:rsidRPr="000A54D7" w:rsidRDefault="000A54D7">
            <w:pPr>
              <w:jc w:val="center"/>
              <w:rPr>
                <w:color w:val="000000"/>
                <w:sz w:val="22"/>
                <w:szCs w:val="22"/>
              </w:rPr>
            </w:pPr>
            <w:r w:rsidRPr="000A54D7">
              <w:rPr>
                <w:sz w:val="22"/>
                <w:szCs w:val="22"/>
              </w:rPr>
              <w:t>V</w:t>
            </w:r>
            <w:r w:rsidRPr="000A54D7">
              <w:rPr>
                <w:color w:val="000000"/>
                <w:sz w:val="22"/>
                <w:szCs w:val="22"/>
              </w:rPr>
              <w:t>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2DBD" w14:textId="77777777" w:rsidR="00A94D10" w:rsidRPr="000A54D7" w:rsidRDefault="000A54D7">
            <w:pPr>
              <w:jc w:val="center"/>
              <w:rPr>
                <w:color w:val="000000"/>
                <w:sz w:val="22"/>
                <w:szCs w:val="22"/>
              </w:rPr>
            </w:pPr>
            <w:r w:rsidRPr="000A54D7">
              <w:rPr>
                <w:color w:val="000000"/>
                <w:sz w:val="22"/>
                <w:szCs w:val="22"/>
              </w:rPr>
              <w:t>Viso kaina Eur be PVM</w:t>
            </w:r>
          </w:p>
        </w:tc>
      </w:tr>
      <w:tr w:rsidR="00A94D10" w:rsidRPr="000A54D7" w14:paraId="6944AC16"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FD1C335" w14:textId="77777777" w:rsidR="00A94D10" w:rsidRPr="000A54D7" w:rsidRDefault="000A54D7">
            <w:pPr>
              <w:jc w:val="center"/>
              <w:rPr>
                <w:sz w:val="22"/>
                <w:szCs w:val="22"/>
              </w:rPr>
            </w:pPr>
            <w:r w:rsidRPr="000A54D7">
              <w:rPr>
                <w:sz w:val="22"/>
                <w:szCs w:val="22"/>
              </w:rPr>
              <w:t>1.</w:t>
            </w:r>
          </w:p>
        </w:tc>
        <w:tc>
          <w:tcPr>
            <w:tcW w:w="1667" w:type="dxa"/>
            <w:tcBorders>
              <w:top w:val="nil"/>
              <w:left w:val="nil"/>
              <w:bottom w:val="single" w:sz="4" w:space="0" w:color="000000"/>
              <w:right w:val="single" w:sz="4" w:space="0" w:color="000000"/>
            </w:tcBorders>
            <w:shd w:val="clear" w:color="auto" w:fill="auto"/>
            <w:vAlign w:val="center"/>
          </w:tcPr>
          <w:p w14:paraId="7D3A8A90" w14:textId="77777777" w:rsidR="00A94D10" w:rsidRPr="000A54D7" w:rsidRDefault="000A54D7">
            <w:pPr>
              <w:rPr>
                <w:sz w:val="22"/>
                <w:szCs w:val="22"/>
              </w:rPr>
            </w:pPr>
            <w:r w:rsidRPr="000A54D7">
              <w:rPr>
                <w:sz w:val="22"/>
                <w:szCs w:val="22"/>
              </w:rPr>
              <w:t xml:space="preserve">SCADA licencijos atnaujinimas </w:t>
            </w:r>
          </w:p>
        </w:tc>
        <w:tc>
          <w:tcPr>
            <w:tcW w:w="3542"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9E2AD00" w14:textId="77777777" w:rsidR="00A94D10" w:rsidRPr="000A54D7" w:rsidRDefault="000A54D7">
            <w:pPr>
              <w:tabs>
                <w:tab w:val="left" w:pos="175"/>
              </w:tabs>
              <w:ind w:left="357"/>
              <w:rPr>
                <w:sz w:val="22"/>
                <w:szCs w:val="22"/>
              </w:rPr>
            </w:pPr>
            <w:proofErr w:type="spellStart"/>
            <w:r w:rsidRPr="000A54D7">
              <w:rPr>
                <w:sz w:val="22"/>
                <w:szCs w:val="22"/>
              </w:rPr>
              <w:t>Wonderware</w:t>
            </w:r>
            <w:proofErr w:type="spellEnd"/>
            <w:r w:rsidRPr="000A54D7">
              <w:rPr>
                <w:sz w:val="22"/>
                <w:szCs w:val="22"/>
              </w:rPr>
              <w:t xml:space="preserve"> </w:t>
            </w:r>
            <w:proofErr w:type="spellStart"/>
            <w:r w:rsidRPr="000A54D7">
              <w:rPr>
                <w:sz w:val="22"/>
                <w:szCs w:val="22"/>
              </w:rPr>
              <w:t>Intouch</w:t>
            </w:r>
            <w:proofErr w:type="spellEnd"/>
            <w:r w:rsidRPr="000A54D7">
              <w:rPr>
                <w:sz w:val="22"/>
                <w:szCs w:val="22"/>
              </w:rPr>
              <w:t xml:space="preserve"> R12 atnaujinimo  į </w:t>
            </w:r>
            <w:proofErr w:type="spellStart"/>
            <w:r w:rsidRPr="000A54D7">
              <w:rPr>
                <w:sz w:val="22"/>
                <w:szCs w:val="22"/>
              </w:rPr>
              <w:t>Aveva</w:t>
            </w:r>
            <w:proofErr w:type="spellEnd"/>
            <w:r w:rsidRPr="000A54D7">
              <w:rPr>
                <w:sz w:val="22"/>
                <w:szCs w:val="22"/>
              </w:rPr>
              <w:t xml:space="preserve"> </w:t>
            </w:r>
            <w:proofErr w:type="spellStart"/>
            <w:r w:rsidRPr="000A54D7">
              <w:rPr>
                <w:sz w:val="22"/>
                <w:szCs w:val="22"/>
              </w:rPr>
              <w:t>Intouch</w:t>
            </w:r>
            <w:proofErr w:type="spellEnd"/>
            <w:r w:rsidRPr="000A54D7">
              <w:rPr>
                <w:sz w:val="22"/>
                <w:szCs w:val="22"/>
              </w:rPr>
              <w:t xml:space="preserve"> 2023R2 1000 </w:t>
            </w:r>
            <w:proofErr w:type="spellStart"/>
            <w:r w:rsidRPr="000A54D7">
              <w:rPr>
                <w:sz w:val="22"/>
                <w:szCs w:val="22"/>
              </w:rPr>
              <w:t>tag</w:t>
            </w:r>
            <w:proofErr w:type="spellEnd"/>
            <w:r w:rsidRPr="000A54D7">
              <w:rPr>
                <w:sz w:val="22"/>
                <w:szCs w:val="22"/>
              </w:rPr>
              <w:t xml:space="preserve"> licencija(</w:t>
            </w:r>
            <w:proofErr w:type="spellStart"/>
            <w:r w:rsidRPr="000A54D7">
              <w:rPr>
                <w:sz w:val="22"/>
                <w:szCs w:val="22"/>
              </w:rPr>
              <w:t>os</w:t>
            </w:r>
            <w:proofErr w:type="spellEnd"/>
            <w:r w:rsidRPr="000A54D7">
              <w:rPr>
                <w:sz w:val="22"/>
                <w:szCs w:val="22"/>
              </w:rPr>
              <w:t>), arba analogiška(</w:t>
            </w:r>
            <w:proofErr w:type="spellStart"/>
            <w:r w:rsidRPr="000A54D7">
              <w:rPr>
                <w:sz w:val="22"/>
                <w:szCs w:val="22"/>
              </w:rPr>
              <w:t>os</w:t>
            </w:r>
            <w:proofErr w:type="spellEnd"/>
            <w:r w:rsidRPr="000A54D7">
              <w:rPr>
                <w:sz w:val="22"/>
                <w:szCs w:val="22"/>
              </w:rPr>
              <w:t>) 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1813A80D"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4522C666" w14:textId="77777777" w:rsidR="00A94D10" w:rsidRPr="000A54D7" w:rsidRDefault="000A54D7">
            <w:pPr>
              <w:jc w:val="center"/>
              <w:rPr>
                <w:sz w:val="22"/>
                <w:szCs w:val="22"/>
              </w:rPr>
            </w:pPr>
            <w:r w:rsidRPr="000A54D7">
              <w:rPr>
                <w:sz w:val="22"/>
                <w:szCs w:val="22"/>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6222226D" w14:textId="28739188"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528F949A" w14:textId="77777777" w:rsidR="00A94D10" w:rsidRPr="000A54D7" w:rsidRDefault="00A94D10">
            <w:pPr>
              <w:jc w:val="right"/>
              <w:rPr>
                <w:color w:val="FF0000"/>
                <w:sz w:val="22"/>
                <w:szCs w:val="22"/>
                <w:highlight w:val="green"/>
              </w:rPr>
            </w:pPr>
          </w:p>
        </w:tc>
      </w:tr>
      <w:tr w:rsidR="00A94D10" w:rsidRPr="000A54D7" w14:paraId="028CF334"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A8AC786" w14:textId="77777777" w:rsidR="00A94D10" w:rsidRPr="000A54D7" w:rsidRDefault="000A54D7">
            <w:pPr>
              <w:jc w:val="center"/>
              <w:rPr>
                <w:sz w:val="22"/>
                <w:szCs w:val="22"/>
              </w:rPr>
            </w:pPr>
            <w:r w:rsidRPr="000A54D7">
              <w:rPr>
                <w:sz w:val="22"/>
                <w:szCs w:val="22"/>
              </w:rPr>
              <w:t>2.</w:t>
            </w:r>
          </w:p>
        </w:tc>
        <w:tc>
          <w:tcPr>
            <w:tcW w:w="1667" w:type="dxa"/>
            <w:tcBorders>
              <w:top w:val="nil"/>
              <w:left w:val="nil"/>
              <w:bottom w:val="single" w:sz="4" w:space="0" w:color="000000"/>
              <w:right w:val="single" w:sz="4" w:space="0" w:color="000000"/>
            </w:tcBorders>
            <w:shd w:val="clear" w:color="auto" w:fill="auto"/>
            <w:vAlign w:val="center"/>
          </w:tcPr>
          <w:p w14:paraId="09151901" w14:textId="77777777" w:rsidR="00A94D10" w:rsidRPr="000A54D7" w:rsidRDefault="000A54D7">
            <w:pPr>
              <w:rPr>
                <w:sz w:val="22"/>
                <w:szCs w:val="22"/>
              </w:rPr>
            </w:pPr>
            <w:r w:rsidRPr="000A54D7">
              <w:rPr>
                <w:sz w:val="22"/>
                <w:szCs w:val="22"/>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6CED1F" w14:textId="77777777" w:rsidR="00A94D10" w:rsidRPr="000A54D7" w:rsidRDefault="000A54D7">
            <w:pPr>
              <w:tabs>
                <w:tab w:val="left" w:pos="175"/>
              </w:tabs>
              <w:ind w:left="357"/>
              <w:rPr>
                <w:sz w:val="22"/>
                <w:szCs w:val="22"/>
              </w:rPr>
            </w:pPr>
            <w:proofErr w:type="spellStart"/>
            <w:r w:rsidRPr="000A54D7">
              <w:rPr>
                <w:sz w:val="22"/>
                <w:szCs w:val="22"/>
              </w:rPr>
              <w:t>Wonderware</w:t>
            </w:r>
            <w:proofErr w:type="spellEnd"/>
            <w:r w:rsidRPr="000A54D7">
              <w:rPr>
                <w:sz w:val="22"/>
                <w:szCs w:val="22"/>
              </w:rPr>
              <w:t xml:space="preserve"> </w:t>
            </w:r>
            <w:proofErr w:type="spellStart"/>
            <w:r w:rsidRPr="000A54D7">
              <w:rPr>
                <w:sz w:val="22"/>
                <w:szCs w:val="22"/>
              </w:rPr>
              <w:t>Intouch</w:t>
            </w:r>
            <w:proofErr w:type="spellEnd"/>
            <w:r w:rsidRPr="000A54D7">
              <w:rPr>
                <w:sz w:val="22"/>
                <w:szCs w:val="22"/>
              </w:rPr>
              <w:t xml:space="preserve"> R14 atnaujinimo į </w:t>
            </w:r>
            <w:proofErr w:type="spellStart"/>
            <w:r w:rsidRPr="000A54D7">
              <w:rPr>
                <w:sz w:val="22"/>
                <w:szCs w:val="22"/>
              </w:rPr>
              <w:t>Aveva</w:t>
            </w:r>
            <w:proofErr w:type="spellEnd"/>
            <w:r w:rsidRPr="000A54D7">
              <w:rPr>
                <w:sz w:val="22"/>
                <w:szCs w:val="22"/>
              </w:rPr>
              <w:t xml:space="preserve"> </w:t>
            </w:r>
            <w:proofErr w:type="spellStart"/>
            <w:r w:rsidRPr="000A54D7">
              <w:rPr>
                <w:sz w:val="22"/>
                <w:szCs w:val="22"/>
              </w:rPr>
              <w:t>Intouch</w:t>
            </w:r>
            <w:proofErr w:type="spellEnd"/>
            <w:r w:rsidRPr="000A54D7">
              <w:rPr>
                <w:sz w:val="22"/>
                <w:szCs w:val="22"/>
              </w:rPr>
              <w:t xml:space="preserve"> 2023R2 1000 </w:t>
            </w:r>
            <w:proofErr w:type="spellStart"/>
            <w:r w:rsidRPr="000A54D7">
              <w:rPr>
                <w:sz w:val="22"/>
                <w:szCs w:val="22"/>
              </w:rPr>
              <w:t>tag</w:t>
            </w:r>
            <w:proofErr w:type="spellEnd"/>
            <w:r w:rsidRPr="000A54D7">
              <w:rPr>
                <w:sz w:val="22"/>
                <w:szCs w:val="22"/>
              </w:rPr>
              <w:t xml:space="preserve"> licencija(</w:t>
            </w:r>
            <w:proofErr w:type="spellStart"/>
            <w:r w:rsidRPr="000A54D7">
              <w:rPr>
                <w:sz w:val="22"/>
                <w:szCs w:val="22"/>
              </w:rPr>
              <w:t>os</w:t>
            </w:r>
            <w:proofErr w:type="spellEnd"/>
            <w:r w:rsidRPr="000A54D7">
              <w:rPr>
                <w:sz w:val="22"/>
                <w:szCs w:val="22"/>
              </w:rPr>
              <w:t>), arba analogiška(</w:t>
            </w:r>
            <w:proofErr w:type="spellStart"/>
            <w:r w:rsidRPr="000A54D7">
              <w:rPr>
                <w:sz w:val="22"/>
                <w:szCs w:val="22"/>
              </w:rPr>
              <w:t>os</w:t>
            </w:r>
            <w:proofErr w:type="spellEnd"/>
            <w:r w:rsidRPr="000A54D7">
              <w:rPr>
                <w:sz w:val="22"/>
                <w:szCs w:val="22"/>
              </w:rPr>
              <w:t>) 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32D162C1"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25C64B33" w14:textId="77777777" w:rsidR="00A94D10" w:rsidRPr="000A54D7" w:rsidRDefault="000A54D7">
            <w:pPr>
              <w:jc w:val="center"/>
              <w:rPr>
                <w:sz w:val="22"/>
                <w:szCs w:val="22"/>
              </w:rPr>
            </w:pPr>
            <w:r w:rsidRPr="000A54D7">
              <w:rPr>
                <w:sz w:val="22"/>
                <w:szCs w:val="22"/>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433FA923"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7C4873BC" w14:textId="77777777" w:rsidR="00A94D10" w:rsidRPr="000A54D7" w:rsidRDefault="00A94D10">
            <w:pPr>
              <w:jc w:val="right"/>
              <w:rPr>
                <w:color w:val="FF0000"/>
                <w:sz w:val="22"/>
                <w:szCs w:val="22"/>
                <w:highlight w:val="green"/>
              </w:rPr>
            </w:pPr>
          </w:p>
        </w:tc>
      </w:tr>
      <w:tr w:rsidR="00A94D10" w:rsidRPr="000A54D7" w14:paraId="51EA1DA5"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745AC7C3" w14:textId="77777777" w:rsidR="00A94D10" w:rsidRPr="000A54D7" w:rsidRDefault="000A54D7">
            <w:pPr>
              <w:jc w:val="center"/>
              <w:rPr>
                <w:sz w:val="22"/>
                <w:szCs w:val="22"/>
              </w:rPr>
            </w:pPr>
            <w:r w:rsidRPr="000A54D7">
              <w:rPr>
                <w:sz w:val="22"/>
                <w:szCs w:val="22"/>
              </w:rPr>
              <w:t>3.</w:t>
            </w:r>
          </w:p>
        </w:tc>
        <w:tc>
          <w:tcPr>
            <w:tcW w:w="1667" w:type="dxa"/>
            <w:tcBorders>
              <w:top w:val="nil"/>
              <w:left w:val="nil"/>
              <w:bottom w:val="single" w:sz="4" w:space="0" w:color="000000"/>
              <w:right w:val="single" w:sz="4" w:space="0" w:color="000000"/>
            </w:tcBorders>
            <w:shd w:val="clear" w:color="auto" w:fill="auto"/>
            <w:vAlign w:val="center"/>
          </w:tcPr>
          <w:p w14:paraId="59AE74AF" w14:textId="77777777" w:rsidR="00A94D10" w:rsidRPr="000A54D7" w:rsidRDefault="000A54D7">
            <w:pPr>
              <w:rPr>
                <w:sz w:val="22"/>
                <w:szCs w:val="22"/>
              </w:rPr>
            </w:pPr>
            <w:r w:rsidRPr="000A54D7">
              <w:rPr>
                <w:sz w:val="22"/>
                <w:szCs w:val="22"/>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BF3D43" w14:textId="77777777" w:rsidR="00A94D10" w:rsidRPr="000A54D7" w:rsidRDefault="000A54D7">
            <w:pPr>
              <w:tabs>
                <w:tab w:val="left" w:pos="175"/>
              </w:tabs>
              <w:ind w:left="357"/>
              <w:rPr>
                <w:sz w:val="22"/>
                <w:szCs w:val="22"/>
              </w:rPr>
            </w:pPr>
            <w:proofErr w:type="spellStart"/>
            <w:r w:rsidRPr="000A54D7">
              <w:rPr>
                <w:sz w:val="22"/>
                <w:szCs w:val="22"/>
              </w:rPr>
              <w:t>Wonderware</w:t>
            </w:r>
            <w:proofErr w:type="spellEnd"/>
            <w:r w:rsidRPr="000A54D7">
              <w:rPr>
                <w:sz w:val="22"/>
                <w:szCs w:val="22"/>
              </w:rPr>
              <w:t xml:space="preserve"> System </w:t>
            </w:r>
            <w:proofErr w:type="spellStart"/>
            <w:r w:rsidRPr="000A54D7">
              <w:rPr>
                <w:sz w:val="22"/>
                <w:szCs w:val="22"/>
              </w:rPr>
              <w:t>platform</w:t>
            </w:r>
            <w:proofErr w:type="spellEnd"/>
            <w:r w:rsidRPr="000A54D7">
              <w:rPr>
                <w:sz w:val="22"/>
                <w:szCs w:val="22"/>
              </w:rPr>
              <w:t xml:space="preserve"> R14 atnaujinimo į </w:t>
            </w:r>
            <w:proofErr w:type="spellStart"/>
            <w:r w:rsidRPr="000A54D7">
              <w:rPr>
                <w:sz w:val="22"/>
                <w:szCs w:val="22"/>
              </w:rPr>
              <w:t>Aveva</w:t>
            </w:r>
            <w:proofErr w:type="spellEnd"/>
            <w:r w:rsidRPr="000A54D7">
              <w:rPr>
                <w:sz w:val="22"/>
                <w:szCs w:val="22"/>
              </w:rPr>
              <w:t xml:space="preserve"> System </w:t>
            </w:r>
            <w:proofErr w:type="spellStart"/>
            <w:r w:rsidRPr="000A54D7">
              <w:rPr>
                <w:sz w:val="22"/>
                <w:szCs w:val="22"/>
              </w:rPr>
              <w:t>platform</w:t>
            </w:r>
            <w:proofErr w:type="spellEnd"/>
            <w:r w:rsidRPr="000A54D7">
              <w:rPr>
                <w:sz w:val="22"/>
                <w:szCs w:val="22"/>
              </w:rPr>
              <w:t xml:space="preserve"> 2023R2 RT1 1000 </w:t>
            </w:r>
            <w:proofErr w:type="spellStart"/>
            <w:r w:rsidRPr="000A54D7">
              <w:rPr>
                <w:sz w:val="22"/>
                <w:szCs w:val="22"/>
              </w:rPr>
              <w:t>tag</w:t>
            </w:r>
            <w:proofErr w:type="spellEnd"/>
            <w:r w:rsidRPr="000A54D7">
              <w:rPr>
                <w:sz w:val="22"/>
                <w:szCs w:val="22"/>
              </w:rPr>
              <w:t>/</w:t>
            </w:r>
            <w:proofErr w:type="spellStart"/>
            <w:r w:rsidRPr="000A54D7">
              <w:rPr>
                <w:sz w:val="22"/>
                <w:szCs w:val="22"/>
              </w:rPr>
              <w:t>Historian</w:t>
            </w:r>
            <w:proofErr w:type="spellEnd"/>
            <w:r w:rsidRPr="000A54D7">
              <w:rPr>
                <w:sz w:val="22"/>
                <w:szCs w:val="22"/>
              </w:rPr>
              <w:t xml:space="preserve"> 500 </w:t>
            </w:r>
            <w:proofErr w:type="spellStart"/>
            <w:r w:rsidRPr="000A54D7">
              <w:rPr>
                <w:sz w:val="22"/>
                <w:szCs w:val="22"/>
              </w:rPr>
              <w:t>tag</w:t>
            </w:r>
            <w:proofErr w:type="spellEnd"/>
            <w:r w:rsidRPr="000A54D7">
              <w:rPr>
                <w:sz w:val="22"/>
                <w:szCs w:val="22"/>
              </w:rPr>
              <w:t xml:space="preserve"> licencija(</w:t>
            </w:r>
            <w:proofErr w:type="spellStart"/>
            <w:r w:rsidRPr="000A54D7">
              <w:rPr>
                <w:sz w:val="22"/>
                <w:szCs w:val="22"/>
              </w:rPr>
              <w:t>os</w:t>
            </w:r>
            <w:proofErr w:type="spellEnd"/>
            <w:r w:rsidRPr="000A54D7">
              <w:rPr>
                <w:sz w:val="22"/>
                <w:szCs w:val="22"/>
              </w:rPr>
              <w:t>), arba analogiška(</w:t>
            </w:r>
            <w:proofErr w:type="spellStart"/>
            <w:r w:rsidRPr="000A54D7">
              <w:rPr>
                <w:sz w:val="22"/>
                <w:szCs w:val="22"/>
              </w:rPr>
              <w:t>os</w:t>
            </w:r>
            <w:proofErr w:type="spellEnd"/>
            <w:r w:rsidRPr="000A54D7">
              <w:rPr>
                <w:sz w:val="22"/>
                <w:szCs w:val="22"/>
              </w:rPr>
              <w:t>) 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(arba lygiavertis)</w:t>
            </w:r>
          </w:p>
          <w:p w14:paraId="079DE519" w14:textId="77777777" w:rsidR="00A94D10" w:rsidRPr="000A54D7" w:rsidRDefault="00A94D10">
            <w:pPr>
              <w:tabs>
                <w:tab w:val="left" w:pos="175"/>
              </w:tabs>
              <w:ind w:left="357"/>
              <w:rPr>
                <w:sz w:val="22"/>
                <w:szCs w:val="22"/>
              </w:rPr>
            </w:pPr>
          </w:p>
        </w:tc>
        <w:tc>
          <w:tcPr>
            <w:tcW w:w="991" w:type="dxa"/>
            <w:tcBorders>
              <w:top w:val="nil"/>
              <w:left w:val="single" w:sz="8" w:space="0" w:color="000000"/>
              <w:bottom w:val="single" w:sz="4" w:space="0" w:color="000000"/>
              <w:right w:val="single" w:sz="4" w:space="0" w:color="000000"/>
            </w:tcBorders>
            <w:shd w:val="clear" w:color="auto" w:fill="auto"/>
            <w:vAlign w:val="center"/>
          </w:tcPr>
          <w:p w14:paraId="4F6A9492"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46D2907C" w14:textId="77777777" w:rsidR="00A94D10" w:rsidRPr="000A54D7" w:rsidRDefault="000A54D7">
            <w:pPr>
              <w:jc w:val="center"/>
              <w:rPr>
                <w:sz w:val="22"/>
                <w:szCs w:val="22"/>
              </w:rPr>
            </w:pPr>
            <w:r w:rsidRPr="000A54D7">
              <w:rPr>
                <w:sz w:val="22"/>
                <w:szCs w:val="22"/>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16FDD105"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22487CD8" w14:textId="77777777" w:rsidR="00A94D10" w:rsidRPr="000A54D7" w:rsidRDefault="00A94D10">
            <w:pPr>
              <w:jc w:val="right"/>
              <w:rPr>
                <w:color w:val="FF0000"/>
                <w:sz w:val="22"/>
                <w:szCs w:val="22"/>
                <w:highlight w:val="green"/>
              </w:rPr>
            </w:pPr>
          </w:p>
        </w:tc>
      </w:tr>
      <w:tr w:rsidR="00A94D10" w:rsidRPr="000A54D7" w14:paraId="2DC70636"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1D801F1B" w14:textId="77777777" w:rsidR="00A94D10" w:rsidRPr="000A54D7" w:rsidRDefault="000A54D7">
            <w:pPr>
              <w:jc w:val="center"/>
              <w:rPr>
                <w:sz w:val="22"/>
                <w:szCs w:val="22"/>
              </w:rPr>
            </w:pPr>
            <w:r w:rsidRPr="000A54D7">
              <w:rPr>
                <w:sz w:val="22"/>
                <w:szCs w:val="22"/>
              </w:rPr>
              <w:t>4.</w:t>
            </w:r>
          </w:p>
        </w:tc>
        <w:tc>
          <w:tcPr>
            <w:tcW w:w="1667" w:type="dxa"/>
            <w:tcBorders>
              <w:top w:val="nil"/>
              <w:left w:val="nil"/>
              <w:bottom w:val="single" w:sz="4" w:space="0" w:color="000000"/>
              <w:right w:val="single" w:sz="4" w:space="0" w:color="000000"/>
            </w:tcBorders>
            <w:shd w:val="clear" w:color="auto" w:fill="auto"/>
            <w:vAlign w:val="center"/>
          </w:tcPr>
          <w:p w14:paraId="57361251" w14:textId="77777777" w:rsidR="00A94D10" w:rsidRPr="000A54D7" w:rsidRDefault="000A54D7">
            <w:pPr>
              <w:rPr>
                <w:sz w:val="22"/>
                <w:szCs w:val="22"/>
              </w:rPr>
            </w:pPr>
            <w:r w:rsidRPr="000A54D7">
              <w:rPr>
                <w:sz w:val="22"/>
                <w:szCs w:val="22"/>
              </w:rPr>
              <w:t xml:space="preserve">SCADA licencijos atnaujinimas </w:t>
            </w:r>
          </w:p>
        </w:tc>
        <w:tc>
          <w:tcPr>
            <w:tcW w:w="35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69A084" w14:textId="77777777" w:rsidR="00A94D10" w:rsidRPr="000A54D7" w:rsidRDefault="000A54D7">
            <w:pPr>
              <w:tabs>
                <w:tab w:val="left" w:pos="175"/>
              </w:tabs>
              <w:ind w:left="357"/>
              <w:rPr>
                <w:sz w:val="22"/>
                <w:szCs w:val="22"/>
              </w:rPr>
            </w:pPr>
            <w:proofErr w:type="spellStart"/>
            <w:r w:rsidRPr="000A54D7">
              <w:rPr>
                <w:sz w:val="22"/>
                <w:szCs w:val="22"/>
              </w:rPr>
              <w:t>Wonderware</w:t>
            </w:r>
            <w:proofErr w:type="spellEnd"/>
            <w:r w:rsidRPr="000A54D7">
              <w:rPr>
                <w:sz w:val="22"/>
                <w:szCs w:val="22"/>
              </w:rPr>
              <w:t xml:space="preserve"> System </w:t>
            </w:r>
            <w:proofErr w:type="spellStart"/>
            <w:r w:rsidRPr="000A54D7">
              <w:rPr>
                <w:sz w:val="22"/>
                <w:szCs w:val="22"/>
              </w:rPr>
              <w:t>platform</w:t>
            </w:r>
            <w:proofErr w:type="spellEnd"/>
            <w:r w:rsidRPr="000A54D7">
              <w:rPr>
                <w:sz w:val="22"/>
                <w:szCs w:val="22"/>
              </w:rPr>
              <w:t xml:space="preserve"> R14 atnaujinimo į </w:t>
            </w:r>
            <w:proofErr w:type="spellStart"/>
            <w:r w:rsidRPr="000A54D7">
              <w:rPr>
                <w:sz w:val="22"/>
                <w:szCs w:val="22"/>
              </w:rPr>
              <w:t>Aveva</w:t>
            </w:r>
            <w:proofErr w:type="spellEnd"/>
            <w:r w:rsidRPr="000A54D7">
              <w:rPr>
                <w:sz w:val="22"/>
                <w:szCs w:val="22"/>
              </w:rPr>
              <w:t xml:space="preserve"> System </w:t>
            </w:r>
            <w:proofErr w:type="spellStart"/>
            <w:r w:rsidRPr="000A54D7">
              <w:rPr>
                <w:sz w:val="22"/>
                <w:szCs w:val="22"/>
              </w:rPr>
              <w:t>platform</w:t>
            </w:r>
            <w:proofErr w:type="spellEnd"/>
            <w:r w:rsidRPr="000A54D7">
              <w:rPr>
                <w:sz w:val="22"/>
                <w:szCs w:val="22"/>
              </w:rPr>
              <w:t xml:space="preserve"> 2023R2 </w:t>
            </w:r>
            <w:proofErr w:type="spellStart"/>
            <w:r w:rsidRPr="000A54D7">
              <w:rPr>
                <w:sz w:val="22"/>
                <w:szCs w:val="22"/>
              </w:rPr>
              <w:t>Supervisory</w:t>
            </w:r>
            <w:proofErr w:type="spellEnd"/>
            <w:r w:rsidRPr="000A54D7">
              <w:rPr>
                <w:sz w:val="22"/>
                <w:szCs w:val="22"/>
              </w:rPr>
              <w:t xml:space="preserve"> </w:t>
            </w:r>
            <w:proofErr w:type="spellStart"/>
            <w:r w:rsidRPr="000A54D7">
              <w:rPr>
                <w:sz w:val="22"/>
                <w:szCs w:val="22"/>
              </w:rPr>
              <w:t>Client</w:t>
            </w:r>
            <w:proofErr w:type="spellEnd"/>
            <w:r w:rsidRPr="000A54D7">
              <w:rPr>
                <w:sz w:val="22"/>
                <w:szCs w:val="22"/>
              </w:rPr>
              <w:t xml:space="preserve">   licencija(</w:t>
            </w:r>
            <w:proofErr w:type="spellStart"/>
            <w:r w:rsidRPr="000A54D7">
              <w:rPr>
                <w:sz w:val="22"/>
                <w:szCs w:val="22"/>
              </w:rPr>
              <w:t>os</w:t>
            </w:r>
            <w:proofErr w:type="spellEnd"/>
            <w:r w:rsidRPr="000A54D7">
              <w:rPr>
                <w:sz w:val="22"/>
                <w:szCs w:val="22"/>
              </w:rPr>
              <w:t xml:space="preserve"> ), arba analogiška(</w:t>
            </w:r>
            <w:proofErr w:type="spellStart"/>
            <w:r w:rsidRPr="000A54D7">
              <w:rPr>
                <w:sz w:val="22"/>
                <w:szCs w:val="22"/>
              </w:rPr>
              <w:t>os</w:t>
            </w:r>
            <w:proofErr w:type="spellEnd"/>
            <w:r w:rsidRPr="000A54D7">
              <w:rPr>
                <w:sz w:val="22"/>
                <w:szCs w:val="22"/>
              </w:rPr>
              <w:t>) 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xml:space="preserve"> ), (arba lygiavertis)</w:t>
            </w:r>
          </w:p>
        </w:tc>
        <w:tc>
          <w:tcPr>
            <w:tcW w:w="991" w:type="dxa"/>
            <w:tcBorders>
              <w:top w:val="nil"/>
              <w:left w:val="single" w:sz="8" w:space="0" w:color="000000"/>
              <w:bottom w:val="single" w:sz="4" w:space="0" w:color="000000"/>
              <w:right w:val="single" w:sz="4" w:space="0" w:color="000000"/>
            </w:tcBorders>
            <w:shd w:val="clear" w:color="auto" w:fill="auto"/>
            <w:vAlign w:val="center"/>
          </w:tcPr>
          <w:p w14:paraId="7F3FC1CA"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4BFA5A6B" w14:textId="77777777" w:rsidR="00A94D10" w:rsidRPr="000A54D7" w:rsidRDefault="000A54D7">
            <w:pPr>
              <w:jc w:val="center"/>
              <w:rPr>
                <w:sz w:val="22"/>
                <w:szCs w:val="22"/>
              </w:rPr>
            </w:pPr>
            <w:r w:rsidRPr="000A54D7">
              <w:rPr>
                <w:sz w:val="22"/>
                <w:szCs w:val="22"/>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5E6B9469"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60295C4E" w14:textId="77777777" w:rsidR="00A94D10" w:rsidRPr="000A54D7" w:rsidRDefault="00A94D10">
            <w:pPr>
              <w:jc w:val="right"/>
              <w:rPr>
                <w:color w:val="FF0000"/>
                <w:sz w:val="22"/>
                <w:szCs w:val="22"/>
                <w:highlight w:val="green"/>
              </w:rPr>
            </w:pPr>
          </w:p>
        </w:tc>
      </w:tr>
      <w:tr w:rsidR="00A94D10" w:rsidRPr="000A54D7" w14:paraId="70453DDE" w14:textId="77777777">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461258" w14:textId="77777777" w:rsidR="00A94D10" w:rsidRPr="000A54D7" w:rsidRDefault="000A54D7">
            <w:pPr>
              <w:jc w:val="right"/>
              <w:rPr>
                <w:sz w:val="22"/>
                <w:szCs w:val="22"/>
              </w:rPr>
            </w:pPr>
            <w:r w:rsidRPr="000A54D7">
              <w:rPr>
                <w:sz w:val="22"/>
                <w:szCs w:val="22"/>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93CE" w14:textId="77777777" w:rsidR="00A94D10" w:rsidRPr="000A54D7" w:rsidRDefault="00A94D10">
            <w:pPr>
              <w:jc w:val="right"/>
              <w:rPr>
                <w:sz w:val="22"/>
                <w:szCs w:val="22"/>
              </w:rPr>
            </w:pPr>
          </w:p>
        </w:tc>
      </w:tr>
      <w:tr w:rsidR="00A94D10" w:rsidRPr="000A54D7" w14:paraId="71022390" w14:textId="77777777">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2B636D67" w14:textId="77777777" w:rsidR="00A94D10" w:rsidRPr="000A54D7" w:rsidRDefault="000A54D7">
            <w:pPr>
              <w:jc w:val="right"/>
              <w:rPr>
                <w:sz w:val="22"/>
                <w:szCs w:val="22"/>
              </w:rPr>
            </w:pPr>
            <w:r w:rsidRPr="000A54D7">
              <w:rPr>
                <w:sz w:val="22"/>
                <w:szCs w:val="22"/>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2068D6B8" w14:textId="77777777" w:rsidR="00A94D10" w:rsidRPr="000A54D7" w:rsidRDefault="00A94D10">
            <w:pPr>
              <w:jc w:val="right"/>
              <w:rPr>
                <w:sz w:val="22"/>
                <w:szCs w:val="22"/>
              </w:rPr>
            </w:pPr>
          </w:p>
        </w:tc>
      </w:tr>
      <w:tr w:rsidR="00A94D10" w:rsidRPr="000A54D7" w14:paraId="657EE5B3" w14:textId="77777777">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7A1B3987" w14:textId="77777777" w:rsidR="00A94D10" w:rsidRPr="000A54D7" w:rsidRDefault="000A54D7">
            <w:pPr>
              <w:jc w:val="right"/>
              <w:rPr>
                <w:sz w:val="22"/>
                <w:szCs w:val="22"/>
              </w:rPr>
            </w:pPr>
            <w:r w:rsidRPr="000A54D7">
              <w:rPr>
                <w:sz w:val="22"/>
                <w:szCs w:val="22"/>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017AF7BE" w14:textId="77777777" w:rsidR="00A94D10" w:rsidRPr="000A54D7" w:rsidRDefault="00A94D10">
            <w:pPr>
              <w:jc w:val="right"/>
              <w:rPr>
                <w:sz w:val="22"/>
                <w:szCs w:val="22"/>
              </w:rPr>
            </w:pPr>
          </w:p>
        </w:tc>
      </w:tr>
    </w:tbl>
    <w:p w14:paraId="503EEE47" w14:textId="77777777" w:rsidR="00A94D10" w:rsidRPr="000A54D7" w:rsidRDefault="00A94D10">
      <w:pPr>
        <w:spacing w:after="160" w:line="259" w:lineRule="auto"/>
        <w:rPr>
          <w:b/>
          <w:sz w:val="22"/>
          <w:szCs w:val="22"/>
        </w:rPr>
      </w:pPr>
    </w:p>
    <w:p w14:paraId="1947EE77" w14:textId="77777777" w:rsidR="00A94D10" w:rsidRPr="000A54D7" w:rsidRDefault="00A94D10">
      <w:pPr>
        <w:spacing w:after="160" w:line="259" w:lineRule="auto"/>
        <w:rPr>
          <w:b/>
          <w:sz w:val="22"/>
          <w:szCs w:val="22"/>
        </w:rPr>
      </w:pPr>
    </w:p>
    <w:p w14:paraId="77940872" w14:textId="77777777" w:rsidR="00A94D10" w:rsidRPr="000A54D7" w:rsidRDefault="000A54D7">
      <w:pPr>
        <w:rPr>
          <w:sz w:val="22"/>
          <w:szCs w:val="22"/>
        </w:rPr>
      </w:pPr>
      <w:r w:rsidRPr="000A54D7">
        <w:rPr>
          <w:sz w:val="22"/>
          <w:szCs w:val="22"/>
        </w:rPr>
        <w:t>Kelmė:</w:t>
      </w:r>
    </w:p>
    <w:tbl>
      <w:tblPr>
        <w:tblStyle w:val="a0"/>
        <w:tblW w:w="10456" w:type="dxa"/>
        <w:tblLayout w:type="fixed"/>
        <w:tblLook w:val="0400" w:firstRow="0" w:lastRow="0" w:firstColumn="0" w:lastColumn="0" w:noHBand="0" w:noVBand="1"/>
      </w:tblPr>
      <w:tblGrid>
        <w:gridCol w:w="597"/>
        <w:gridCol w:w="1667"/>
        <w:gridCol w:w="3542"/>
        <w:gridCol w:w="991"/>
        <w:gridCol w:w="851"/>
        <w:gridCol w:w="1422"/>
        <w:gridCol w:w="1386"/>
      </w:tblGrid>
      <w:tr w:rsidR="00A94D10" w:rsidRPr="000A54D7" w14:paraId="58205DF9" w14:textId="77777777">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4E69E" w14:textId="1FC7CA01" w:rsidR="00A94D10" w:rsidRPr="000A54D7" w:rsidRDefault="000A54D7">
            <w:pPr>
              <w:jc w:val="center"/>
              <w:rPr>
                <w:sz w:val="22"/>
                <w:szCs w:val="22"/>
              </w:rPr>
            </w:pPr>
            <w:bookmarkStart w:id="1" w:name="bookmark=kix.7y0xy0pc0wnj" w:colFirst="0" w:colLast="0"/>
            <w:bookmarkEnd w:id="1"/>
            <w:r w:rsidRPr="000A54D7">
              <w:rPr>
                <w:sz w:val="22"/>
                <w:szCs w:val="22"/>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0DDFEFC7" w14:textId="77777777" w:rsidR="00A94D10" w:rsidRPr="000A54D7" w:rsidRDefault="000A54D7">
            <w:pPr>
              <w:jc w:val="center"/>
              <w:rPr>
                <w:sz w:val="22"/>
                <w:szCs w:val="22"/>
              </w:rPr>
            </w:pPr>
            <w:r w:rsidRPr="000A54D7">
              <w:rPr>
                <w:sz w:val="22"/>
                <w:szCs w:val="22"/>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62FE577E" w14:textId="77777777" w:rsidR="00A94D10" w:rsidRPr="000A54D7" w:rsidRDefault="000A54D7">
            <w:pPr>
              <w:jc w:val="center"/>
              <w:rPr>
                <w:sz w:val="22"/>
                <w:szCs w:val="22"/>
              </w:rPr>
            </w:pPr>
            <w:r w:rsidRPr="000A54D7">
              <w:rPr>
                <w:sz w:val="22"/>
                <w:szCs w:val="22"/>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526F7170" w14:textId="77777777" w:rsidR="00A94D10" w:rsidRPr="000A54D7" w:rsidRDefault="000A54D7">
            <w:pPr>
              <w:jc w:val="center"/>
              <w:rPr>
                <w:sz w:val="22"/>
                <w:szCs w:val="22"/>
              </w:rPr>
            </w:pPr>
            <w:r w:rsidRPr="000A54D7">
              <w:rPr>
                <w:sz w:val="22"/>
                <w:szCs w:val="22"/>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185FA869" w14:textId="77777777" w:rsidR="00A94D10" w:rsidRPr="000A54D7" w:rsidRDefault="000A54D7">
            <w:pPr>
              <w:jc w:val="center"/>
              <w:rPr>
                <w:sz w:val="22"/>
                <w:szCs w:val="22"/>
              </w:rPr>
            </w:pPr>
            <w:r w:rsidRPr="000A54D7">
              <w:rPr>
                <w:sz w:val="22"/>
                <w:szCs w:val="22"/>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C8C01" w14:textId="77777777" w:rsidR="00A94D10" w:rsidRPr="000A54D7" w:rsidRDefault="000A54D7">
            <w:pPr>
              <w:jc w:val="center"/>
              <w:rPr>
                <w:sz w:val="22"/>
                <w:szCs w:val="22"/>
              </w:rPr>
            </w:pPr>
            <w:r w:rsidRPr="000A54D7">
              <w:rPr>
                <w:sz w:val="22"/>
                <w:szCs w:val="22"/>
              </w:rPr>
              <w:t>Mato vnt.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3BD42" w14:textId="77777777" w:rsidR="00A94D10" w:rsidRPr="000A54D7" w:rsidRDefault="000A54D7">
            <w:pPr>
              <w:jc w:val="center"/>
              <w:rPr>
                <w:sz w:val="22"/>
                <w:szCs w:val="22"/>
              </w:rPr>
            </w:pPr>
            <w:r w:rsidRPr="000A54D7">
              <w:rPr>
                <w:sz w:val="22"/>
                <w:szCs w:val="22"/>
              </w:rPr>
              <w:t>Viso kaina Eur be PVM</w:t>
            </w:r>
          </w:p>
        </w:tc>
      </w:tr>
      <w:tr w:rsidR="00A94D10" w:rsidRPr="000A54D7" w14:paraId="777C20C8"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6CC200DB" w14:textId="77777777" w:rsidR="00A94D10" w:rsidRPr="000A54D7" w:rsidRDefault="000A54D7">
            <w:pPr>
              <w:jc w:val="center"/>
              <w:rPr>
                <w:sz w:val="22"/>
                <w:szCs w:val="22"/>
              </w:rPr>
            </w:pPr>
            <w:r w:rsidRPr="000A54D7">
              <w:rPr>
                <w:sz w:val="22"/>
                <w:szCs w:val="22"/>
              </w:rPr>
              <w:t>1.</w:t>
            </w:r>
          </w:p>
        </w:tc>
        <w:tc>
          <w:tcPr>
            <w:tcW w:w="1667" w:type="dxa"/>
            <w:tcBorders>
              <w:top w:val="nil"/>
              <w:left w:val="nil"/>
              <w:bottom w:val="single" w:sz="4" w:space="0" w:color="000000"/>
              <w:right w:val="single" w:sz="4" w:space="0" w:color="000000"/>
            </w:tcBorders>
            <w:shd w:val="clear" w:color="auto" w:fill="auto"/>
            <w:vAlign w:val="center"/>
          </w:tcPr>
          <w:p w14:paraId="69A7C4DF" w14:textId="77777777" w:rsidR="00A94D10" w:rsidRPr="000A54D7" w:rsidRDefault="000A54D7">
            <w:pPr>
              <w:rPr>
                <w:sz w:val="22"/>
                <w:szCs w:val="22"/>
              </w:rPr>
            </w:pPr>
            <w:r w:rsidRPr="000A54D7">
              <w:rPr>
                <w:sz w:val="22"/>
                <w:szCs w:val="22"/>
              </w:rPr>
              <w:t xml:space="preserve">SCADA licencijos atnaujinimas </w:t>
            </w:r>
          </w:p>
        </w:tc>
        <w:tc>
          <w:tcPr>
            <w:tcW w:w="3542" w:type="dxa"/>
            <w:tcBorders>
              <w:top w:val="nil"/>
              <w:left w:val="nil"/>
              <w:bottom w:val="single" w:sz="4" w:space="0" w:color="000000"/>
              <w:right w:val="single" w:sz="4" w:space="0" w:color="000000"/>
            </w:tcBorders>
            <w:shd w:val="clear" w:color="auto" w:fill="auto"/>
            <w:vAlign w:val="center"/>
          </w:tcPr>
          <w:p w14:paraId="64388DD4" w14:textId="77777777" w:rsidR="00A94D10" w:rsidRPr="000A54D7" w:rsidRDefault="000A54D7">
            <w:pPr>
              <w:tabs>
                <w:tab w:val="left" w:pos="175"/>
              </w:tabs>
              <w:ind w:left="357"/>
              <w:rPr>
                <w:sz w:val="22"/>
                <w:szCs w:val="22"/>
              </w:rPr>
            </w:pPr>
            <w:r w:rsidRPr="000A54D7">
              <w:rPr>
                <w:sz w:val="22"/>
                <w:szCs w:val="22"/>
              </w:rPr>
              <w:t>SCADA licencijos atnaujinimas SYSPLT-63-U-231,</w:t>
            </w:r>
          </w:p>
          <w:p w14:paraId="68A5F0A7" w14:textId="77777777" w:rsidR="00A94D10" w:rsidRPr="000A54D7" w:rsidRDefault="000A54D7">
            <w:pPr>
              <w:tabs>
                <w:tab w:val="left" w:pos="175"/>
              </w:tabs>
              <w:ind w:left="357"/>
              <w:rPr>
                <w:sz w:val="22"/>
                <w:szCs w:val="22"/>
              </w:rPr>
            </w:pPr>
            <w:r w:rsidRPr="000A54D7">
              <w:rPr>
                <w:sz w:val="22"/>
                <w:szCs w:val="22"/>
              </w:rPr>
              <w:t xml:space="preserve"> (arba lygiavertis)</w:t>
            </w:r>
          </w:p>
        </w:tc>
        <w:tc>
          <w:tcPr>
            <w:tcW w:w="991" w:type="dxa"/>
            <w:tcBorders>
              <w:top w:val="nil"/>
              <w:left w:val="nil"/>
              <w:bottom w:val="single" w:sz="4" w:space="0" w:color="000000"/>
              <w:right w:val="single" w:sz="4" w:space="0" w:color="000000"/>
            </w:tcBorders>
            <w:shd w:val="clear" w:color="auto" w:fill="auto"/>
            <w:vAlign w:val="center"/>
          </w:tcPr>
          <w:p w14:paraId="410E336D"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58D7A0A2" w14:textId="77777777" w:rsidR="00A94D10" w:rsidRPr="000A54D7" w:rsidRDefault="000A54D7">
            <w:pPr>
              <w:jc w:val="center"/>
              <w:rPr>
                <w:sz w:val="22"/>
                <w:szCs w:val="22"/>
              </w:rPr>
            </w:pPr>
            <w:r w:rsidRPr="000A54D7">
              <w:rPr>
                <w:sz w:val="22"/>
                <w:szCs w:val="22"/>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633A3DFE"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4C691CA1" w14:textId="77777777" w:rsidR="00A94D10" w:rsidRPr="000A54D7" w:rsidRDefault="00A94D10">
            <w:pPr>
              <w:jc w:val="right"/>
              <w:rPr>
                <w:color w:val="FF0000"/>
                <w:sz w:val="22"/>
                <w:szCs w:val="22"/>
              </w:rPr>
            </w:pPr>
          </w:p>
        </w:tc>
      </w:tr>
      <w:tr w:rsidR="00A94D10" w:rsidRPr="000A54D7" w14:paraId="10359533"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70027FC1" w14:textId="77777777" w:rsidR="00A94D10" w:rsidRPr="000A54D7" w:rsidRDefault="000A54D7">
            <w:pPr>
              <w:jc w:val="center"/>
              <w:rPr>
                <w:sz w:val="22"/>
                <w:szCs w:val="22"/>
              </w:rPr>
            </w:pPr>
            <w:r w:rsidRPr="000A54D7">
              <w:rPr>
                <w:sz w:val="22"/>
                <w:szCs w:val="22"/>
              </w:rPr>
              <w:t>2.</w:t>
            </w:r>
          </w:p>
        </w:tc>
        <w:tc>
          <w:tcPr>
            <w:tcW w:w="1667" w:type="dxa"/>
            <w:tcBorders>
              <w:top w:val="nil"/>
              <w:left w:val="nil"/>
              <w:bottom w:val="single" w:sz="4" w:space="0" w:color="000000"/>
              <w:right w:val="single" w:sz="4" w:space="0" w:color="000000"/>
            </w:tcBorders>
            <w:shd w:val="clear" w:color="auto" w:fill="auto"/>
            <w:vAlign w:val="center"/>
          </w:tcPr>
          <w:p w14:paraId="2AEC0CEB" w14:textId="77777777" w:rsidR="00A94D10" w:rsidRPr="000A54D7" w:rsidRDefault="000A54D7">
            <w:pPr>
              <w:rPr>
                <w:sz w:val="22"/>
                <w:szCs w:val="22"/>
              </w:rPr>
            </w:pPr>
            <w:r w:rsidRPr="000A54D7">
              <w:rPr>
                <w:sz w:val="22"/>
                <w:szCs w:val="22"/>
              </w:rPr>
              <w:t>SCADA licencija</w:t>
            </w:r>
          </w:p>
        </w:tc>
        <w:tc>
          <w:tcPr>
            <w:tcW w:w="3542" w:type="dxa"/>
            <w:tcBorders>
              <w:top w:val="nil"/>
              <w:left w:val="nil"/>
              <w:bottom w:val="single" w:sz="4" w:space="0" w:color="000000"/>
              <w:right w:val="single" w:sz="4" w:space="0" w:color="000000"/>
            </w:tcBorders>
            <w:shd w:val="clear" w:color="auto" w:fill="auto"/>
            <w:vAlign w:val="center"/>
          </w:tcPr>
          <w:p w14:paraId="3CB86C50" w14:textId="77777777" w:rsidR="00A94D10" w:rsidRPr="000A54D7" w:rsidRDefault="000A54D7">
            <w:pPr>
              <w:tabs>
                <w:tab w:val="left" w:pos="175"/>
              </w:tabs>
              <w:ind w:left="357"/>
              <w:rPr>
                <w:sz w:val="22"/>
                <w:szCs w:val="22"/>
              </w:rPr>
            </w:pPr>
            <w:proofErr w:type="spellStart"/>
            <w:r w:rsidRPr="000A54D7">
              <w:rPr>
                <w:sz w:val="22"/>
                <w:szCs w:val="22"/>
              </w:rPr>
              <w:t>Wonderware</w:t>
            </w:r>
            <w:proofErr w:type="spellEnd"/>
            <w:r w:rsidRPr="000A54D7">
              <w:rPr>
                <w:sz w:val="22"/>
                <w:szCs w:val="22"/>
              </w:rPr>
              <w:t xml:space="preserve"> System </w:t>
            </w:r>
            <w:proofErr w:type="spellStart"/>
            <w:r w:rsidRPr="000A54D7">
              <w:rPr>
                <w:sz w:val="22"/>
                <w:szCs w:val="22"/>
              </w:rPr>
              <w:t>platform</w:t>
            </w:r>
            <w:proofErr w:type="spellEnd"/>
            <w:r w:rsidRPr="000A54D7">
              <w:rPr>
                <w:sz w:val="22"/>
                <w:szCs w:val="22"/>
              </w:rPr>
              <w:t xml:space="preserve">  atnaujinimas į InTch-64-N-231OEM AVEVA </w:t>
            </w:r>
            <w:proofErr w:type="spellStart"/>
            <w:r w:rsidRPr="000A54D7">
              <w:rPr>
                <w:sz w:val="22"/>
                <w:szCs w:val="22"/>
              </w:rPr>
              <w:t>InTouch</w:t>
            </w:r>
            <w:proofErr w:type="spellEnd"/>
            <w:r w:rsidRPr="000A54D7">
              <w:rPr>
                <w:sz w:val="22"/>
                <w:szCs w:val="22"/>
              </w:rPr>
              <w:t xml:space="preserve"> HMI 2023R2 Workstation 2500 </w:t>
            </w:r>
            <w:proofErr w:type="spellStart"/>
            <w:r w:rsidRPr="000A54D7">
              <w:rPr>
                <w:sz w:val="22"/>
                <w:szCs w:val="22"/>
              </w:rPr>
              <w:t>Tag</w:t>
            </w:r>
            <w:proofErr w:type="spellEnd"/>
            <w:r w:rsidRPr="000A54D7">
              <w:rPr>
                <w:sz w:val="22"/>
                <w:szCs w:val="22"/>
              </w:rPr>
              <w:t xml:space="preserve">/750 </w:t>
            </w:r>
            <w:proofErr w:type="spellStart"/>
            <w:r w:rsidRPr="000A54D7">
              <w:rPr>
                <w:sz w:val="22"/>
                <w:szCs w:val="22"/>
              </w:rPr>
              <w:t>Win</w:t>
            </w:r>
            <w:proofErr w:type="spellEnd"/>
            <w:r w:rsidRPr="000A54D7">
              <w:rPr>
                <w:sz w:val="22"/>
                <w:szCs w:val="22"/>
              </w:rPr>
              <w:t xml:space="preserve"> w/ I/O, arba </w:t>
            </w:r>
            <w:r w:rsidRPr="000A54D7">
              <w:rPr>
                <w:sz w:val="22"/>
                <w:szCs w:val="22"/>
              </w:rPr>
              <w:lastRenderedPageBreak/>
              <w:t>analogiška(</w:t>
            </w:r>
            <w:proofErr w:type="spellStart"/>
            <w:r w:rsidRPr="000A54D7">
              <w:rPr>
                <w:sz w:val="22"/>
                <w:szCs w:val="22"/>
              </w:rPr>
              <w:t>os</w:t>
            </w:r>
            <w:proofErr w:type="spellEnd"/>
            <w:r w:rsidRPr="000A54D7">
              <w:rPr>
                <w:sz w:val="22"/>
                <w:szCs w:val="22"/>
              </w:rPr>
              <w:t>) 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xml:space="preserve"> ), (arba lygiavertis)</w:t>
            </w:r>
          </w:p>
        </w:tc>
        <w:tc>
          <w:tcPr>
            <w:tcW w:w="991" w:type="dxa"/>
            <w:tcBorders>
              <w:top w:val="nil"/>
              <w:left w:val="nil"/>
              <w:bottom w:val="single" w:sz="4" w:space="0" w:color="000000"/>
              <w:right w:val="single" w:sz="4" w:space="0" w:color="000000"/>
            </w:tcBorders>
            <w:shd w:val="clear" w:color="auto" w:fill="auto"/>
            <w:vAlign w:val="center"/>
          </w:tcPr>
          <w:p w14:paraId="0A2003D8" w14:textId="77777777" w:rsidR="00A94D10" w:rsidRPr="000A54D7" w:rsidRDefault="000A54D7">
            <w:pPr>
              <w:jc w:val="center"/>
              <w:rPr>
                <w:sz w:val="22"/>
                <w:szCs w:val="22"/>
              </w:rPr>
            </w:pPr>
            <w:r w:rsidRPr="000A54D7">
              <w:rPr>
                <w:sz w:val="22"/>
                <w:szCs w:val="22"/>
              </w:rPr>
              <w:lastRenderedPageBreak/>
              <w:t>vnt.</w:t>
            </w:r>
          </w:p>
        </w:tc>
        <w:tc>
          <w:tcPr>
            <w:tcW w:w="851" w:type="dxa"/>
            <w:tcBorders>
              <w:top w:val="nil"/>
              <w:left w:val="nil"/>
              <w:bottom w:val="single" w:sz="4" w:space="0" w:color="000000"/>
              <w:right w:val="single" w:sz="4" w:space="0" w:color="000000"/>
            </w:tcBorders>
            <w:vAlign w:val="center"/>
          </w:tcPr>
          <w:p w14:paraId="09403397" w14:textId="77777777" w:rsidR="00A94D10" w:rsidRPr="000A54D7" w:rsidRDefault="000A54D7">
            <w:pPr>
              <w:jc w:val="center"/>
              <w:rPr>
                <w:sz w:val="22"/>
                <w:szCs w:val="22"/>
              </w:rPr>
            </w:pPr>
            <w:r w:rsidRPr="000A54D7">
              <w:rPr>
                <w:sz w:val="22"/>
                <w:szCs w:val="22"/>
              </w:rPr>
              <w:t>1</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7F07CB38"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690C195B" w14:textId="77777777" w:rsidR="00A94D10" w:rsidRPr="000A54D7" w:rsidRDefault="00A94D10">
            <w:pPr>
              <w:jc w:val="right"/>
              <w:rPr>
                <w:color w:val="FF0000"/>
                <w:sz w:val="22"/>
                <w:szCs w:val="22"/>
              </w:rPr>
            </w:pPr>
          </w:p>
        </w:tc>
      </w:tr>
      <w:tr w:rsidR="00A94D10" w:rsidRPr="000A54D7" w14:paraId="1AE48E17" w14:textId="77777777">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A97089" w14:textId="77777777" w:rsidR="00A94D10" w:rsidRPr="000A54D7" w:rsidRDefault="000A54D7">
            <w:pPr>
              <w:jc w:val="right"/>
              <w:rPr>
                <w:sz w:val="22"/>
                <w:szCs w:val="22"/>
              </w:rPr>
            </w:pPr>
            <w:r w:rsidRPr="000A54D7">
              <w:rPr>
                <w:sz w:val="22"/>
                <w:szCs w:val="22"/>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F1BA6" w14:textId="77777777" w:rsidR="00A94D10" w:rsidRPr="000A54D7" w:rsidRDefault="00A94D10">
            <w:pPr>
              <w:jc w:val="right"/>
              <w:rPr>
                <w:sz w:val="22"/>
                <w:szCs w:val="22"/>
              </w:rPr>
            </w:pPr>
          </w:p>
        </w:tc>
      </w:tr>
      <w:tr w:rsidR="00A94D10" w:rsidRPr="000A54D7" w14:paraId="06F47EB6" w14:textId="77777777">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4D2BD994" w14:textId="77777777" w:rsidR="00A94D10" w:rsidRPr="000A54D7" w:rsidRDefault="000A54D7">
            <w:pPr>
              <w:jc w:val="right"/>
              <w:rPr>
                <w:sz w:val="22"/>
                <w:szCs w:val="22"/>
              </w:rPr>
            </w:pPr>
            <w:r w:rsidRPr="000A54D7">
              <w:rPr>
                <w:sz w:val="22"/>
                <w:szCs w:val="22"/>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2646D8B6" w14:textId="77777777" w:rsidR="00A94D10" w:rsidRPr="000A54D7" w:rsidRDefault="00A94D10">
            <w:pPr>
              <w:jc w:val="right"/>
              <w:rPr>
                <w:sz w:val="22"/>
                <w:szCs w:val="22"/>
              </w:rPr>
            </w:pPr>
          </w:p>
        </w:tc>
      </w:tr>
      <w:tr w:rsidR="00A94D10" w:rsidRPr="000A54D7" w14:paraId="7325070D" w14:textId="77777777">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6CADAF42" w14:textId="77777777" w:rsidR="00A94D10" w:rsidRPr="000A54D7" w:rsidRDefault="000A54D7">
            <w:pPr>
              <w:jc w:val="right"/>
              <w:rPr>
                <w:sz w:val="22"/>
                <w:szCs w:val="22"/>
              </w:rPr>
            </w:pPr>
            <w:r w:rsidRPr="000A54D7">
              <w:rPr>
                <w:sz w:val="22"/>
                <w:szCs w:val="22"/>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5E295815" w14:textId="7DC593E6" w:rsidR="00A94D10" w:rsidRPr="000A54D7" w:rsidRDefault="00A94D10">
            <w:pPr>
              <w:jc w:val="right"/>
              <w:rPr>
                <w:sz w:val="22"/>
                <w:szCs w:val="22"/>
              </w:rPr>
            </w:pPr>
          </w:p>
        </w:tc>
      </w:tr>
    </w:tbl>
    <w:p w14:paraId="6E8C6D5D" w14:textId="77777777" w:rsidR="00A94D10" w:rsidRPr="000A54D7" w:rsidRDefault="00A94D10">
      <w:pPr>
        <w:spacing w:after="160" w:line="259" w:lineRule="auto"/>
        <w:rPr>
          <w:b/>
          <w:sz w:val="22"/>
          <w:szCs w:val="22"/>
        </w:rPr>
      </w:pPr>
    </w:p>
    <w:p w14:paraId="1C4C7B81" w14:textId="77777777" w:rsidR="00A94D10" w:rsidRPr="000A54D7" w:rsidRDefault="00A94D10">
      <w:pPr>
        <w:spacing w:after="160" w:line="259" w:lineRule="auto"/>
        <w:rPr>
          <w:b/>
          <w:sz w:val="22"/>
          <w:szCs w:val="22"/>
        </w:rPr>
      </w:pPr>
    </w:p>
    <w:p w14:paraId="3D2ABAF0" w14:textId="77777777" w:rsidR="00A94D10" w:rsidRPr="000A54D7" w:rsidRDefault="000A54D7">
      <w:pPr>
        <w:rPr>
          <w:sz w:val="22"/>
          <w:szCs w:val="22"/>
        </w:rPr>
      </w:pPr>
      <w:r w:rsidRPr="000A54D7">
        <w:rPr>
          <w:sz w:val="22"/>
          <w:szCs w:val="22"/>
        </w:rPr>
        <w:t>Telšiai:</w:t>
      </w:r>
    </w:p>
    <w:tbl>
      <w:tblPr>
        <w:tblStyle w:val="a1"/>
        <w:tblW w:w="10456" w:type="dxa"/>
        <w:tblLayout w:type="fixed"/>
        <w:tblLook w:val="0400" w:firstRow="0" w:lastRow="0" w:firstColumn="0" w:lastColumn="0" w:noHBand="0" w:noVBand="1"/>
      </w:tblPr>
      <w:tblGrid>
        <w:gridCol w:w="597"/>
        <w:gridCol w:w="1667"/>
        <w:gridCol w:w="3542"/>
        <w:gridCol w:w="991"/>
        <w:gridCol w:w="851"/>
        <w:gridCol w:w="1422"/>
        <w:gridCol w:w="1386"/>
      </w:tblGrid>
      <w:tr w:rsidR="00A94D10" w:rsidRPr="000A54D7" w14:paraId="48439070" w14:textId="77777777">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25012" w14:textId="03CAD93A" w:rsidR="00A94D10" w:rsidRPr="000A54D7" w:rsidRDefault="000A54D7">
            <w:pPr>
              <w:jc w:val="center"/>
              <w:rPr>
                <w:sz w:val="22"/>
                <w:szCs w:val="22"/>
              </w:rPr>
            </w:pPr>
            <w:bookmarkStart w:id="2" w:name="bookmark=kix.eg70bhizyznj" w:colFirst="0" w:colLast="0"/>
            <w:bookmarkStart w:id="3" w:name="_heading=h.30j0zll" w:colFirst="0" w:colLast="0"/>
            <w:bookmarkEnd w:id="2"/>
            <w:bookmarkEnd w:id="3"/>
            <w:r w:rsidRPr="000A54D7">
              <w:rPr>
                <w:sz w:val="22"/>
                <w:szCs w:val="22"/>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0FD695F0" w14:textId="77777777" w:rsidR="00A94D10" w:rsidRPr="000A54D7" w:rsidRDefault="000A54D7">
            <w:pPr>
              <w:jc w:val="center"/>
              <w:rPr>
                <w:sz w:val="22"/>
                <w:szCs w:val="22"/>
              </w:rPr>
            </w:pPr>
            <w:r w:rsidRPr="000A54D7">
              <w:rPr>
                <w:sz w:val="22"/>
                <w:szCs w:val="22"/>
              </w:rPr>
              <w:t>Prekės pavadinimas</w:t>
            </w:r>
          </w:p>
        </w:tc>
        <w:tc>
          <w:tcPr>
            <w:tcW w:w="3542" w:type="dxa"/>
            <w:tcBorders>
              <w:top w:val="single" w:sz="4" w:space="0" w:color="000000"/>
              <w:left w:val="nil"/>
              <w:bottom w:val="single" w:sz="4" w:space="0" w:color="000000"/>
              <w:right w:val="single" w:sz="4" w:space="0" w:color="000000"/>
            </w:tcBorders>
            <w:shd w:val="clear" w:color="auto" w:fill="FFFFFF"/>
            <w:vAlign w:val="center"/>
          </w:tcPr>
          <w:p w14:paraId="3642D208" w14:textId="77777777" w:rsidR="00A94D10" w:rsidRPr="000A54D7" w:rsidRDefault="000A54D7">
            <w:pPr>
              <w:jc w:val="center"/>
              <w:rPr>
                <w:sz w:val="22"/>
                <w:szCs w:val="22"/>
              </w:rPr>
            </w:pPr>
            <w:r w:rsidRPr="000A54D7">
              <w:rPr>
                <w:sz w:val="22"/>
                <w:szCs w:val="22"/>
              </w:rPr>
              <w:t>Charakteristika</w:t>
            </w:r>
          </w:p>
        </w:tc>
        <w:tc>
          <w:tcPr>
            <w:tcW w:w="991" w:type="dxa"/>
            <w:tcBorders>
              <w:top w:val="single" w:sz="4" w:space="0" w:color="000000"/>
              <w:left w:val="nil"/>
              <w:bottom w:val="single" w:sz="4" w:space="0" w:color="000000"/>
              <w:right w:val="single" w:sz="4" w:space="0" w:color="000000"/>
            </w:tcBorders>
            <w:shd w:val="clear" w:color="auto" w:fill="FFFFFF"/>
            <w:vAlign w:val="center"/>
          </w:tcPr>
          <w:p w14:paraId="3C805F70" w14:textId="77777777" w:rsidR="00A94D10" w:rsidRPr="000A54D7" w:rsidRDefault="000A54D7">
            <w:pPr>
              <w:jc w:val="center"/>
              <w:rPr>
                <w:sz w:val="22"/>
                <w:szCs w:val="22"/>
              </w:rPr>
            </w:pPr>
            <w:r w:rsidRPr="000A54D7">
              <w:rPr>
                <w:sz w:val="22"/>
                <w:szCs w:val="22"/>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3DA200F" w14:textId="77777777" w:rsidR="00A94D10" w:rsidRPr="000A54D7" w:rsidRDefault="000A54D7">
            <w:pPr>
              <w:jc w:val="center"/>
              <w:rPr>
                <w:sz w:val="22"/>
                <w:szCs w:val="22"/>
              </w:rPr>
            </w:pPr>
            <w:r w:rsidRPr="000A54D7">
              <w:rPr>
                <w:sz w:val="22"/>
                <w:szCs w:val="22"/>
              </w:rPr>
              <w:t>Kiekis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CA729" w14:textId="77777777" w:rsidR="00A94D10" w:rsidRPr="000A54D7" w:rsidRDefault="000A54D7">
            <w:pPr>
              <w:jc w:val="center"/>
              <w:rPr>
                <w:sz w:val="22"/>
                <w:szCs w:val="22"/>
              </w:rPr>
            </w:pPr>
            <w:r w:rsidRPr="000A54D7">
              <w:rPr>
                <w:sz w:val="22"/>
                <w:szCs w:val="22"/>
              </w:rPr>
              <w:t>Mato vnt. kaina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7CDA" w14:textId="77777777" w:rsidR="00A94D10" w:rsidRPr="000A54D7" w:rsidRDefault="000A54D7">
            <w:pPr>
              <w:jc w:val="center"/>
              <w:rPr>
                <w:sz w:val="22"/>
                <w:szCs w:val="22"/>
              </w:rPr>
            </w:pPr>
            <w:r w:rsidRPr="000A54D7">
              <w:rPr>
                <w:sz w:val="22"/>
                <w:szCs w:val="22"/>
              </w:rPr>
              <w:t>Viso kaina Eur be PVM</w:t>
            </w:r>
          </w:p>
        </w:tc>
      </w:tr>
      <w:tr w:rsidR="00A94D10" w:rsidRPr="000A54D7" w14:paraId="7658C06D" w14:textId="77777777">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6308EFFA" w14:textId="77777777" w:rsidR="00A94D10" w:rsidRPr="000A54D7" w:rsidRDefault="000A54D7">
            <w:pPr>
              <w:jc w:val="center"/>
              <w:rPr>
                <w:sz w:val="22"/>
                <w:szCs w:val="22"/>
              </w:rPr>
            </w:pPr>
            <w:r w:rsidRPr="000A54D7">
              <w:rPr>
                <w:sz w:val="22"/>
                <w:szCs w:val="22"/>
              </w:rPr>
              <w:t>1.</w:t>
            </w:r>
          </w:p>
        </w:tc>
        <w:tc>
          <w:tcPr>
            <w:tcW w:w="1667" w:type="dxa"/>
            <w:tcBorders>
              <w:top w:val="nil"/>
              <w:left w:val="nil"/>
              <w:bottom w:val="single" w:sz="4" w:space="0" w:color="000000"/>
              <w:right w:val="single" w:sz="4" w:space="0" w:color="000000"/>
            </w:tcBorders>
            <w:shd w:val="clear" w:color="auto" w:fill="auto"/>
            <w:vAlign w:val="center"/>
          </w:tcPr>
          <w:p w14:paraId="68EB3B1C" w14:textId="77777777" w:rsidR="00A94D10" w:rsidRPr="000A54D7" w:rsidRDefault="000A54D7">
            <w:pPr>
              <w:rPr>
                <w:sz w:val="22"/>
                <w:szCs w:val="22"/>
              </w:rPr>
            </w:pPr>
            <w:r w:rsidRPr="000A54D7">
              <w:rPr>
                <w:sz w:val="22"/>
                <w:szCs w:val="22"/>
              </w:rPr>
              <w:t>SCADA licencija</w:t>
            </w:r>
          </w:p>
        </w:tc>
        <w:tc>
          <w:tcPr>
            <w:tcW w:w="3542" w:type="dxa"/>
            <w:tcBorders>
              <w:top w:val="nil"/>
              <w:left w:val="nil"/>
              <w:bottom w:val="single" w:sz="4" w:space="0" w:color="000000"/>
              <w:right w:val="single" w:sz="4" w:space="0" w:color="000000"/>
            </w:tcBorders>
            <w:shd w:val="clear" w:color="auto" w:fill="auto"/>
            <w:vAlign w:val="center"/>
          </w:tcPr>
          <w:p w14:paraId="23479397" w14:textId="77777777" w:rsidR="00A94D10" w:rsidRPr="000A54D7" w:rsidRDefault="000A54D7">
            <w:pPr>
              <w:tabs>
                <w:tab w:val="left" w:pos="175"/>
              </w:tabs>
              <w:ind w:left="357"/>
              <w:rPr>
                <w:sz w:val="22"/>
                <w:szCs w:val="22"/>
              </w:rPr>
            </w:pPr>
            <w:r w:rsidRPr="000A54D7">
              <w:rPr>
                <w:sz w:val="22"/>
                <w:szCs w:val="22"/>
              </w:rPr>
              <w:t xml:space="preserve">NTVH-64-N-231 OEM AVEVA </w:t>
            </w:r>
            <w:proofErr w:type="spellStart"/>
            <w:r w:rsidRPr="000A54D7">
              <w:rPr>
                <w:sz w:val="22"/>
                <w:szCs w:val="22"/>
              </w:rPr>
              <w:t>InToutch</w:t>
            </w:r>
            <w:proofErr w:type="spellEnd"/>
            <w:r w:rsidRPr="000A54D7">
              <w:rPr>
                <w:sz w:val="22"/>
                <w:szCs w:val="22"/>
              </w:rPr>
              <w:t xml:space="preserve"> HMI 2023 R2 Workstation 1K/750 </w:t>
            </w:r>
            <w:proofErr w:type="spellStart"/>
            <w:r w:rsidRPr="000A54D7">
              <w:rPr>
                <w:sz w:val="22"/>
                <w:szCs w:val="22"/>
              </w:rPr>
              <w:t>Win</w:t>
            </w:r>
            <w:proofErr w:type="spellEnd"/>
            <w:r w:rsidRPr="000A54D7">
              <w:rPr>
                <w:sz w:val="22"/>
                <w:szCs w:val="22"/>
              </w:rPr>
              <w:t xml:space="preserve"> w/I/O</w:t>
            </w:r>
          </w:p>
          <w:p w14:paraId="0BF5C959" w14:textId="77777777" w:rsidR="00A94D10" w:rsidRPr="000A54D7" w:rsidRDefault="000A54D7">
            <w:pPr>
              <w:tabs>
                <w:tab w:val="left" w:pos="175"/>
              </w:tabs>
              <w:ind w:left="357"/>
              <w:rPr>
                <w:sz w:val="22"/>
                <w:szCs w:val="22"/>
              </w:rPr>
            </w:pPr>
            <w:r w:rsidRPr="000A54D7">
              <w:rPr>
                <w:sz w:val="22"/>
                <w:szCs w:val="22"/>
              </w:rPr>
              <w:t>nauja(</w:t>
            </w:r>
            <w:proofErr w:type="spellStart"/>
            <w:r w:rsidRPr="000A54D7">
              <w:rPr>
                <w:sz w:val="22"/>
                <w:szCs w:val="22"/>
              </w:rPr>
              <w:t>os</w:t>
            </w:r>
            <w:proofErr w:type="spellEnd"/>
            <w:r w:rsidRPr="000A54D7">
              <w:rPr>
                <w:sz w:val="22"/>
                <w:szCs w:val="22"/>
              </w:rPr>
              <w:t>)  licencija(</w:t>
            </w:r>
            <w:proofErr w:type="spellStart"/>
            <w:r w:rsidRPr="000A54D7">
              <w:rPr>
                <w:sz w:val="22"/>
                <w:szCs w:val="22"/>
              </w:rPr>
              <w:t>os</w:t>
            </w:r>
            <w:proofErr w:type="spellEnd"/>
            <w:r w:rsidRPr="000A54D7">
              <w:rPr>
                <w:sz w:val="22"/>
                <w:szCs w:val="22"/>
              </w:rPr>
              <w:t xml:space="preserve"> ), (arba lygiavertis)</w:t>
            </w:r>
          </w:p>
          <w:p w14:paraId="6F3A055D" w14:textId="77777777" w:rsidR="00A94D10" w:rsidRPr="000A54D7" w:rsidRDefault="00A94D10">
            <w:pPr>
              <w:tabs>
                <w:tab w:val="left" w:pos="175"/>
              </w:tabs>
              <w:ind w:left="357"/>
              <w:rPr>
                <w:sz w:val="22"/>
                <w:szCs w:val="22"/>
              </w:rPr>
            </w:pPr>
          </w:p>
        </w:tc>
        <w:tc>
          <w:tcPr>
            <w:tcW w:w="991" w:type="dxa"/>
            <w:tcBorders>
              <w:top w:val="nil"/>
              <w:left w:val="nil"/>
              <w:bottom w:val="single" w:sz="4" w:space="0" w:color="000000"/>
              <w:right w:val="single" w:sz="4" w:space="0" w:color="000000"/>
            </w:tcBorders>
            <w:shd w:val="clear" w:color="auto" w:fill="auto"/>
            <w:vAlign w:val="center"/>
          </w:tcPr>
          <w:p w14:paraId="1FECBD2B" w14:textId="77777777" w:rsidR="00A94D10" w:rsidRPr="000A54D7" w:rsidRDefault="000A54D7">
            <w:pPr>
              <w:jc w:val="center"/>
              <w:rPr>
                <w:sz w:val="22"/>
                <w:szCs w:val="22"/>
              </w:rPr>
            </w:pPr>
            <w:proofErr w:type="spellStart"/>
            <w:r w:rsidRPr="000A54D7">
              <w:rPr>
                <w:sz w:val="22"/>
                <w:szCs w:val="22"/>
              </w:rPr>
              <w:t>kompl</w:t>
            </w:r>
            <w:proofErr w:type="spellEnd"/>
            <w:r w:rsidRPr="000A54D7">
              <w:rPr>
                <w:sz w:val="22"/>
                <w:szCs w:val="22"/>
              </w:rPr>
              <w:t>.</w:t>
            </w:r>
          </w:p>
        </w:tc>
        <w:tc>
          <w:tcPr>
            <w:tcW w:w="851" w:type="dxa"/>
            <w:tcBorders>
              <w:top w:val="nil"/>
              <w:left w:val="nil"/>
              <w:bottom w:val="single" w:sz="4" w:space="0" w:color="000000"/>
              <w:right w:val="single" w:sz="4" w:space="0" w:color="000000"/>
            </w:tcBorders>
            <w:vAlign w:val="center"/>
          </w:tcPr>
          <w:p w14:paraId="5821E22D" w14:textId="77777777" w:rsidR="00A94D10" w:rsidRPr="000A54D7" w:rsidRDefault="000A54D7">
            <w:pPr>
              <w:jc w:val="center"/>
              <w:rPr>
                <w:sz w:val="22"/>
                <w:szCs w:val="22"/>
              </w:rPr>
            </w:pPr>
            <w:r w:rsidRPr="000A54D7">
              <w:rPr>
                <w:sz w:val="22"/>
                <w:szCs w:val="22"/>
              </w:rPr>
              <w:t>2</w:t>
            </w:r>
          </w:p>
        </w:tc>
        <w:tc>
          <w:tcPr>
            <w:tcW w:w="1422" w:type="dxa"/>
            <w:tcBorders>
              <w:top w:val="nil"/>
              <w:left w:val="single" w:sz="4" w:space="0" w:color="000000"/>
              <w:bottom w:val="single" w:sz="4" w:space="0" w:color="000000"/>
              <w:right w:val="single" w:sz="4" w:space="0" w:color="000000"/>
            </w:tcBorders>
            <w:shd w:val="clear" w:color="auto" w:fill="FFFFFF"/>
            <w:vAlign w:val="center"/>
          </w:tcPr>
          <w:p w14:paraId="26EEC419" w14:textId="77777777" w:rsidR="00A94D10" w:rsidRPr="000A54D7" w:rsidRDefault="00A94D10">
            <w:pPr>
              <w:jc w:val="center"/>
              <w:rPr>
                <w:color w:val="FF0000"/>
                <w:sz w:val="22"/>
                <w:szCs w:val="22"/>
              </w:rPr>
            </w:pP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30E5AE34" w14:textId="77777777" w:rsidR="00A94D10" w:rsidRPr="000A54D7" w:rsidRDefault="00A94D10">
            <w:pPr>
              <w:jc w:val="right"/>
              <w:rPr>
                <w:color w:val="FF0000"/>
                <w:sz w:val="22"/>
                <w:szCs w:val="22"/>
              </w:rPr>
            </w:pPr>
          </w:p>
        </w:tc>
      </w:tr>
      <w:tr w:rsidR="00A94D10" w:rsidRPr="000A54D7" w14:paraId="174D81F4" w14:textId="77777777">
        <w:trPr>
          <w:trHeight w:val="372"/>
        </w:trPr>
        <w:tc>
          <w:tcPr>
            <w:tcW w:w="90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DB1700" w14:textId="77777777" w:rsidR="00A94D10" w:rsidRPr="000A54D7" w:rsidRDefault="000A54D7">
            <w:pPr>
              <w:jc w:val="right"/>
              <w:rPr>
                <w:sz w:val="22"/>
                <w:szCs w:val="22"/>
              </w:rPr>
            </w:pPr>
            <w:r w:rsidRPr="000A54D7">
              <w:rPr>
                <w:sz w:val="22"/>
                <w:szCs w:val="22"/>
              </w:rPr>
              <w:t>Bendra pasiūlymo kaina vertinimui Eur be  PVM</w:t>
            </w:r>
          </w:p>
        </w:tc>
        <w:tc>
          <w:tcPr>
            <w:tcW w:w="1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E2928" w14:textId="77777777" w:rsidR="00A94D10" w:rsidRPr="000A54D7" w:rsidRDefault="00A94D10">
            <w:pPr>
              <w:jc w:val="right"/>
              <w:rPr>
                <w:sz w:val="22"/>
                <w:szCs w:val="22"/>
              </w:rPr>
            </w:pPr>
          </w:p>
        </w:tc>
      </w:tr>
      <w:tr w:rsidR="00A94D10" w:rsidRPr="000A54D7" w14:paraId="5A45F1CF" w14:textId="77777777">
        <w:trPr>
          <w:trHeight w:val="408"/>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137F3DBE" w14:textId="77777777" w:rsidR="00A94D10" w:rsidRPr="000A54D7" w:rsidRDefault="000A54D7">
            <w:pPr>
              <w:jc w:val="right"/>
              <w:rPr>
                <w:sz w:val="22"/>
                <w:szCs w:val="22"/>
              </w:rPr>
            </w:pPr>
            <w:r w:rsidRPr="000A54D7">
              <w:rPr>
                <w:sz w:val="22"/>
                <w:szCs w:val="22"/>
              </w:rPr>
              <w:t xml:space="preserve">PVM </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137067AC" w14:textId="77777777" w:rsidR="00A94D10" w:rsidRPr="000A54D7" w:rsidRDefault="00A94D10">
            <w:pPr>
              <w:jc w:val="right"/>
              <w:rPr>
                <w:sz w:val="22"/>
                <w:szCs w:val="22"/>
              </w:rPr>
            </w:pPr>
          </w:p>
        </w:tc>
      </w:tr>
      <w:tr w:rsidR="00A94D10" w:rsidRPr="000A54D7" w14:paraId="68CB2F3E" w14:textId="77777777">
        <w:trPr>
          <w:trHeight w:val="426"/>
        </w:trPr>
        <w:tc>
          <w:tcPr>
            <w:tcW w:w="9070" w:type="dxa"/>
            <w:gridSpan w:val="6"/>
            <w:tcBorders>
              <w:top w:val="nil"/>
              <w:left w:val="single" w:sz="4" w:space="0" w:color="000000"/>
              <w:bottom w:val="single" w:sz="4" w:space="0" w:color="000000"/>
              <w:right w:val="single" w:sz="4" w:space="0" w:color="000000"/>
            </w:tcBorders>
            <w:shd w:val="clear" w:color="auto" w:fill="auto"/>
            <w:vAlign w:val="center"/>
          </w:tcPr>
          <w:p w14:paraId="485A7CDC" w14:textId="77777777" w:rsidR="00A94D10" w:rsidRPr="000A54D7" w:rsidRDefault="000A54D7">
            <w:pPr>
              <w:jc w:val="right"/>
              <w:rPr>
                <w:sz w:val="22"/>
                <w:szCs w:val="22"/>
              </w:rPr>
            </w:pPr>
            <w:r w:rsidRPr="000A54D7">
              <w:rPr>
                <w:sz w:val="22"/>
                <w:szCs w:val="22"/>
              </w:rPr>
              <w:t>Bendra pasiūlymo kaina vertinimui Eur su  PVM</w:t>
            </w:r>
          </w:p>
        </w:tc>
        <w:tc>
          <w:tcPr>
            <w:tcW w:w="1386" w:type="dxa"/>
            <w:tcBorders>
              <w:top w:val="nil"/>
              <w:left w:val="single" w:sz="4" w:space="0" w:color="000000"/>
              <w:bottom w:val="single" w:sz="4" w:space="0" w:color="000000"/>
              <w:right w:val="single" w:sz="4" w:space="0" w:color="000000"/>
            </w:tcBorders>
            <w:shd w:val="clear" w:color="auto" w:fill="FFFFFF"/>
            <w:vAlign w:val="center"/>
          </w:tcPr>
          <w:p w14:paraId="5274E03C" w14:textId="4E9D4E1F" w:rsidR="00A94D10" w:rsidRPr="000A54D7" w:rsidRDefault="00A94D10">
            <w:pPr>
              <w:jc w:val="right"/>
              <w:rPr>
                <w:sz w:val="22"/>
                <w:szCs w:val="22"/>
              </w:rPr>
            </w:pPr>
          </w:p>
        </w:tc>
      </w:tr>
    </w:tbl>
    <w:p w14:paraId="55E0485F" w14:textId="77777777" w:rsidR="00A94D10" w:rsidRPr="000A54D7" w:rsidRDefault="00A94D10">
      <w:pPr>
        <w:spacing w:after="160" w:line="259" w:lineRule="auto"/>
        <w:rPr>
          <w:b/>
          <w:sz w:val="22"/>
          <w:szCs w:val="22"/>
        </w:rPr>
      </w:pPr>
    </w:p>
    <w:p w14:paraId="18453F1A" w14:textId="77777777" w:rsidR="00A94D10" w:rsidRPr="000A54D7" w:rsidRDefault="00A94D10">
      <w:pPr>
        <w:rPr>
          <w:sz w:val="22"/>
          <w:szCs w:val="22"/>
        </w:rPr>
      </w:pPr>
    </w:p>
    <w:p w14:paraId="33929313" w14:textId="77777777" w:rsidR="00A94D10" w:rsidRPr="000A54D7" w:rsidRDefault="00A94D10">
      <w:pPr>
        <w:rPr>
          <w:sz w:val="22"/>
          <w:szCs w:val="22"/>
        </w:rPr>
      </w:pPr>
    </w:p>
    <w:sectPr w:rsidR="00A94D10" w:rsidRPr="000A54D7">
      <w:pgSz w:w="11906" w:h="16838"/>
      <w:pgMar w:top="720" w:right="720" w:bottom="720" w:left="720" w:header="680" w:footer="794"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F3A"/>
    <w:multiLevelType w:val="multilevel"/>
    <w:tmpl w:val="3B32575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613BB3"/>
    <w:multiLevelType w:val="multilevel"/>
    <w:tmpl w:val="E9E69A6C"/>
    <w:lvl w:ilvl="0">
      <w:start w:val="1"/>
      <w:numFmt w:val="decimal"/>
      <w:lvlText w:val="%1."/>
      <w:lvlJc w:val="right"/>
      <w:pPr>
        <w:ind w:left="360" w:hanging="360"/>
      </w:pPr>
      <w:rPr>
        <w:b/>
      </w:rPr>
    </w:lvl>
    <w:lvl w:ilvl="1">
      <w:start w:val="2"/>
      <w:numFmt w:val="decimal"/>
      <w:lvlText w:val="%1.%2."/>
      <w:lvlJc w:val="right"/>
      <w:pPr>
        <w:ind w:left="360" w:hanging="360"/>
      </w:p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1080" w:hanging="1080"/>
      </w:pPr>
    </w:lvl>
    <w:lvl w:ilvl="5">
      <w:start w:val="1"/>
      <w:numFmt w:val="decimal"/>
      <w:lvlText w:val="%1.%2.%3.%4.%5.%6."/>
      <w:lvlJc w:val="right"/>
      <w:pPr>
        <w:ind w:left="1080" w:hanging="1080"/>
      </w:pPr>
    </w:lvl>
    <w:lvl w:ilvl="6">
      <w:start w:val="1"/>
      <w:numFmt w:val="decimal"/>
      <w:lvlText w:val="%1.%2.%3.%4.%5.%6.%7."/>
      <w:lvlJc w:val="right"/>
      <w:pPr>
        <w:ind w:left="1440" w:hanging="1440"/>
      </w:pPr>
    </w:lvl>
    <w:lvl w:ilvl="7">
      <w:start w:val="1"/>
      <w:numFmt w:val="decimal"/>
      <w:lvlText w:val="%1.%2.%3.%4.%5.%6.%7.%8."/>
      <w:lvlJc w:val="right"/>
      <w:pPr>
        <w:ind w:left="1440" w:hanging="1440"/>
      </w:pPr>
    </w:lvl>
    <w:lvl w:ilvl="8">
      <w:start w:val="1"/>
      <w:numFmt w:val="decimal"/>
      <w:lvlText w:val="%1.%2.%3.%4.%5.%6.%7.%8.%9."/>
      <w:lvlJc w:val="right"/>
      <w:pPr>
        <w:ind w:left="1800" w:hanging="1800"/>
      </w:pPr>
    </w:lvl>
  </w:abstractNum>
  <w:num w:numId="1" w16cid:durableId="134300183">
    <w:abstractNumId w:val="1"/>
  </w:num>
  <w:num w:numId="2" w16cid:durableId="198446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10"/>
    <w:rsid w:val="000A54D7"/>
    <w:rsid w:val="00A94D10"/>
    <w:rsid w:val="00DB0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D5DC"/>
  <w15:docId w15:val="{E7CE3F71-0B5A-4AEC-B337-22EA41DF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62"/>
    <w:rPr>
      <w:rFonts w:eastAsia="Calibri"/>
    </w:rPr>
  </w:style>
  <w:style w:type="paragraph" w:styleId="Heading1">
    <w:name w:val="heading 1"/>
    <w:basedOn w:val="Normal"/>
    <w:next w:val="Normal"/>
    <w:link w:val="Heading1Char"/>
    <w:uiPriority w:val="9"/>
    <w:qFormat/>
    <w:rsid w:val="007A7F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F2F"/>
    <w:pPr>
      <w:keepNext/>
      <w:keepLines/>
      <w:numPr>
        <w:numId w:val="2"/>
      </w:numPr>
      <w:pBdr>
        <w:top w:val="single" w:sz="4" w:space="1" w:color="auto"/>
        <w:bottom w:val="single" w:sz="4" w:space="1" w:color="auto"/>
      </w:pBdr>
      <w:spacing w:before="40"/>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stParagraph1">
    <w:name w:val="List Paragraph1"/>
    <w:basedOn w:val="Normal"/>
    <w:qFormat/>
    <w:rsid w:val="00FD5562"/>
    <w:pPr>
      <w:ind w:left="720"/>
    </w:pPr>
  </w:style>
  <w:style w:type="paragraph" w:styleId="ListParagraph">
    <w:name w:val="List Paragraph"/>
    <w:basedOn w:val="Normal"/>
    <w:link w:val="ListParagraphChar"/>
    <w:uiPriority w:val="34"/>
    <w:qFormat/>
    <w:rsid w:val="00FD5562"/>
    <w:pPr>
      <w:ind w:left="720"/>
    </w:pPr>
    <w:rPr>
      <w:rFonts w:ascii="Calibri" w:hAnsi="Calibri" w:cs="Calibri"/>
      <w:sz w:val="22"/>
      <w:szCs w:val="22"/>
      <w:lang w:eastAsia="en-US"/>
    </w:rPr>
  </w:style>
  <w:style w:type="character" w:customStyle="1" w:styleId="ListParagraphChar">
    <w:name w:val="List Paragraph Char"/>
    <w:link w:val="ListParagraph"/>
    <w:uiPriority w:val="34"/>
    <w:rsid w:val="00FD5562"/>
    <w:rPr>
      <w:rFonts w:ascii="Calibri" w:eastAsia="Calibri" w:hAnsi="Calibri" w:cs="Calibri"/>
      <w:lang w:val="lt-LT"/>
    </w:rPr>
  </w:style>
  <w:style w:type="paragraph" w:styleId="Footer">
    <w:name w:val="footer"/>
    <w:basedOn w:val="Normal"/>
    <w:link w:val="FooterChar"/>
    <w:uiPriority w:val="99"/>
    <w:unhideWhenUsed/>
    <w:rsid w:val="00FD5562"/>
    <w:pPr>
      <w:tabs>
        <w:tab w:val="center" w:pos="4819"/>
        <w:tab w:val="right" w:pos="9638"/>
      </w:tabs>
    </w:pPr>
  </w:style>
  <w:style w:type="character" w:customStyle="1" w:styleId="FooterChar">
    <w:name w:val="Footer Char"/>
    <w:basedOn w:val="DefaultParagraphFont"/>
    <w:link w:val="Footer"/>
    <w:uiPriority w:val="99"/>
    <w:rsid w:val="00FD5562"/>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666DB"/>
    <w:pPr>
      <w:tabs>
        <w:tab w:val="center" w:pos="4680"/>
        <w:tab w:val="right" w:pos="9360"/>
      </w:tabs>
    </w:pPr>
  </w:style>
  <w:style w:type="character" w:customStyle="1" w:styleId="HeaderChar">
    <w:name w:val="Header Char"/>
    <w:basedOn w:val="DefaultParagraphFont"/>
    <w:link w:val="Header"/>
    <w:uiPriority w:val="99"/>
    <w:rsid w:val="001666DB"/>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DF4D7E"/>
    <w:rPr>
      <w:rFonts w:ascii="Tahoma" w:hAnsi="Tahoma" w:cs="Tahoma"/>
      <w:sz w:val="16"/>
      <w:szCs w:val="16"/>
    </w:rPr>
  </w:style>
  <w:style w:type="character" w:customStyle="1" w:styleId="BalloonTextChar">
    <w:name w:val="Balloon Text Char"/>
    <w:basedOn w:val="DefaultParagraphFont"/>
    <w:link w:val="BalloonText"/>
    <w:uiPriority w:val="99"/>
    <w:semiHidden/>
    <w:rsid w:val="00DF4D7E"/>
    <w:rPr>
      <w:rFonts w:ascii="Tahoma" w:eastAsia="Calibri" w:hAnsi="Tahoma" w:cs="Tahoma"/>
      <w:sz w:val="16"/>
      <w:szCs w:val="16"/>
      <w:lang w:val="lt-LT" w:eastAsia="lt-LT"/>
    </w:rPr>
  </w:style>
  <w:style w:type="character" w:styleId="CommentReference">
    <w:name w:val="annotation reference"/>
    <w:basedOn w:val="DefaultParagraphFont"/>
    <w:uiPriority w:val="99"/>
    <w:semiHidden/>
    <w:unhideWhenUsed/>
    <w:rsid w:val="00C97029"/>
    <w:rPr>
      <w:sz w:val="16"/>
      <w:szCs w:val="16"/>
    </w:rPr>
  </w:style>
  <w:style w:type="paragraph" w:styleId="CommentText">
    <w:name w:val="annotation text"/>
    <w:basedOn w:val="Normal"/>
    <w:link w:val="CommentTextChar"/>
    <w:uiPriority w:val="99"/>
    <w:unhideWhenUsed/>
    <w:rsid w:val="00C97029"/>
    <w:rPr>
      <w:sz w:val="20"/>
      <w:szCs w:val="20"/>
    </w:rPr>
  </w:style>
  <w:style w:type="character" w:customStyle="1" w:styleId="CommentTextChar">
    <w:name w:val="Comment Text Char"/>
    <w:basedOn w:val="DefaultParagraphFont"/>
    <w:link w:val="CommentText"/>
    <w:uiPriority w:val="99"/>
    <w:rsid w:val="00C97029"/>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97029"/>
    <w:rPr>
      <w:b/>
      <w:bCs/>
    </w:rPr>
  </w:style>
  <w:style w:type="character" w:customStyle="1" w:styleId="CommentSubjectChar">
    <w:name w:val="Comment Subject Char"/>
    <w:basedOn w:val="CommentTextChar"/>
    <w:link w:val="CommentSubject"/>
    <w:uiPriority w:val="99"/>
    <w:semiHidden/>
    <w:rsid w:val="00C97029"/>
    <w:rPr>
      <w:rFonts w:ascii="Times New Roman" w:eastAsia="Calibri" w:hAnsi="Times New Roman" w:cs="Times New Roman"/>
      <w:b/>
      <w:bCs/>
      <w:sz w:val="20"/>
      <w:szCs w:val="20"/>
      <w:lang w:val="lt-LT" w:eastAsia="lt-LT"/>
    </w:rPr>
  </w:style>
  <w:style w:type="paragraph" w:styleId="FootnoteText">
    <w:name w:val="footnote text"/>
    <w:basedOn w:val="Normal"/>
    <w:link w:val="FootnoteTextChar"/>
    <w:uiPriority w:val="99"/>
    <w:semiHidden/>
    <w:unhideWhenUsed/>
    <w:rsid w:val="007C6844"/>
    <w:rPr>
      <w:rFonts w:eastAsia="Times New Roman"/>
      <w:sz w:val="20"/>
      <w:szCs w:val="20"/>
    </w:rPr>
  </w:style>
  <w:style w:type="character" w:customStyle="1" w:styleId="FootnoteTextChar">
    <w:name w:val="Footnote Text Char"/>
    <w:basedOn w:val="DefaultParagraphFont"/>
    <w:link w:val="FootnoteText"/>
    <w:uiPriority w:val="99"/>
    <w:semiHidden/>
    <w:rsid w:val="007C6844"/>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7C6844"/>
    <w:rPr>
      <w:vertAlign w:val="superscript"/>
    </w:rPr>
  </w:style>
  <w:style w:type="table" w:styleId="TableGrid">
    <w:name w:val="Table Grid"/>
    <w:basedOn w:val="TableNormal"/>
    <w:uiPriority w:val="39"/>
    <w:rsid w:val="006D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6E68"/>
    <w:pPr>
      <w:spacing w:before="100" w:beforeAutospacing="1" w:after="100" w:afterAutospacing="1"/>
    </w:pPr>
    <w:rPr>
      <w:rFonts w:eastAsia="Times New Roman"/>
    </w:rPr>
  </w:style>
  <w:style w:type="character" w:styleId="Emphasis">
    <w:name w:val="Emphasis"/>
    <w:basedOn w:val="DefaultParagraphFont"/>
    <w:uiPriority w:val="20"/>
    <w:qFormat/>
    <w:rsid w:val="00696E68"/>
    <w:rPr>
      <w:i/>
      <w:iCs/>
    </w:rPr>
  </w:style>
  <w:style w:type="character" w:customStyle="1" w:styleId="Heading1Char">
    <w:name w:val="Heading 1 Char"/>
    <w:basedOn w:val="DefaultParagraphFont"/>
    <w:link w:val="Heading1"/>
    <w:uiPriority w:val="9"/>
    <w:rsid w:val="007A7F2F"/>
    <w:rPr>
      <w:rFonts w:asciiTheme="majorHAnsi" w:eastAsiaTheme="majorEastAsia" w:hAnsiTheme="majorHAnsi" w:cstheme="majorBidi"/>
      <w:color w:val="2E74B5" w:themeColor="accent1" w:themeShade="BF"/>
      <w:sz w:val="32"/>
      <w:szCs w:val="32"/>
      <w:lang w:val="lt-LT" w:eastAsia="lt-LT"/>
    </w:rPr>
  </w:style>
  <w:style w:type="character" w:customStyle="1" w:styleId="Heading2Char">
    <w:name w:val="Heading 2 Char"/>
    <w:basedOn w:val="DefaultParagraphFont"/>
    <w:link w:val="Heading2"/>
    <w:uiPriority w:val="9"/>
    <w:rsid w:val="007A7F2F"/>
    <w:rPr>
      <w:rFonts w:ascii="Times New Roman" w:eastAsiaTheme="majorEastAsia" w:hAnsi="Times New Roman" w:cstheme="majorBidi"/>
      <w:b/>
      <w:sz w:val="24"/>
      <w:szCs w:val="26"/>
      <w:lang w:val="lt-LT" w:eastAsia="lt-L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Vg4+x8kqOMDNGK6RHyg30raWA==">CgMxLjAaHwoBMBIaChgICVIUChJ0YWJsZS5saHM4cWJlYXV3MmsaHwoBMRIaChgICVIUChJ0YWJsZS4xcThpYnV2eWJsdm8yCWlkLmdqZGd4czIJaC4zMGowemxsMhBraXguN3kweHkwcGMwd25qMgloLjMwajB6bGwyEGtpeC5lZzcwYmhpenl6bmoyCWguMzBqMHpsbDgAciExYlR2UUpFUjJjektBeEFnaF9wU2p0YjZnQTF6Y090dmU=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2691</Words>
  <Characters>1534</Characters>
  <Application>Microsoft Office Word</Application>
  <DocSecurity>0</DocSecurity>
  <Lines>12</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Semionova</dc:creator>
  <cp:lastModifiedBy>Karolina VIRVIČIENĖ</cp:lastModifiedBy>
  <cp:revision>2</cp:revision>
  <dcterms:created xsi:type="dcterms:W3CDTF">2020-02-07T09:11:00Z</dcterms:created>
  <dcterms:modified xsi:type="dcterms:W3CDTF">2025-04-14T07:22:00Z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0x01010090BA8001B132FF45AD00347A0EDB5A9F</vt:lpwstr>
  </property>
</Properties>
</file>