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Default="00117890" w:rsidP="00117890">
      <w:pPr>
        <w:jc w:val="center"/>
        <w:rPr>
          <w:rFonts w:ascii="Times New Roman" w:eastAsia="SimSun" w:hAnsi="Times New Roman"/>
          <w:b/>
          <w:color w:val="000000"/>
          <w:sz w:val="24"/>
          <w:szCs w:val="24"/>
          <w:lang w:eastAsia="zh-CN"/>
        </w:rPr>
      </w:pPr>
      <w:r w:rsidRPr="00140DED">
        <w:rPr>
          <w:rFonts w:ascii="Times New Roman" w:hAnsi="Times New Roman"/>
          <w:b/>
          <w:bCs/>
          <w:sz w:val="24"/>
          <w:szCs w:val="24"/>
        </w:rPr>
        <w:t>ŽAKO LIPŠICO MEMORIALINIO MUZIEJAUS</w:t>
      </w:r>
      <w:r w:rsidRPr="00140DED">
        <w:rPr>
          <w:rFonts w:ascii="Times New Roman" w:hAnsi="Times New Roman"/>
          <w:sz w:val="24"/>
          <w:szCs w:val="24"/>
        </w:rPr>
        <w:t xml:space="preserve"> </w:t>
      </w:r>
      <w:r w:rsidRPr="00140DED">
        <w:rPr>
          <w:rFonts w:ascii="Times New Roman" w:eastAsia="SimSun" w:hAnsi="Times New Roman"/>
          <w:b/>
          <w:color w:val="000000"/>
          <w:sz w:val="24"/>
          <w:szCs w:val="24"/>
          <w:lang w:eastAsia="zh-CN"/>
        </w:rPr>
        <w:t>DRUSKININKUOSE, ŠV. JOKŪBO G. 17</w:t>
      </w:r>
    </w:p>
    <w:p w14:paraId="220D258C" w14:textId="77777777" w:rsidR="001E0D21" w:rsidRDefault="001E0D21" w:rsidP="00117890">
      <w:pPr>
        <w:jc w:val="center"/>
        <w:rPr>
          <w:rFonts w:ascii="Times New Roman" w:eastAsia="SimSun" w:hAnsi="Times New Roman"/>
          <w:b/>
          <w:color w:val="000000"/>
          <w:sz w:val="24"/>
          <w:szCs w:val="24"/>
          <w:lang w:eastAsia="zh-CN"/>
        </w:rPr>
      </w:pPr>
    </w:p>
    <w:p w14:paraId="053C9058" w14:textId="499AD153" w:rsidR="001E0D21" w:rsidRDefault="00F8236C" w:rsidP="00117890">
      <w:pPr>
        <w:jc w:val="center"/>
        <w:rPr>
          <w:rFonts w:ascii="Times New Roman" w:eastAsia="Times New Roman" w:hAnsi="Times New Roman"/>
          <w:b/>
          <w:bCs/>
          <w:iCs/>
          <w:color w:val="000000"/>
          <w:sz w:val="24"/>
          <w:szCs w:val="24"/>
        </w:rPr>
      </w:pPr>
      <w:r>
        <w:rPr>
          <w:rFonts w:ascii="Times New Roman" w:eastAsia="SimSun" w:hAnsi="Times New Roman"/>
          <w:b/>
          <w:color w:val="000000"/>
          <w:sz w:val="24"/>
          <w:szCs w:val="24"/>
          <w:lang w:eastAsia="zh-CN"/>
        </w:rPr>
        <w:t>KĖDŽIŲ</w:t>
      </w:r>
      <w:r w:rsidR="00B86215">
        <w:rPr>
          <w:rFonts w:ascii="Times New Roman" w:eastAsia="SimSun" w:hAnsi="Times New Roman"/>
          <w:b/>
          <w:color w:val="000000"/>
          <w:sz w:val="24"/>
          <w:szCs w:val="24"/>
          <w:lang w:eastAsia="zh-CN"/>
        </w:rPr>
        <w:t xml:space="preserve"> TECHNINĖ</w:t>
      </w:r>
      <w:r>
        <w:rPr>
          <w:rFonts w:ascii="Times New Roman" w:eastAsia="SimSun" w:hAnsi="Times New Roman"/>
          <w:b/>
          <w:color w:val="000000"/>
          <w:sz w:val="24"/>
          <w:szCs w:val="24"/>
          <w:lang w:eastAsia="zh-CN"/>
        </w:rPr>
        <w:t xml:space="preserve"> </w:t>
      </w:r>
      <w:r w:rsidR="009C4613">
        <w:rPr>
          <w:rFonts w:ascii="Times New Roman" w:eastAsia="SimSun" w:hAnsi="Times New Roman"/>
          <w:b/>
          <w:color w:val="000000"/>
          <w:sz w:val="24"/>
          <w:szCs w:val="24"/>
          <w:lang w:eastAsia="zh-CN"/>
        </w:rPr>
        <w:t>SPECIFIKACIJA</w:t>
      </w:r>
    </w:p>
    <w:p w14:paraId="31135293" w14:textId="77777777" w:rsidR="00132DB8" w:rsidRDefault="00132DB8"/>
    <w:p w14:paraId="7D8B0F2F" w14:textId="77777777" w:rsidR="005466D7" w:rsidRPr="006C7D61" w:rsidRDefault="005466D7" w:rsidP="005466D7">
      <w:pPr>
        <w:pStyle w:val="Default"/>
      </w:pPr>
      <w:r w:rsidRPr="006C7D61">
        <w:rPr>
          <w:b/>
          <w:bCs/>
        </w:rPr>
        <w:t xml:space="preserve">Bendrieji reikalavimai </w:t>
      </w:r>
    </w:p>
    <w:p w14:paraId="5AD284B8" w14:textId="77777777" w:rsidR="005466D7" w:rsidRPr="006C7D61" w:rsidRDefault="005466D7" w:rsidP="005466D7">
      <w:pPr>
        <w:pStyle w:val="Default"/>
        <w:numPr>
          <w:ilvl w:val="0"/>
          <w:numId w:val="1"/>
        </w:numPr>
        <w:spacing w:after="49"/>
        <w:ind w:left="360" w:hanging="360"/>
        <w:jc w:val="both"/>
      </w:pPr>
      <w:r w:rsidRPr="006C7D61">
        <w:t xml:space="preserve">Visai tiekėjo įrengtai ekspozicijos įrangai turi būti suteikiama 24 mėnesių garantija. </w:t>
      </w:r>
    </w:p>
    <w:p w14:paraId="593A706B" w14:textId="77777777" w:rsidR="005466D7" w:rsidRPr="006C7D61" w:rsidRDefault="005466D7" w:rsidP="005466D7">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31F79017" w14:textId="77777777" w:rsidR="005466D7" w:rsidRPr="006C7D61" w:rsidRDefault="005466D7" w:rsidP="005466D7">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015F8652" w14:textId="77777777" w:rsidR="005466D7" w:rsidRPr="006C7D61" w:rsidRDefault="005466D7" w:rsidP="005466D7">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48B0A199" w14:textId="77777777" w:rsidR="005466D7" w:rsidRPr="006C7D61" w:rsidRDefault="005466D7" w:rsidP="005466D7">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3B34520F" w14:textId="77777777" w:rsidR="005466D7" w:rsidRPr="006C7D61" w:rsidRDefault="005466D7" w:rsidP="005466D7">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613CE8D5" w14:textId="77777777" w:rsidR="005466D7" w:rsidRPr="006C7D61" w:rsidRDefault="005466D7" w:rsidP="005466D7">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8BD15FB" w14:textId="77777777" w:rsidR="005466D7" w:rsidRPr="006C7D61" w:rsidRDefault="005466D7" w:rsidP="005466D7">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09013FE3" w14:textId="77777777" w:rsidR="005466D7" w:rsidRPr="006C7D61" w:rsidRDefault="005466D7" w:rsidP="005466D7">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0FFCAB21" w14:textId="77777777" w:rsidR="005466D7" w:rsidRPr="006C7D61" w:rsidRDefault="005466D7" w:rsidP="005466D7">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6B3DC549" w14:textId="77777777" w:rsidR="005466D7" w:rsidRPr="006C7D61" w:rsidRDefault="005466D7" w:rsidP="005466D7">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3BC6797B" w14:textId="77777777" w:rsidR="005466D7" w:rsidRPr="006C7D61" w:rsidRDefault="005466D7" w:rsidP="005466D7">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482F362E" w14:textId="77777777" w:rsidR="005466D7" w:rsidRDefault="005466D7" w:rsidP="005466D7">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563E5C06" w14:textId="77777777" w:rsidR="005466D7" w:rsidRDefault="005466D7" w:rsidP="005466D7">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3A303EA7" w14:textId="2BC63B98" w:rsidR="00B86215" w:rsidRPr="006C7D61" w:rsidRDefault="00B86215" w:rsidP="00B86215">
      <w:pPr>
        <w:pStyle w:val="Default"/>
        <w:numPr>
          <w:ilvl w:val="0"/>
          <w:numId w:val="1"/>
        </w:numPr>
        <w:spacing w:after="49"/>
        <w:ind w:left="360" w:hanging="360"/>
        <w:jc w:val="both"/>
      </w:pPr>
      <w:r>
        <w:t>Techninės specifikacijos priedas yra MB „</w:t>
      </w:r>
      <w:proofErr w:type="spellStart"/>
      <w:r>
        <w:t>Baukas</w:t>
      </w:r>
      <w:proofErr w:type="spellEnd"/>
      <w:r>
        <w:t>“ parengtas „</w:t>
      </w:r>
      <w:r w:rsidRPr="00B6661A">
        <w:t>Žako</w:t>
      </w:r>
      <w:r>
        <w:t xml:space="preserve"> </w:t>
      </w:r>
      <w:proofErr w:type="spellStart"/>
      <w:r w:rsidRPr="00B6661A">
        <w:t>Lipšico</w:t>
      </w:r>
      <w:proofErr w:type="spellEnd"/>
      <w:r>
        <w:t xml:space="preserve"> </w:t>
      </w:r>
      <w:r w:rsidRPr="00B6661A">
        <w:t>memorialinio</w:t>
      </w:r>
      <w:r>
        <w:t xml:space="preserve"> </w:t>
      </w:r>
      <w:r w:rsidRPr="00B6661A">
        <w:t>muziejaus</w:t>
      </w:r>
      <w:r>
        <w:t xml:space="preserve"> </w:t>
      </w:r>
      <w:r w:rsidRPr="00B6661A">
        <w:t>adresu</w:t>
      </w:r>
      <w:r>
        <w:t xml:space="preserve"> </w:t>
      </w:r>
      <w:r w:rsidRPr="00B6661A">
        <w:t>Šv.</w:t>
      </w:r>
      <w:r>
        <w:t xml:space="preserve"> </w:t>
      </w:r>
      <w:r w:rsidRPr="00B6661A">
        <w:t>Jokūbo</w:t>
      </w:r>
      <w:r>
        <w:t xml:space="preserve"> </w:t>
      </w:r>
      <w:r w:rsidRPr="00B6661A">
        <w:t>g.17,</w:t>
      </w:r>
      <w:r>
        <w:t xml:space="preserve"> </w:t>
      </w:r>
      <w:r w:rsidRPr="00B6661A">
        <w:t>Druskininkai,</w:t>
      </w:r>
      <w:r>
        <w:t xml:space="preserve"> </w:t>
      </w:r>
      <w:r w:rsidRPr="00B6661A">
        <w:t>ekspozicijos</w:t>
      </w:r>
      <w:r>
        <w:t xml:space="preserve"> </w:t>
      </w:r>
      <w:r w:rsidRPr="00B6661A">
        <w:t>ir</w:t>
      </w:r>
      <w:r>
        <w:t xml:space="preserve"> </w:t>
      </w:r>
      <w:r w:rsidRPr="00B6661A">
        <w:t>susijusių</w:t>
      </w:r>
      <w:r>
        <w:t xml:space="preserve"> </w:t>
      </w:r>
      <w:r w:rsidRPr="00B6661A">
        <w:t>erdvių</w:t>
      </w:r>
      <w:r>
        <w:t xml:space="preserve"> </w:t>
      </w:r>
      <w:r w:rsidRPr="00B6661A">
        <w:t>projektas</w:t>
      </w:r>
      <w:r>
        <w:t xml:space="preserve">“ (Projekto Nr. </w:t>
      </w:r>
      <w:r w:rsidRPr="00B6661A">
        <w:t>23LP-00-EP</w:t>
      </w:r>
      <w:r>
        <w:t>).</w:t>
      </w:r>
    </w:p>
    <w:p w14:paraId="2A762B17" w14:textId="77777777" w:rsidR="005466D7" w:rsidRDefault="005466D7"/>
    <w:p w14:paraId="02CF05DC" w14:textId="77777777" w:rsidR="005466D7" w:rsidRDefault="005466D7"/>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34"/>
        <w:gridCol w:w="2126"/>
        <w:gridCol w:w="992"/>
        <w:gridCol w:w="1134"/>
        <w:gridCol w:w="4394"/>
      </w:tblGrid>
      <w:tr w:rsidR="00117890" w14:paraId="5C867B2D" w14:textId="77777777" w:rsidTr="00117890">
        <w:tc>
          <w:tcPr>
            <w:tcW w:w="534" w:type="dxa"/>
          </w:tcPr>
          <w:p w14:paraId="22603FB2"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Eil. Nr.</w:t>
            </w:r>
          </w:p>
        </w:tc>
        <w:tc>
          <w:tcPr>
            <w:tcW w:w="2126" w:type="dxa"/>
          </w:tcPr>
          <w:p w14:paraId="61784E8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Įrangos pavadinimas</w:t>
            </w:r>
          </w:p>
        </w:tc>
        <w:tc>
          <w:tcPr>
            <w:tcW w:w="992" w:type="dxa"/>
          </w:tcPr>
          <w:p w14:paraId="5F697A1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Mato vnt.</w:t>
            </w:r>
          </w:p>
        </w:tc>
        <w:tc>
          <w:tcPr>
            <w:tcW w:w="1134" w:type="dxa"/>
          </w:tcPr>
          <w:p w14:paraId="6C7DB785"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Nuorodos į projekto bylas / aprašymas /</w:t>
            </w:r>
          </w:p>
        </w:tc>
        <w:tc>
          <w:tcPr>
            <w:tcW w:w="4394" w:type="dxa"/>
          </w:tcPr>
          <w:p w14:paraId="2DF64A20" w14:textId="77777777" w:rsidR="00117890" w:rsidRPr="00117890" w:rsidRDefault="00117890" w:rsidP="00117890">
            <w:pPr>
              <w:rPr>
                <w:rFonts w:asciiTheme="majorBidi" w:hAnsiTheme="majorBidi" w:cstheme="majorBidi"/>
                <w:b/>
                <w:sz w:val="18"/>
                <w:szCs w:val="18"/>
              </w:rPr>
            </w:pPr>
            <w:r w:rsidRPr="00117890">
              <w:rPr>
                <w:rFonts w:asciiTheme="majorBidi" w:hAnsiTheme="majorBidi" w:cstheme="majorBidi"/>
                <w:b/>
                <w:sz w:val="18"/>
                <w:szCs w:val="18"/>
              </w:rPr>
              <w:t>Reikalaujama charakteristika</w:t>
            </w:r>
          </w:p>
        </w:tc>
      </w:tr>
      <w:tr w:rsidR="00F8236C" w14:paraId="2DCB23D1" w14:textId="77777777" w:rsidTr="006020FF">
        <w:tc>
          <w:tcPr>
            <w:tcW w:w="534" w:type="dxa"/>
          </w:tcPr>
          <w:p w14:paraId="2E30471D" w14:textId="77777777" w:rsidR="00F8236C" w:rsidRPr="00117890" w:rsidRDefault="00F8236C" w:rsidP="00F8236C">
            <w:pPr>
              <w:rPr>
                <w:rFonts w:asciiTheme="majorBidi" w:hAnsiTheme="majorBidi" w:cstheme="majorBidi"/>
              </w:rPr>
            </w:pPr>
            <w:r w:rsidRPr="00117890">
              <w:rPr>
                <w:rFonts w:asciiTheme="majorBidi" w:hAnsiTheme="majorBidi" w:cstheme="majorBidi"/>
              </w:rPr>
              <w:t>1.</w:t>
            </w:r>
          </w:p>
        </w:tc>
        <w:tc>
          <w:tcPr>
            <w:tcW w:w="2126" w:type="dxa"/>
            <w:vAlign w:val="center"/>
          </w:tcPr>
          <w:p w14:paraId="0D24EE3E" w14:textId="0DF54F56" w:rsidR="00F8236C" w:rsidRPr="00117890" w:rsidRDefault="00F8236C" w:rsidP="00F8236C">
            <w:pPr>
              <w:rPr>
                <w:rFonts w:asciiTheme="majorBidi" w:hAnsiTheme="majorBidi" w:cstheme="majorBidi"/>
              </w:rPr>
            </w:pPr>
            <w:r w:rsidRPr="00A70EF5">
              <w:rPr>
                <w:rFonts w:ascii="Times New Roman" w:hAnsi="Times New Roman"/>
                <w:sz w:val="24"/>
                <w:szCs w:val="24"/>
              </w:rPr>
              <w:t>Sulankstoma kėdė edukacinėje erdvėje (B1)</w:t>
            </w:r>
          </w:p>
        </w:tc>
        <w:tc>
          <w:tcPr>
            <w:tcW w:w="992" w:type="dxa"/>
            <w:vAlign w:val="center"/>
          </w:tcPr>
          <w:p w14:paraId="5CD477AB" w14:textId="18E91E48" w:rsidR="00F8236C" w:rsidRPr="00117890" w:rsidRDefault="00F8236C" w:rsidP="00F8236C">
            <w:pPr>
              <w:rPr>
                <w:rFonts w:asciiTheme="majorBidi" w:hAnsiTheme="majorBidi" w:cstheme="majorBidi"/>
              </w:rPr>
            </w:pPr>
            <w:r w:rsidRPr="00A70EF5">
              <w:rPr>
                <w:rFonts w:ascii="Times New Roman" w:hAnsi="Times New Roman"/>
              </w:rPr>
              <w:t>10 vnt.</w:t>
            </w:r>
          </w:p>
        </w:tc>
        <w:tc>
          <w:tcPr>
            <w:tcW w:w="1134" w:type="dxa"/>
          </w:tcPr>
          <w:p w14:paraId="5DFFCF55" w14:textId="77034A0C" w:rsidR="00F8236C" w:rsidRPr="00117890" w:rsidRDefault="00F8236C" w:rsidP="00F8236C">
            <w:pPr>
              <w:rPr>
                <w:rFonts w:asciiTheme="majorBidi" w:hAnsiTheme="majorBidi" w:cstheme="majorBidi"/>
              </w:rPr>
            </w:pPr>
          </w:p>
        </w:tc>
        <w:tc>
          <w:tcPr>
            <w:tcW w:w="4394" w:type="dxa"/>
            <w:vAlign w:val="center"/>
          </w:tcPr>
          <w:p w14:paraId="074D2DB6" w14:textId="77777777" w:rsidR="00F8236C" w:rsidRPr="00A70EF5" w:rsidRDefault="00F8236C" w:rsidP="00F8236C">
            <w:pPr>
              <w:rPr>
                <w:rFonts w:ascii="Times New Roman" w:hAnsi="Times New Roman"/>
              </w:rPr>
            </w:pPr>
            <w:r w:rsidRPr="00A70EF5">
              <w:rPr>
                <w:rFonts w:ascii="Times New Roman" w:hAnsi="Times New Roman"/>
              </w:rPr>
              <w:t xml:space="preserve">Medinio ir plieninio rėmo kėdė </w:t>
            </w:r>
            <w:proofErr w:type="spellStart"/>
            <w:r w:rsidRPr="00A70EF5">
              <w:rPr>
                <w:rFonts w:ascii="Times New Roman" w:hAnsi="Times New Roman"/>
              </w:rPr>
              <w:t>Connubia</w:t>
            </w:r>
            <w:proofErr w:type="spellEnd"/>
            <w:r w:rsidRPr="00A70EF5">
              <w:rPr>
                <w:rFonts w:ascii="Times New Roman" w:hAnsi="Times New Roman"/>
              </w:rPr>
              <w:t xml:space="preserve"> „SKIP“, arba lygiavertė. Kėdė turi būti </w:t>
            </w:r>
            <w:r w:rsidRPr="00A70EF5">
              <w:rPr>
                <w:rFonts w:ascii="Times New Roman" w:hAnsi="Times New Roman"/>
              </w:rPr>
              <w:lastRenderedPageBreak/>
              <w:t xml:space="preserve">sulankstoma, spalva – balta. </w:t>
            </w:r>
            <w:r w:rsidRPr="00A70EF5">
              <w:rPr>
                <w:rFonts w:ascii="Times New Roman" w:hAnsi="Times New Roman"/>
                <w:noProof/>
              </w:rPr>
              <w:drawing>
                <wp:inline distT="0" distB="0" distL="0" distR="0" wp14:anchorId="3202D0C9" wp14:editId="311086E9">
                  <wp:extent cx="1723306" cy="1828800"/>
                  <wp:effectExtent l="0" t="0" r="0" b="0"/>
                  <wp:docPr id="711735667" name="Paveikslėlis 1" descr="Paveikslėlis, kuriame yra eskizas, dizainas, trikoj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35667" name="Paveikslėlis 1" descr="Paveikslėlis, kuriame yra eskizas, dizainas, trikojis&#10;&#10;Automatiškai sugeneruotas aprašymas"/>
                          <pic:cNvPicPr/>
                        </pic:nvPicPr>
                        <pic:blipFill>
                          <a:blip r:embed="rId6"/>
                          <a:stretch>
                            <a:fillRect/>
                          </a:stretch>
                        </pic:blipFill>
                        <pic:spPr>
                          <a:xfrm>
                            <a:off x="0" y="0"/>
                            <a:ext cx="1729384" cy="1835250"/>
                          </a:xfrm>
                          <a:prstGeom prst="rect">
                            <a:avLst/>
                          </a:prstGeom>
                        </pic:spPr>
                      </pic:pic>
                    </a:graphicData>
                  </a:graphic>
                </wp:inline>
              </w:drawing>
            </w:r>
          </w:p>
          <w:p w14:paraId="06CE276D" w14:textId="36DF5D15" w:rsidR="00F8236C" w:rsidRPr="00117890" w:rsidRDefault="00F8236C" w:rsidP="00F8236C">
            <w:pPr>
              <w:rPr>
                <w:rFonts w:asciiTheme="majorBidi" w:hAnsiTheme="majorBidi" w:cstheme="majorBidi"/>
              </w:rPr>
            </w:pPr>
            <w:r w:rsidRPr="00A70EF5">
              <w:rPr>
                <w:rFonts w:ascii="Times New Roman" w:hAnsi="Times New Roman"/>
              </w:rPr>
              <w:t>Matmenys pateikiami schemoje.</w:t>
            </w:r>
          </w:p>
        </w:tc>
      </w:tr>
      <w:tr w:rsidR="00F8236C" w14:paraId="22FC3785" w14:textId="77777777" w:rsidTr="00015AE2">
        <w:tc>
          <w:tcPr>
            <w:tcW w:w="534" w:type="dxa"/>
          </w:tcPr>
          <w:p w14:paraId="6529CAA3" w14:textId="77777777" w:rsidR="00F8236C" w:rsidRPr="00117890" w:rsidRDefault="00F8236C" w:rsidP="00F8236C">
            <w:pPr>
              <w:rPr>
                <w:rFonts w:asciiTheme="majorBidi" w:hAnsiTheme="majorBidi" w:cstheme="majorBidi"/>
              </w:rPr>
            </w:pPr>
            <w:r w:rsidRPr="00117890">
              <w:rPr>
                <w:rFonts w:asciiTheme="majorBidi" w:hAnsiTheme="majorBidi" w:cstheme="majorBidi"/>
              </w:rPr>
              <w:lastRenderedPageBreak/>
              <w:t>2.</w:t>
            </w:r>
          </w:p>
        </w:tc>
        <w:tc>
          <w:tcPr>
            <w:tcW w:w="2126" w:type="dxa"/>
          </w:tcPr>
          <w:p w14:paraId="0F4FB485" w14:textId="4F8267FD" w:rsidR="00F8236C" w:rsidRPr="00117890" w:rsidRDefault="00F8236C" w:rsidP="00F8236C">
            <w:pPr>
              <w:rPr>
                <w:rFonts w:asciiTheme="majorBidi" w:hAnsiTheme="majorBidi" w:cstheme="majorBidi"/>
              </w:rPr>
            </w:pPr>
            <w:r w:rsidRPr="00140DED">
              <w:rPr>
                <w:rFonts w:ascii="Times New Roman" w:eastAsia="Times New Roman" w:hAnsi="Times New Roman"/>
                <w:sz w:val="24"/>
                <w:szCs w:val="24"/>
                <w:lang w:eastAsia="lt-LT"/>
              </w:rPr>
              <w:t>Kėdė kompiuterinė darbuotojams</w:t>
            </w:r>
            <w:r>
              <w:rPr>
                <w:rFonts w:ascii="Times New Roman" w:eastAsia="Times New Roman" w:hAnsi="Times New Roman"/>
                <w:sz w:val="24"/>
                <w:szCs w:val="24"/>
                <w:lang w:eastAsia="lt-LT"/>
              </w:rPr>
              <w:t xml:space="preserve"> (B16)</w:t>
            </w:r>
          </w:p>
        </w:tc>
        <w:tc>
          <w:tcPr>
            <w:tcW w:w="992" w:type="dxa"/>
          </w:tcPr>
          <w:p w14:paraId="7FCD1BF8" w14:textId="27B477A9" w:rsidR="00F8236C" w:rsidRPr="00117890" w:rsidRDefault="00F8236C" w:rsidP="00F8236C">
            <w:pPr>
              <w:rPr>
                <w:rFonts w:asciiTheme="majorBidi" w:hAnsiTheme="majorBidi" w:cstheme="majorBidi"/>
              </w:rPr>
            </w:pPr>
            <w:r>
              <w:rPr>
                <w:rFonts w:asciiTheme="majorBidi" w:hAnsiTheme="majorBidi" w:cstheme="majorBidi"/>
              </w:rPr>
              <w:t>3 vnt.</w:t>
            </w:r>
          </w:p>
        </w:tc>
        <w:tc>
          <w:tcPr>
            <w:tcW w:w="1134" w:type="dxa"/>
          </w:tcPr>
          <w:p w14:paraId="7AB6E822" w14:textId="7F33885D" w:rsidR="00F8236C" w:rsidRPr="00117890" w:rsidRDefault="00F8236C" w:rsidP="00F8236C">
            <w:pPr>
              <w:rPr>
                <w:rFonts w:asciiTheme="majorBidi" w:hAnsiTheme="majorBidi" w:cstheme="majorBidi"/>
              </w:rPr>
            </w:pPr>
          </w:p>
        </w:tc>
        <w:tc>
          <w:tcPr>
            <w:tcW w:w="4394" w:type="dxa"/>
          </w:tcPr>
          <w:p w14:paraId="49BE7117" w14:textId="77777777" w:rsidR="00F8236C" w:rsidRPr="005129BB" w:rsidRDefault="00F8236C" w:rsidP="00F8236C">
            <w:pPr>
              <w:rPr>
                <w:lang w:val="en-GB"/>
              </w:rPr>
            </w:pPr>
            <w:r w:rsidRPr="00C04B14">
              <w:t xml:space="preserve">Bazė sukiojama, dažyto plieno su ratukais. </w:t>
            </w:r>
            <w:r w:rsidRPr="00E46E00">
              <w:t xml:space="preserve">Sėdynės aukštis reguliuojamas. Aptraukta antros kategorijos, austiniu arba veltinio gobelenu. </w:t>
            </w:r>
            <w:proofErr w:type="spellStart"/>
            <w:r>
              <w:rPr>
                <w:lang w:val="en-GB"/>
              </w:rPr>
              <w:t>G</w:t>
            </w:r>
            <w:r w:rsidRPr="005129BB">
              <w:rPr>
                <w:lang w:val="en-GB"/>
              </w:rPr>
              <w:t>obeleno</w:t>
            </w:r>
            <w:proofErr w:type="spellEnd"/>
            <w:r w:rsidRPr="005129BB">
              <w:rPr>
                <w:lang w:val="en-GB"/>
              </w:rPr>
              <w:t xml:space="preserve"> </w:t>
            </w:r>
            <w:proofErr w:type="spellStart"/>
            <w:r w:rsidRPr="005129BB">
              <w:rPr>
                <w:lang w:val="en-GB"/>
              </w:rPr>
              <w:t>spalva</w:t>
            </w:r>
            <w:proofErr w:type="spellEnd"/>
            <w:r w:rsidRPr="005129BB">
              <w:rPr>
                <w:lang w:val="en-GB"/>
              </w:rPr>
              <w:t xml:space="preserve"> </w:t>
            </w:r>
            <w:proofErr w:type="spellStart"/>
            <w:r w:rsidRPr="005129BB">
              <w:rPr>
                <w:lang w:val="en-GB"/>
              </w:rPr>
              <w:t>tikslinama</w:t>
            </w:r>
            <w:proofErr w:type="spellEnd"/>
            <w:r w:rsidRPr="005129BB">
              <w:rPr>
                <w:lang w:val="en-GB"/>
              </w:rPr>
              <w:t xml:space="preserve"> </w:t>
            </w:r>
            <w:proofErr w:type="spellStart"/>
            <w:r w:rsidRPr="005129BB">
              <w:rPr>
                <w:lang w:val="en-GB"/>
              </w:rPr>
              <w:t>pagal</w:t>
            </w:r>
            <w:proofErr w:type="spellEnd"/>
            <w:r w:rsidRPr="005129BB">
              <w:rPr>
                <w:lang w:val="en-GB"/>
              </w:rPr>
              <w:t xml:space="preserve"> </w:t>
            </w:r>
            <w:proofErr w:type="spellStart"/>
            <w:r w:rsidRPr="005129BB">
              <w:rPr>
                <w:lang w:val="en-GB"/>
              </w:rPr>
              <w:t>konkretaus</w:t>
            </w:r>
            <w:proofErr w:type="spellEnd"/>
            <w:r w:rsidRPr="005129BB">
              <w:rPr>
                <w:lang w:val="en-GB"/>
              </w:rPr>
              <w:t xml:space="preserve"> </w:t>
            </w:r>
            <w:proofErr w:type="spellStart"/>
            <w:r w:rsidRPr="005129BB">
              <w:rPr>
                <w:lang w:val="en-GB"/>
              </w:rPr>
              <w:t>gamintojo</w:t>
            </w:r>
            <w:proofErr w:type="spellEnd"/>
            <w:r w:rsidRPr="005129BB">
              <w:rPr>
                <w:lang w:val="en-GB"/>
              </w:rPr>
              <w:t xml:space="preserve"> </w:t>
            </w:r>
            <w:proofErr w:type="spellStart"/>
            <w:r w:rsidRPr="005129BB">
              <w:rPr>
                <w:lang w:val="en-GB"/>
              </w:rPr>
              <w:t>paletę</w:t>
            </w:r>
            <w:proofErr w:type="spellEnd"/>
            <w:r w:rsidRPr="005129BB">
              <w:rPr>
                <w:lang w:val="en-GB"/>
              </w:rPr>
              <w:t>.</w:t>
            </w:r>
          </w:p>
          <w:p w14:paraId="2A0557D9" w14:textId="77777777" w:rsidR="00F8236C" w:rsidRDefault="00F8236C" w:rsidP="00F8236C">
            <w:pPr>
              <w:rPr>
                <w:lang w:val="en-GB"/>
              </w:rPr>
            </w:pPr>
            <w:r w:rsidRPr="00C04B14">
              <w:rPr>
                <w:noProof/>
                <w:lang w:val="en-GB"/>
              </w:rPr>
              <w:drawing>
                <wp:inline distT="0" distB="0" distL="0" distR="0" wp14:anchorId="0C3C0D1A" wp14:editId="76CF65ED">
                  <wp:extent cx="1600200"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089660"/>
                          </a:xfrm>
                          <a:prstGeom prst="rect">
                            <a:avLst/>
                          </a:prstGeom>
                          <a:noFill/>
                          <a:ln>
                            <a:noFill/>
                          </a:ln>
                        </pic:spPr>
                      </pic:pic>
                    </a:graphicData>
                  </a:graphic>
                </wp:inline>
              </w:drawing>
            </w:r>
          </w:p>
          <w:p w14:paraId="2A07E72A" w14:textId="77777777" w:rsidR="00F8236C" w:rsidRDefault="00F8236C" w:rsidP="00F8236C">
            <w:pPr>
              <w:rPr>
                <w:lang w:val="en-GB"/>
              </w:rPr>
            </w:pPr>
          </w:p>
          <w:p w14:paraId="4D6B2877" w14:textId="77777777" w:rsidR="00F8236C" w:rsidRPr="00117890" w:rsidRDefault="00F8236C" w:rsidP="00F8236C">
            <w:pPr>
              <w:rPr>
                <w:rFonts w:asciiTheme="majorBidi" w:hAnsiTheme="majorBidi" w:cstheme="majorBidi"/>
              </w:rPr>
            </w:pPr>
          </w:p>
        </w:tc>
      </w:tr>
    </w:tbl>
    <w:p w14:paraId="51A078CE" w14:textId="77777777" w:rsidR="00117890" w:rsidRDefault="00117890"/>
    <w:sectPr w:rsidR="00117890"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117890"/>
    <w:rsid w:val="00132DB8"/>
    <w:rsid w:val="001E0D21"/>
    <w:rsid w:val="002757FB"/>
    <w:rsid w:val="00277C40"/>
    <w:rsid w:val="005466D7"/>
    <w:rsid w:val="005D253E"/>
    <w:rsid w:val="005E1927"/>
    <w:rsid w:val="00634E1E"/>
    <w:rsid w:val="008C3AE9"/>
    <w:rsid w:val="009C4613"/>
    <w:rsid w:val="00AB2FDB"/>
    <w:rsid w:val="00B86215"/>
    <w:rsid w:val="00F8236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customXml/itemProps2.xml><?xml version="1.0" encoding="utf-8"?>
<ds:datastoreItem xmlns:ds="http://schemas.openxmlformats.org/officeDocument/2006/customXml" ds:itemID="{B0993CB0-9DB4-49D4-BF14-EC5E42A55329}"/>
</file>

<file path=customXml/itemProps3.xml><?xml version="1.0" encoding="utf-8"?>
<ds:datastoreItem xmlns:ds="http://schemas.openxmlformats.org/officeDocument/2006/customXml" ds:itemID="{714EBAF4-26A9-4156-9267-638461D0CFFF}"/>
</file>

<file path=customXml/itemProps4.xml><?xml version="1.0" encoding="utf-8"?>
<ds:datastoreItem xmlns:ds="http://schemas.openxmlformats.org/officeDocument/2006/customXml" ds:itemID="{89075FC5-4FDE-4D8A-B39D-C05BEFE71AE2}"/>
</file>

<file path=docProps/app.xml><?xml version="1.0" encoding="utf-8"?>
<Properties xmlns="http://schemas.openxmlformats.org/officeDocument/2006/extended-properties" xmlns:vt="http://schemas.openxmlformats.org/officeDocument/2006/docPropsVTypes">
  <Template>Normal</Template>
  <TotalTime>0</TotalTime>
  <Pages>3</Pages>
  <Words>2741</Words>
  <Characters>1563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2025-04-10T15:27:00Z</dcterms:created>
  <dcterms:modified xsi:type="dcterms:W3CDTF">2025-04-10T15:27:00Z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