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32D" w14:textId="77777777" w:rsidR="00117890" w:rsidRDefault="00117890" w:rsidP="00117890">
      <w:pPr>
        <w:jc w:val="center"/>
        <w:rPr>
          <w:rFonts w:ascii="Times New Roman" w:eastAsia="SimSun" w:hAnsi="Times New Roman"/>
          <w:b/>
          <w:color w:val="000000"/>
          <w:sz w:val="24"/>
          <w:szCs w:val="24"/>
          <w:lang w:eastAsia="zh-CN"/>
        </w:rPr>
      </w:pPr>
      <w:r w:rsidRPr="00140DED">
        <w:rPr>
          <w:rFonts w:ascii="Times New Roman" w:hAnsi="Times New Roman"/>
          <w:b/>
          <w:bCs/>
          <w:sz w:val="24"/>
          <w:szCs w:val="24"/>
        </w:rPr>
        <w:t>ŽAKO LIPŠICO MEMORIALINIO MUZIEJAUS</w:t>
      </w:r>
      <w:r w:rsidRPr="00140DED">
        <w:rPr>
          <w:rFonts w:ascii="Times New Roman" w:hAnsi="Times New Roman"/>
          <w:sz w:val="24"/>
          <w:szCs w:val="24"/>
        </w:rPr>
        <w:t xml:space="preserve"> </w:t>
      </w:r>
      <w:r w:rsidRPr="00140DED">
        <w:rPr>
          <w:rFonts w:ascii="Times New Roman" w:eastAsia="SimSun" w:hAnsi="Times New Roman"/>
          <w:b/>
          <w:color w:val="000000"/>
          <w:sz w:val="24"/>
          <w:szCs w:val="24"/>
          <w:lang w:eastAsia="zh-CN"/>
        </w:rPr>
        <w:t>DRUSKININKUOSE, ŠV. JOKŪBO G. 17</w:t>
      </w:r>
    </w:p>
    <w:p w14:paraId="220D258C" w14:textId="77777777" w:rsidR="001E0D21" w:rsidRDefault="001E0D21" w:rsidP="00117890">
      <w:pPr>
        <w:jc w:val="center"/>
        <w:rPr>
          <w:rFonts w:ascii="Times New Roman" w:eastAsia="SimSun" w:hAnsi="Times New Roman"/>
          <w:b/>
          <w:color w:val="000000"/>
          <w:sz w:val="24"/>
          <w:szCs w:val="24"/>
          <w:lang w:eastAsia="zh-CN"/>
        </w:rPr>
      </w:pPr>
    </w:p>
    <w:p w14:paraId="053C9058" w14:textId="7CAAC57A" w:rsidR="001E0D21" w:rsidRDefault="00376237" w:rsidP="00117890">
      <w:pPr>
        <w:jc w:val="center"/>
        <w:rPr>
          <w:rFonts w:ascii="Times New Roman" w:eastAsia="Times New Roman" w:hAnsi="Times New Roman"/>
          <w:b/>
          <w:bCs/>
          <w:iCs/>
          <w:color w:val="000000"/>
          <w:sz w:val="24"/>
          <w:szCs w:val="24"/>
        </w:rPr>
      </w:pPr>
      <w:r>
        <w:rPr>
          <w:rFonts w:ascii="Times New Roman" w:eastAsia="SimSun" w:hAnsi="Times New Roman"/>
          <w:b/>
          <w:color w:val="000000"/>
          <w:sz w:val="24"/>
          <w:szCs w:val="24"/>
          <w:lang w:eastAsia="zh-CN"/>
        </w:rPr>
        <w:t>MINKŠTŲJŲ BALDŲ</w:t>
      </w:r>
      <w:r w:rsidR="00493013">
        <w:rPr>
          <w:rFonts w:ascii="Times New Roman" w:eastAsia="SimSun" w:hAnsi="Times New Roman"/>
          <w:b/>
          <w:color w:val="000000"/>
          <w:sz w:val="24"/>
          <w:szCs w:val="24"/>
          <w:lang w:eastAsia="zh-CN"/>
        </w:rPr>
        <w:t xml:space="preserve"> TECHNINĖ</w:t>
      </w:r>
      <w:r w:rsidR="00F8236C">
        <w:rPr>
          <w:rFonts w:ascii="Times New Roman" w:eastAsia="SimSun" w:hAnsi="Times New Roman"/>
          <w:b/>
          <w:color w:val="000000"/>
          <w:sz w:val="24"/>
          <w:szCs w:val="24"/>
          <w:lang w:eastAsia="zh-CN"/>
        </w:rPr>
        <w:t xml:space="preserve"> </w:t>
      </w:r>
      <w:r w:rsidR="009C4613">
        <w:rPr>
          <w:rFonts w:ascii="Times New Roman" w:eastAsia="SimSun" w:hAnsi="Times New Roman"/>
          <w:b/>
          <w:color w:val="000000"/>
          <w:sz w:val="24"/>
          <w:szCs w:val="24"/>
          <w:lang w:eastAsia="zh-CN"/>
        </w:rPr>
        <w:t>SPECIFIKACIJA</w:t>
      </w:r>
    </w:p>
    <w:p w14:paraId="31135293" w14:textId="77777777" w:rsidR="00132DB8" w:rsidRDefault="00132DB8"/>
    <w:p w14:paraId="7D8B0F2F" w14:textId="77777777" w:rsidR="005466D7" w:rsidRPr="006C7D61" w:rsidRDefault="005466D7" w:rsidP="005466D7">
      <w:pPr>
        <w:pStyle w:val="Default"/>
      </w:pPr>
      <w:r w:rsidRPr="006C7D61">
        <w:rPr>
          <w:b/>
          <w:bCs/>
        </w:rPr>
        <w:t xml:space="preserve">Bendrieji reikalavimai </w:t>
      </w:r>
    </w:p>
    <w:p w14:paraId="5AD284B8" w14:textId="77777777" w:rsidR="005466D7" w:rsidRPr="006C7D61" w:rsidRDefault="005466D7" w:rsidP="005466D7">
      <w:pPr>
        <w:pStyle w:val="Default"/>
        <w:numPr>
          <w:ilvl w:val="0"/>
          <w:numId w:val="1"/>
        </w:numPr>
        <w:spacing w:after="49"/>
        <w:ind w:left="360" w:hanging="360"/>
        <w:jc w:val="both"/>
      </w:pPr>
      <w:r w:rsidRPr="006C7D61">
        <w:t xml:space="preserve">Visai tiekėjo įrengtai ekspozicijos įrangai turi būti suteikiama 24 mėnesių garantija. </w:t>
      </w:r>
    </w:p>
    <w:p w14:paraId="593A706B" w14:textId="77777777" w:rsidR="005466D7" w:rsidRPr="006C7D61" w:rsidRDefault="005466D7" w:rsidP="005466D7">
      <w:pPr>
        <w:pStyle w:val="Default"/>
        <w:numPr>
          <w:ilvl w:val="0"/>
          <w:numId w:val="1"/>
        </w:numPr>
        <w:spacing w:after="49"/>
        <w:ind w:left="360" w:hanging="360"/>
        <w:jc w:val="both"/>
      </w:pPr>
      <w:r w:rsidRPr="006C7D61">
        <w:t xml:space="preserve">Rangovas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 </w:t>
      </w:r>
    </w:p>
    <w:p w14:paraId="31F79017" w14:textId="77777777" w:rsidR="005466D7" w:rsidRPr="006C7D61" w:rsidRDefault="005466D7" w:rsidP="005466D7">
      <w:pPr>
        <w:pStyle w:val="Default"/>
        <w:numPr>
          <w:ilvl w:val="0"/>
          <w:numId w:val="1"/>
        </w:numPr>
        <w:spacing w:after="49"/>
        <w:ind w:left="360" w:hanging="360"/>
        <w:jc w:val="both"/>
      </w:pPr>
      <w:r w:rsidRPr="006C7D61">
        <w:t xml:space="preserve">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 </w:t>
      </w:r>
    </w:p>
    <w:p w14:paraId="015F8652" w14:textId="77777777" w:rsidR="005466D7" w:rsidRPr="006C7D61" w:rsidRDefault="005466D7" w:rsidP="005466D7">
      <w:pPr>
        <w:pStyle w:val="Default"/>
        <w:numPr>
          <w:ilvl w:val="0"/>
          <w:numId w:val="1"/>
        </w:numPr>
        <w:spacing w:after="49"/>
        <w:ind w:left="360" w:hanging="360"/>
        <w:jc w:val="both"/>
      </w:pPr>
      <w:r w:rsidRPr="006C7D61">
        <w:t xml:space="preserve">Rangovas sudaro ekspozicijos įrengimo vykdymo grafiką ir suderina jį su Užsakovu prieš pradėdamas įrengimo darbus. Ekspozicijos įrengimo metu Rangovas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 </w:t>
      </w:r>
    </w:p>
    <w:p w14:paraId="48B0A199" w14:textId="77777777" w:rsidR="005466D7" w:rsidRPr="006C7D61" w:rsidRDefault="005466D7" w:rsidP="005466D7">
      <w:pPr>
        <w:pStyle w:val="Default"/>
        <w:numPr>
          <w:ilvl w:val="0"/>
          <w:numId w:val="1"/>
        </w:numPr>
        <w:spacing w:after="49"/>
        <w:ind w:left="360" w:hanging="360"/>
        <w:jc w:val="both"/>
      </w:pPr>
      <w:r w:rsidRPr="006C7D61">
        <w:t xml:space="preserve">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Rangovas privalo raštiškai informuoti Užsakovą, dar nepradėjęs tokių pakeitimų. Prieš kreipiantis į Užsakovą dėl keitimų, jie turi būti suderinti su projekto priežiūrą vykdysiančiu paslaugų teikėju. </w:t>
      </w:r>
    </w:p>
    <w:p w14:paraId="3B34520F" w14:textId="77777777" w:rsidR="005466D7" w:rsidRPr="006C7D61" w:rsidRDefault="005466D7" w:rsidP="005466D7">
      <w:pPr>
        <w:pStyle w:val="Default"/>
        <w:numPr>
          <w:ilvl w:val="0"/>
          <w:numId w:val="1"/>
        </w:numPr>
        <w:ind w:left="360" w:hanging="360"/>
        <w:jc w:val="both"/>
      </w:pPr>
      <w:r w:rsidRPr="006C7D61">
        <w:t xml:space="preserve">Baigus montuoti mechanines, elektrines ar kitas sistemas ir įrangą, Rangovas turi jas išbandyti dalyvaujant Užsakovui. Visas bandymams ir apžiūrai reikalingas priemones suteikia Rangovas. </w:t>
      </w:r>
    </w:p>
    <w:p w14:paraId="613CE8D5" w14:textId="77777777" w:rsidR="005466D7" w:rsidRPr="006C7D61" w:rsidRDefault="005466D7" w:rsidP="005466D7">
      <w:pPr>
        <w:pStyle w:val="Default"/>
        <w:numPr>
          <w:ilvl w:val="0"/>
          <w:numId w:val="1"/>
        </w:numPr>
        <w:spacing w:after="49"/>
        <w:ind w:left="360" w:hanging="360"/>
        <w:jc w:val="both"/>
      </w:pPr>
      <w:r w:rsidRPr="006C7D61">
        <w:t xml:space="preserve">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 </w:t>
      </w:r>
    </w:p>
    <w:p w14:paraId="78BD15FB" w14:textId="77777777" w:rsidR="005466D7" w:rsidRPr="006C7D61" w:rsidRDefault="005466D7" w:rsidP="005466D7">
      <w:pPr>
        <w:pStyle w:val="Default"/>
        <w:numPr>
          <w:ilvl w:val="0"/>
          <w:numId w:val="1"/>
        </w:numPr>
        <w:spacing w:after="49"/>
        <w:ind w:left="360" w:hanging="360"/>
        <w:jc w:val="both"/>
      </w:pPr>
      <w:r w:rsidRPr="006C7D61">
        <w:lastRenderedPageBreak/>
        <w:t xml:space="preserve">Už konstrukcijų, gaminių, medžiagų ir įrengimų nuostolius ar apgadinimus pilnai atsako Rangovas. </w:t>
      </w:r>
    </w:p>
    <w:p w14:paraId="09013FE3" w14:textId="77777777" w:rsidR="005466D7" w:rsidRPr="006C7D61" w:rsidRDefault="005466D7" w:rsidP="005466D7">
      <w:pPr>
        <w:pStyle w:val="Default"/>
        <w:numPr>
          <w:ilvl w:val="0"/>
          <w:numId w:val="1"/>
        </w:numPr>
        <w:spacing w:after="49"/>
        <w:ind w:left="360" w:hanging="360"/>
        <w:jc w:val="both"/>
      </w:pPr>
      <w:r w:rsidRPr="006C7D61">
        <w:t xml:space="preserve">Rangovas baigęs ekspozicijos įrengimo darbus privalo apmokyti Užsakovo paskirtus atsakingus už įrangos naudojimą darbuotojus dirbti su naujai įrengtos ekspozicijos infrastruktūra, įrenginiais. </w:t>
      </w:r>
    </w:p>
    <w:p w14:paraId="0FFCAB21" w14:textId="77777777" w:rsidR="005466D7" w:rsidRPr="006C7D61" w:rsidRDefault="005466D7" w:rsidP="005466D7">
      <w:pPr>
        <w:pStyle w:val="Default"/>
        <w:numPr>
          <w:ilvl w:val="0"/>
          <w:numId w:val="1"/>
        </w:numPr>
        <w:spacing w:after="49"/>
        <w:ind w:left="360" w:hanging="360"/>
        <w:jc w:val="both"/>
      </w:pPr>
      <w:r w:rsidRPr="006C7D61">
        <w:t xml:space="preserve">Rangovas turi įvertinti visą ekspozicijos technologinės įrangos / įrenginių visumą, sąveika tarp jų ir integravimą į baldines struktūras. </w:t>
      </w:r>
    </w:p>
    <w:p w14:paraId="6B3DC549" w14:textId="77777777" w:rsidR="005466D7" w:rsidRPr="006C7D61" w:rsidRDefault="005466D7" w:rsidP="005466D7">
      <w:pPr>
        <w:pStyle w:val="Default"/>
        <w:numPr>
          <w:ilvl w:val="0"/>
          <w:numId w:val="1"/>
        </w:numPr>
        <w:spacing w:after="49"/>
        <w:ind w:left="360" w:hanging="360"/>
        <w:jc w:val="both"/>
      </w:pPr>
      <w:r w:rsidRPr="006C7D61">
        <w:t xml:space="preserve">Rangovas turi atsižvelgti į visas projekto autorių nurodytas pastabas, kurios yra projekto bylose ir aiškinamuose raštuose ir jas vykdyti. </w:t>
      </w:r>
    </w:p>
    <w:p w14:paraId="3BC6797B" w14:textId="77777777" w:rsidR="005466D7" w:rsidRPr="006C7D61" w:rsidRDefault="005466D7" w:rsidP="005466D7">
      <w:pPr>
        <w:pStyle w:val="Default"/>
        <w:numPr>
          <w:ilvl w:val="0"/>
          <w:numId w:val="1"/>
        </w:numPr>
        <w:spacing w:after="49"/>
        <w:ind w:left="360" w:hanging="360"/>
        <w:jc w:val="both"/>
      </w:pPr>
      <w:r w:rsidRPr="006C7D61">
        <w:t xml:space="preserve">Rangovas prieš pradėdamas įrengimo darbus turi susipažinti su visu ekspozicijos projektu ir kilus neaiškumams, prašyti paaiškinimų ar informacijos papildymo. </w:t>
      </w:r>
    </w:p>
    <w:p w14:paraId="482F362E" w14:textId="77777777" w:rsidR="005466D7" w:rsidRDefault="005466D7" w:rsidP="005466D7">
      <w:pPr>
        <w:pStyle w:val="Default"/>
        <w:numPr>
          <w:ilvl w:val="0"/>
          <w:numId w:val="1"/>
        </w:numPr>
        <w:spacing w:after="49"/>
        <w:ind w:left="360" w:hanging="360"/>
        <w:jc w:val="both"/>
      </w:pPr>
      <w:r w:rsidRPr="006C7D61">
        <w:t xml:space="preserve">Rangovas rengia ekspozicijos projekto darbo brėžinius: baldų gamybos, technologinės įrangos integravimo į baldines sistemas, integravimo į esamą patalpų interjerą, konstrukcijas ir t.t. Darbo brėžinius būtina suderinti su ekspozicijos projekto autoriais. </w:t>
      </w:r>
    </w:p>
    <w:p w14:paraId="563E5C06" w14:textId="77777777" w:rsidR="005466D7" w:rsidRPr="006C7D61" w:rsidRDefault="005466D7" w:rsidP="005466D7">
      <w:pPr>
        <w:pStyle w:val="Default"/>
        <w:numPr>
          <w:ilvl w:val="0"/>
          <w:numId w:val="1"/>
        </w:numPr>
        <w:spacing w:after="49"/>
        <w:ind w:left="360" w:hanging="360"/>
        <w:jc w:val="both"/>
      </w:pPr>
      <w:r>
        <w:t xml:space="preserve"> </w:t>
      </w:r>
      <w:r w:rsidRPr="006C7D61">
        <w:t>Paslaugų teikėjas privalo vadovautis visa projekto technine dokumentacija, teisės aktais, taip pat jų naujausiais pakeitimais ir papildymais. Paslaugų teikėjui privalomi ir visi sutarties vykdymo metu naujai priimti teisės aktai, jeigu jie susiję su šio projekto įgyvendinimu.</w:t>
      </w:r>
    </w:p>
    <w:p w14:paraId="3E66C930" w14:textId="77777777" w:rsidR="00493013" w:rsidRPr="006C7D61" w:rsidRDefault="00493013" w:rsidP="00493013">
      <w:pPr>
        <w:pStyle w:val="Default"/>
        <w:numPr>
          <w:ilvl w:val="0"/>
          <w:numId w:val="1"/>
        </w:numPr>
        <w:spacing w:after="49"/>
        <w:ind w:left="360" w:hanging="360"/>
        <w:jc w:val="both"/>
      </w:pPr>
      <w:r>
        <w:t>Techninės specifikacijos priedas yra MB „</w:t>
      </w:r>
      <w:proofErr w:type="spellStart"/>
      <w:r>
        <w:t>Baukas</w:t>
      </w:r>
      <w:proofErr w:type="spellEnd"/>
      <w:r>
        <w:t>“ parengtas „</w:t>
      </w:r>
      <w:r w:rsidRPr="00B6661A">
        <w:t>Žako</w:t>
      </w:r>
      <w:r>
        <w:t xml:space="preserve"> </w:t>
      </w:r>
      <w:proofErr w:type="spellStart"/>
      <w:r w:rsidRPr="00B6661A">
        <w:t>Lipšico</w:t>
      </w:r>
      <w:proofErr w:type="spellEnd"/>
      <w:r>
        <w:t xml:space="preserve"> </w:t>
      </w:r>
      <w:r w:rsidRPr="00B6661A">
        <w:t>memorialinio</w:t>
      </w:r>
      <w:r>
        <w:t xml:space="preserve"> </w:t>
      </w:r>
      <w:r w:rsidRPr="00B6661A">
        <w:t>muziejaus</w:t>
      </w:r>
      <w:r>
        <w:t xml:space="preserve"> </w:t>
      </w:r>
      <w:r w:rsidRPr="00B6661A">
        <w:t>adresu</w:t>
      </w:r>
      <w:r>
        <w:t xml:space="preserve"> </w:t>
      </w:r>
      <w:r w:rsidRPr="00B6661A">
        <w:t>Šv.</w:t>
      </w:r>
      <w:r>
        <w:t xml:space="preserve"> </w:t>
      </w:r>
      <w:r w:rsidRPr="00B6661A">
        <w:t>Jokūbo</w:t>
      </w:r>
      <w:r>
        <w:t xml:space="preserve"> </w:t>
      </w:r>
      <w:r w:rsidRPr="00B6661A">
        <w:t>g.17,</w:t>
      </w:r>
      <w:r>
        <w:t xml:space="preserve"> </w:t>
      </w:r>
      <w:r w:rsidRPr="00B6661A">
        <w:t>Druskininkai,</w:t>
      </w:r>
      <w:r>
        <w:t xml:space="preserve"> </w:t>
      </w:r>
      <w:r w:rsidRPr="00B6661A">
        <w:t>ekspozicijos</w:t>
      </w:r>
      <w:r>
        <w:t xml:space="preserve"> </w:t>
      </w:r>
      <w:r w:rsidRPr="00B6661A">
        <w:t>ir</w:t>
      </w:r>
      <w:r>
        <w:t xml:space="preserve"> </w:t>
      </w:r>
      <w:r w:rsidRPr="00B6661A">
        <w:t>susijusių</w:t>
      </w:r>
      <w:r>
        <w:t xml:space="preserve"> </w:t>
      </w:r>
      <w:r w:rsidRPr="00B6661A">
        <w:t>erdvių</w:t>
      </w:r>
      <w:r>
        <w:t xml:space="preserve"> </w:t>
      </w:r>
      <w:r w:rsidRPr="00B6661A">
        <w:t>projektas</w:t>
      </w:r>
      <w:r>
        <w:t xml:space="preserve">“ (Projekto Nr. </w:t>
      </w:r>
      <w:r w:rsidRPr="00B6661A">
        <w:t>23LP-00-EP</w:t>
      </w:r>
      <w:r>
        <w:t>).</w:t>
      </w:r>
    </w:p>
    <w:p w14:paraId="2A762B17" w14:textId="77777777" w:rsidR="005466D7" w:rsidRDefault="005466D7"/>
    <w:p w14:paraId="02CF05DC" w14:textId="77777777" w:rsidR="005466D7" w:rsidRDefault="005466D7"/>
    <w:tbl>
      <w:tblPr>
        <w:tblStyle w:val="Lentelstinklelis"/>
        <w:tblpPr w:leftFromText="180" w:rightFromText="180" w:vertAnchor="text" w:horzAnchor="margin" w:tblpXSpec="center" w:tblpY="70"/>
        <w:tblW w:w="9180" w:type="dxa"/>
        <w:tblLook w:val="04A0" w:firstRow="1" w:lastRow="0" w:firstColumn="1" w:lastColumn="0" w:noHBand="0" w:noVBand="1"/>
      </w:tblPr>
      <w:tblGrid>
        <w:gridCol w:w="534"/>
        <w:gridCol w:w="2126"/>
        <w:gridCol w:w="992"/>
        <w:gridCol w:w="1134"/>
        <w:gridCol w:w="4394"/>
      </w:tblGrid>
      <w:tr w:rsidR="00117890" w14:paraId="5C867B2D" w14:textId="77777777" w:rsidTr="00117890">
        <w:tc>
          <w:tcPr>
            <w:tcW w:w="534" w:type="dxa"/>
          </w:tcPr>
          <w:p w14:paraId="22603FB2"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Eil. Nr.</w:t>
            </w:r>
          </w:p>
        </w:tc>
        <w:tc>
          <w:tcPr>
            <w:tcW w:w="2126" w:type="dxa"/>
          </w:tcPr>
          <w:p w14:paraId="61784E87"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Įrangos pavadinimas</w:t>
            </w:r>
          </w:p>
        </w:tc>
        <w:tc>
          <w:tcPr>
            <w:tcW w:w="992" w:type="dxa"/>
          </w:tcPr>
          <w:p w14:paraId="5F697A17"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Mato vnt.</w:t>
            </w:r>
          </w:p>
        </w:tc>
        <w:tc>
          <w:tcPr>
            <w:tcW w:w="1134" w:type="dxa"/>
          </w:tcPr>
          <w:p w14:paraId="6C7DB785"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Nuorodos į projekto bylas / aprašymas /</w:t>
            </w:r>
          </w:p>
        </w:tc>
        <w:tc>
          <w:tcPr>
            <w:tcW w:w="4394" w:type="dxa"/>
          </w:tcPr>
          <w:p w14:paraId="2DF64A20" w14:textId="77777777" w:rsidR="00117890" w:rsidRPr="00117890" w:rsidRDefault="00117890" w:rsidP="00117890">
            <w:pPr>
              <w:rPr>
                <w:rFonts w:asciiTheme="majorBidi" w:hAnsiTheme="majorBidi" w:cstheme="majorBidi"/>
                <w:b/>
                <w:sz w:val="18"/>
                <w:szCs w:val="18"/>
              </w:rPr>
            </w:pPr>
            <w:r w:rsidRPr="00117890">
              <w:rPr>
                <w:rFonts w:asciiTheme="majorBidi" w:hAnsiTheme="majorBidi" w:cstheme="majorBidi"/>
                <w:b/>
                <w:sz w:val="18"/>
                <w:szCs w:val="18"/>
              </w:rPr>
              <w:t>Reikalaujama charakteristika</w:t>
            </w:r>
          </w:p>
        </w:tc>
      </w:tr>
      <w:tr w:rsidR="00376237" w14:paraId="2DCB23D1" w14:textId="77777777" w:rsidTr="00376237">
        <w:tc>
          <w:tcPr>
            <w:tcW w:w="534" w:type="dxa"/>
          </w:tcPr>
          <w:p w14:paraId="2E30471D" w14:textId="77777777" w:rsidR="00376237" w:rsidRPr="00117890" w:rsidRDefault="00376237" w:rsidP="00376237">
            <w:pPr>
              <w:rPr>
                <w:rFonts w:asciiTheme="majorBidi" w:hAnsiTheme="majorBidi" w:cstheme="majorBidi"/>
              </w:rPr>
            </w:pPr>
            <w:r w:rsidRPr="00117890">
              <w:rPr>
                <w:rFonts w:asciiTheme="majorBidi" w:hAnsiTheme="majorBidi" w:cstheme="majorBidi"/>
              </w:rPr>
              <w:t>1.</w:t>
            </w:r>
          </w:p>
        </w:tc>
        <w:tc>
          <w:tcPr>
            <w:tcW w:w="2126" w:type="dxa"/>
          </w:tcPr>
          <w:p w14:paraId="0D24EE3E" w14:textId="0EAA6CFD" w:rsidR="00376237" w:rsidRPr="00117890" w:rsidRDefault="00376237" w:rsidP="00376237">
            <w:pPr>
              <w:rPr>
                <w:rFonts w:asciiTheme="majorBidi" w:hAnsiTheme="majorBidi" w:cstheme="majorBidi"/>
              </w:rPr>
            </w:pPr>
            <w:proofErr w:type="spellStart"/>
            <w:r>
              <w:rPr>
                <w:rFonts w:ascii="Times New Roman" w:hAnsi="Times New Roman"/>
                <w:sz w:val="24"/>
                <w:szCs w:val="24"/>
              </w:rPr>
              <w:t>Pufai</w:t>
            </w:r>
            <w:proofErr w:type="spellEnd"/>
            <w:r>
              <w:rPr>
                <w:rFonts w:ascii="Times New Roman" w:hAnsi="Times New Roman"/>
                <w:sz w:val="24"/>
                <w:szCs w:val="24"/>
              </w:rPr>
              <w:t xml:space="preserve"> (B4)</w:t>
            </w:r>
          </w:p>
        </w:tc>
        <w:tc>
          <w:tcPr>
            <w:tcW w:w="992" w:type="dxa"/>
          </w:tcPr>
          <w:p w14:paraId="5CD477AB" w14:textId="53FF13B5" w:rsidR="00376237" w:rsidRPr="00117890" w:rsidRDefault="00376237" w:rsidP="00376237">
            <w:pPr>
              <w:rPr>
                <w:rFonts w:asciiTheme="majorBidi" w:hAnsiTheme="majorBidi" w:cstheme="majorBidi"/>
              </w:rPr>
            </w:pPr>
            <w:r>
              <w:rPr>
                <w:rFonts w:ascii="Times New Roman" w:hAnsi="Times New Roman"/>
              </w:rPr>
              <w:t>6</w:t>
            </w:r>
            <w:r w:rsidRPr="00A70EF5">
              <w:rPr>
                <w:rFonts w:ascii="Times New Roman" w:hAnsi="Times New Roman"/>
              </w:rPr>
              <w:t xml:space="preserve"> vnt.</w:t>
            </w:r>
          </w:p>
        </w:tc>
        <w:tc>
          <w:tcPr>
            <w:tcW w:w="1134" w:type="dxa"/>
          </w:tcPr>
          <w:p w14:paraId="5DFFCF55" w14:textId="1B50085F" w:rsidR="00376237" w:rsidRPr="00117890" w:rsidRDefault="00376237" w:rsidP="00376237">
            <w:pPr>
              <w:rPr>
                <w:rFonts w:asciiTheme="majorBidi" w:hAnsiTheme="majorBidi" w:cstheme="majorBidi"/>
              </w:rPr>
            </w:pPr>
            <w:r>
              <w:rPr>
                <w:rFonts w:ascii="Times New Roman" w:hAnsi="Times New Roman"/>
              </w:rPr>
              <w:t>23LP-00-EP-B3.B4</w:t>
            </w:r>
          </w:p>
        </w:tc>
        <w:tc>
          <w:tcPr>
            <w:tcW w:w="4394" w:type="dxa"/>
          </w:tcPr>
          <w:p w14:paraId="06CE276D" w14:textId="28352EC5" w:rsidR="00376237" w:rsidRPr="00117890" w:rsidRDefault="00376237" w:rsidP="00376237">
            <w:pPr>
              <w:rPr>
                <w:rFonts w:asciiTheme="majorBidi" w:hAnsiTheme="majorBidi" w:cstheme="majorBidi"/>
              </w:rPr>
            </w:pPr>
            <w:r>
              <w:rPr>
                <w:rFonts w:ascii="Times New Roman" w:hAnsi="Times New Roman"/>
              </w:rPr>
              <w:t xml:space="preserve">Baldas gaminamas iš dažytos 18mm MDF plokštės, dengiamos poliuretano dažais, blizgumas 20 proc. Baldo briaunos suleidžiamos 45 laipsnių kampu. Išmatavimai pateikiami brėžinyje </w:t>
            </w:r>
          </w:p>
        </w:tc>
      </w:tr>
    </w:tbl>
    <w:p w14:paraId="51A078CE" w14:textId="77777777" w:rsidR="00117890" w:rsidRDefault="00117890"/>
    <w:sectPr w:rsidR="00117890" w:rsidSect="005D253E">
      <w:type w:val="continuous"/>
      <w:pgSz w:w="9639" w:h="13608" w:code="13"/>
      <w:pgMar w:top="851" w:right="1134"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41A9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90"/>
    <w:rsid w:val="00117890"/>
    <w:rsid w:val="00132DB8"/>
    <w:rsid w:val="001E0D21"/>
    <w:rsid w:val="002757FB"/>
    <w:rsid w:val="00277C40"/>
    <w:rsid w:val="00376237"/>
    <w:rsid w:val="00493013"/>
    <w:rsid w:val="005466D7"/>
    <w:rsid w:val="005D253E"/>
    <w:rsid w:val="00634E1E"/>
    <w:rsid w:val="008C3AE9"/>
    <w:rsid w:val="009C4613"/>
    <w:rsid w:val="00B64EA4"/>
    <w:rsid w:val="00C34BF4"/>
    <w:rsid w:val="00F8236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30C"/>
  <w15:chartTrackingRefBased/>
  <w15:docId w15:val="{295312D9-30F7-4622-B269-E57E0CC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90"/>
    <w:pPr>
      <w:spacing w:after="0" w:line="240"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11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8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8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8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8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890"/>
    <w:rPr>
      <w:i/>
      <w:iCs/>
      <w:color w:val="404040" w:themeColor="text1" w:themeTint="BF"/>
    </w:rPr>
  </w:style>
  <w:style w:type="paragraph" w:styleId="Sraopastraipa">
    <w:name w:val="List Paragraph"/>
    <w:basedOn w:val="prastasis"/>
    <w:uiPriority w:val="34"/>
    <w:qFormat/>
    <w:rsid w:val="00117890"/>
    <w:pPr>
      <w:ind w:left="720"/>
      <w:contextualSpacing/>
    </w:pPr>
  </w:style>
  <w:style w:type="character" w:styleId="Rykuspabraukimas">
    <w:name w:val="Intense Emphasis"/>
    <w:basedOn w:val="Numatytasispastraiposriftas"/>
    <w:uiPriority w:val="21"/>
    <w:qFormat/>
    <w:rsid w:val="00117890"/>
    <w:rPr>
      <w:i/>
      <w:iCs/>
      <w:color w:val="2F5496" w:themeColor="accent1" w:themeShade="BF"/>
    </w:rPr>
  </w:style>
  <w:style w:type="paragraph" w:styleId="Iskirtacitata">
    <w:name w:val="Intense Quote"/>
    <w:basedOn w:val="prastasis"/>
    <w:next w:val="prastasis"/>
    <w:link w:val="IskirtacitataDiagrama"/>
    <w:uiPriority w:val="30"/>
    <w:qFormat/>
    <w:rsid w:val="0011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890"/>
    <w:rPr>
      <w:i/>
      <w:iCs/>
      <w:color w:val="2F5496" w:themeColor="accent1" w:themeShade="BF"/>
    </w:rPr>
  </w:style>
  <w:style w:type="character" w:styleId="Rykinuoroda">
    <w:name w:val="Intense Reference"/>
    <w:basedOn w:val="Numatytasispastraiposriftas"/>
    <w:uiPriority w:val="32"/>
    <w:qFormat/>
    <w:rsid w:val="00117890"/>
    <w:rPr>
      <w:b/>
      <w:bCs/>
      <w:smallCaps/>
      <w:color w:val="2F5496" w:themeColor="accent1" w:themeShade="BF"/>
      <w:spacing w:val="5"/>
    </w:rPr>
  </w:style>
  <w:style w:type="table" w:styleId="Lentelstinklelis">
    <w:name w:val="Table Grid"/>
    <w:basedOn w:val="prastojilentel"/>
    <w:uiPriority w:val="39"/>
    <w:rsid w:val="001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7FB"/>
    <w:pPr>
      <w:autoSpaceDE w:val="0"/>
      <w:autoSpaceDN w:val="0"/>
      <w:adjustRightInd w:val="0"/>
      <w:spacing w:after="0" w:line="240" w:lineRule="auto"/>
    </w:pPr>
    <w:rPr>
      <w:rFonts w:ascii="Times New Roman" w:hAnsi="Times New Roman" w:cs="Times New Roman"/>
      <w:color w:val="000000"/>
      <w:kern w:val="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136">
      <w:bodyDiv w:val="1"/>
      <w:marLeft w:val="0"/>
      <w:marRight w:val="0"/>
      <w:marTop w:val="0"/>
      <w:marBottom w:val="0"/>
      <w:divBdr>
        <w:top w:val="none" w:sz="0" w:space="0" w:color="auto"/>
        <w:left w:val="none" w:sz="0" w:space="0" w:color="auto"/>
        <w:bottom w:val="none" w:sz="0" w:space="0" w:color="auto"/>
        <w:right w:val="none" w:sz="0" w:space="0" w:color="auto"/>
      </w:divBdr>
    </w:div>
    <w:div w:id="18867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6DB4DE83-4920-4533-B290-AFAB2ACF4835}">
  <ds:schemaRefs>
    <ds:schemaRef ds:uri="http://schemas.openxmlformats.org/officeDocument/2006/bibliography"/>
  </ds:schemaRefs>
</ds:datastoreItem>
</file>

<file path=customXml/itemProps2.xml><?xml version="1.0" encoding="utf-8"?>
<ds:datastoreItem xmlns:ds="http://schemas.openxmlformats.org/officeDocument/2006/customXml" ds:itemID="{5FD36FCF-9A82-4DD5-B98B-32C418B39AE3}"/>
</file>

<file path=customXml/itemProps3.xml><?xml version="1.0" encoding="utf-8"?>
<ds:datastoreItem xmlns:ds="http://schemas.openxmlformats.org/officeDocument/2006/customXml" ds:itemID="{945A35F0-9357-4BCA-8B53-F1CC627A3F94}"/>
</file>

<file path=customXml/itemProps4.xml><?xml version="1.0" encoding="utf-8"?>
<ds:datastoreItem xmlns:ds="http://schemas.openxmlformats.org/officeDocument/2006/customXml" ds:itemID="{4EFB5BD0-FFC2-431A-B25B-41C15DCA85AD}"/>
</file>

<file path=docProps/app.xml><?xml version="1.0" encoding="utf-8"?>
<Properties xmlns="http://schemas.openxmlformats.org/officeDocument/2006/extended-properties" xmlns:vt="http://schemas.openxmlformats.org/officeDocument/2006/docPropsVTypes">
  <Template>Normal</Template>
  <TotalTime>0</TotalTime>
  <Pages>2</Pages>
  <Words>2599</Words>
  <Characters>1482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2025-04-10T15:27:00Z</dcterms:created>
  <dcterms:modified xsi:type="dcterms:W3CDTF">2025-04-10T15:27:00Z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