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69145E35" w:rsidR="00C0552B" w:rsidRPr="006248CB" w:rsidRDefault="00C0552B" w:rsidP="00C0552B">
      <w:pPr>
        <w:jc w:val="center"/>
      </w:pPr>
      <w:r w:rsidRPr="006248CB">
        <w:rPr>
          <w:b/>
        </w:rPr>
        <w:t xml:space="preserve">DĖL </w:t>
      </w:r>
      <w:r w:rsidR="00F0369D">
        <w:rPr>
          <w:b/>
        </w:rPr>
        <w:t>KROVININIO AUTOMOBILIO SU ŠALDYMO ĮRANGA NUOMOS</w:t>
      </w:r>
      <w:r w:rsidR="007B3CFE">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1021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686"/>
        <w:gridCol w:w="1842"/>
        <w:gridCol w:w="1560"/>
        <w:gridCol w:w="1134"/>
        <w:gridCol w:w="1281"/>
      </w:tblGrid>
      <w:tr w:rsidR="009137B8" w:rsidRPr="0094451A" w14:paraId="2B3EA5D9" w14:textId="77777777" w:rsidTr="009137B8">
        <w:trPr>
          <w:trHeight w:val="491"/>
        </w:trPr>
        <w:tc>
          <w:tcPr>
            <w:tcW w:w="709" w:type="dxa"/>
            <w:tcBorders>
              <w:bottom w:val="single" w:sz="4" w:space="0" w:color="auto"/>
            </w:tcBorders>
            <w:shd w:val="clear" w:color="auto" w:fill="auto"/>
            <w:vAlign w:val="center"/>
          </w:tcPr>
          <w:p w14:paraId="1E15289C" w14:textId="77777777" w:rsidR="00F0369D" w:rsidRPr="0094451A" w:rsidRDefault="00F0369D"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3686" w:type="dxa"/>
            <w:tcBorders>
              <w:bottom w:val="single" w:sz="4" w:space="0" w:color="auto"/>
            </w:tcBorders>
            <w:shd w:val="clear" w:color="auto" w:fill="auto"/>
            <w:vAlign w:val="center"/>
          </w:tcPr>
          <w:p w14:paraId="2CC3AAD6" w14:textId="77777777" w:rsidR="00F0369D" w:rsidRPr="0094451A" w:rsidRDefault="00F0369D" w:rsidP="009C4856">
            <w:pPr>
              <w:jc w:val="center"/>
              <w:rPr>
                <w:b/>
                <w:color w:val="000000"/>
              </w:rPr>
            </w:pPr>
            <w:r w:rsidRPr="0094451A">
              <w:rPr>
                <w:b/>
                <w:color w:val="000000"/>
              </w:rPr>
              <w:t>Prekės pavadinimas</w:t>
            </w:r>
          </w:p>
        </w:tc>
        <w:tc>
          <w:tcPr>
            <w:tcW w:w="1842" w:type="dxa"/>
          </w:tcPr>
          <w:p w14:paraId="2C5FB055" w14:textId="357CA654" w:rsidR="00F0369D" w:rsidRPr="0094451A" w:rsidRDefault="00F0369D" w:rsidP="009C4856">
            <w:pPr>
              <w:jc w:val="center"/>
              <w:rPr>
                <w:b/>
                <w:color w:val="000000"/>
              </w:rPr>
            </w:pPr>
            <w:r>
              <w:rPr>
                <w:b/>
                <w:color w:val="000000"/>
              </w:rPr>
              <w:t>Mato vnt.</w:t>
            </w:r>
          </w:p>
        </w:tc>
        <w:tc>
          <w:tcPr>
            <w:tcW w:w="1560" w:type="dxa"/>
            <w:shd w:val="clear" w:color="auto" w:fill="auto"/>
            <w:vAlign w:val="center"/>
          </w:tcPr>
          <w:p w14:paraId="697D9620" w14:textId="72CFDE15" w:rsidR="00F0369D" w:rsidRPr="0094451A" w:rsidRDefault="00F0369D" w:rsidP="009C4856">
            <w:pPr>
              <w:jc w:val="center"/>
              <w:rPr>
                <w:b/>
                <w:color w:val="000000"/>
              </w:rPr>
            </w:pPr>
            <w:proofErr w:type="spellStart"/>
            <w:r>
              <w:rPr>
                <w:b/>
                <w:color w:val="000000"/>
              </w:rPr>
              <w:t>Automobiliųkiekis</w:t>
            </w:r>
            <w:proofErr w:type="spellEnd"/>
            <w:r>
              <w:rPr>
                <w:b/>
                <w:color w:val="000000"/>
              </w:rPr>
              <w:t xml:space="preserve"> vnt.</w:t>
            </w:r>
          </w:p>
        </w:tc>
        <w:tc>
          <w:tcPr>
            <w:tcW w:w="1134" w:type="dxa"/>
            <w:shd w:val="clear" w:color="auto" w:fill="auto"/>
            <w:vAlign w:val="center"/>
          </w:tcPr>
          <w:p w14:paraId="11F54748" w14:textId="3A8AFE95" w:rsidR="00F0369D" w:rsidRPr="0094451A" w:rsidRDefault="00F0369D" w:rsidP="009C4856">
            <w:pPr>
              <w:jc w:val="center"/>
              <w:rPr>
                <w:b/>
                <w:color w:val="000000"/>
              </w:rPr>
            </w:pPr>
            <w:r>
              <w:rPr>
                <w:b/>
                <w:color w:val="000000"/>
              </w:rPr>
              <w:t>Nuomos</w:t>
            </w:r>
            <w:r w:rsidRPr="0094451A">
              <w:rPr>
                <w:b/>
                <w:color w:val="000000"/>
              </w:rPr>
              <w:t xml:space="preserve"> </w:t>
            </w:r>
            <w:r>
              <w:rPr>
                <w:b/>
                <w:color w:val="000000"/>
              </w:rPr>
              <w:t>įkainis</w:t>
            </w:r>
            <w:r w:rsidRPr="0094451A">
              <w:rPr>
                <w:b/>
                <w:color w:val="000000"/>
              </w:rPr>
              <w:t xml:space="preserve"> </w:t>
            </w:r>
            <w:proofErr w:type="spellStart"/>
            <w:r w:rsidRPr="0094451A">
              <w:rPr>
                <w:b/>
                <w:color w:val="000000"/>
              </w:rPr>
              <w:t>Eur</w:t>
            </w:r>
            <w:proofErr w:type="spellEnd"/>
            <w:r w:rsidRPr="0094451A">
              <w:rPr>
                <w:b/>
                <w:color w:val="000000"/>
              </w:rPr>
              <w:t xml:space="preserve"> be PVM</w:t>
            </w:r>
          </w:p>
        </w:tc>
        <w:tc>
          <w:tcPr>
            <w:tcW w:w="1281" w:type="dxa"/>
            <w:shd w:val="clear" w:color="auto" w:fill="auto"/>
            <w:vAlign w:val="center"/>
          </w:tcPr>
          <w:p w14:paraId="1ABEF80C" w14:textId="22D08F34" w:rsidR="00F0369D" w:rsidRPr="0094451A" w:rsidRDefault="00F0369D" w:rsidP="00F0369D">
            <w:pPr>
              <w:jc w:val="center"/>
              <w:rPr>
                <w:b/>
                <w:color w:val="000000"/>
                <w:sz w:val="14"/>
                <w:szCs w:val="14"/>
              </w:rPr>
            </w:pPr>
            <w:r>
              <w:rPr>
                <w:b/>
                <w:color w:val="000000"/>
              </w:rPr>
              <w:t>Nuomos</w:t>
            </w:r>
            <w:r w:rsidRPr="0094451A">
              <w:rPr>
                <w:b/>
                <w:color w:val="000000"/>
              </w:rPr>
              <w:t xml:space="preserve"> </w:t>
            </w:r>
            <w:r>
              <w:rPr>
                <w:b/>
                <w:color w:val="000000"/>
              </w:rPr>
              <w:t>įkainis</w:t>
            </w:r>
            <w:r>
              <w:rPr>
                <w:b/>
                <w:color w:val="000000"/>
              </w:rPr>
              <w:t xml:space="preserve"> </w:t>
            </w:r>
            <w:proofErr w:type="spellStart"/>
            <w:r>
              <w:rPr>
                <w:b/>
                <w:color w:val="000000"/>
              </w:rPr>
              <w:t>Eur</w:t>
            </w:r>
            <w:proofErr w:type="spellEnd"/>
            <w:r>
              <w:rPr>
                <w:b/>
                <w:color w:val="000000"/>
              </w:rPr>
              <w:t xml:space="preserve"> su</w:t>
            </w:r>
            <w:r w:rsidRPr="0094451A">
              <w:rPr>
                <w:b/>
                <w:color w:val="000000"/>
              </w:rPr>
              <w:t xml:space="preserve"> PVM</w:t>
            </w:r>
          </w:p>
        </w:tc>
      </w:tr>
      <w:tr w:rsidR="009137B8" w:rsidRPr="0094451A" w14:paraId="2F073F20" w14:textId="77777777" w:rsidTr="009137B8">
        <w:trPr>
          <w:trHeight w:val="421"/>
        </w:trPr>
        <w:tc>
          <w:tcPr>
            <w:tcW w:w="709" w:type="dxa"/>
            <w:tcBorders>
              <w:top w:val="nil"/>
              <w:left w:val="single" w:sz="4" w:space="0" w:color="auto"/>
              <w:bottom w:val="nil"/>
              <w:right w:val="single" w:sz="4" w:space="0" w:color="auto"/>
            </w:tcBorders>
            <w:shd w:val="clear" w:color="auto" w:fill="auto"/>
          </w:tcPr>
          <w:p w14:paraId="3C60FC95" w14:textId="77777777" w:rsidR="00F0369D" w:rsidRPr="0094451A" w:rsidRDefault="00F0369D" w:rsidP="009C4856">
            <w:pPr>
              <w:jc w:val="center"/>
              <w:rPr>
                <w:bCs/>
                <w:color w:val="000000"/>
              </w:rPr>
            </w:pPr>
            <w:r w:rsidRPr="0094451A">
              <w:rPr>
                <w:bCs/>
                <w:color w:val="000000"/>
              </w:rPr>
              <w:t>1.</w:t>
            </w:r>
          </w:p>
        </w:tc>
        <w:tc>
          <w:tcPr>
            <w:tcW w:w="3686" w:type="dxa"/>
            <w:tcBorders>
              <w:top w:val="nil"/>
              <w:left w:val="single" w:sz="4" w:space="0" w:color="auto"/>
              <w:bottom w:val="nil"/>
              <w:right w:val="single" w:sz="4" w:space="0" w:color="auto"/>
            </w:tcBorders>
            <w:shd w:val="clear" w:color="auto" w:fill="auto"/>
            <w:vAlign w:val="center"/>
          </w:tcPr>
          <w:p w14:paraId="6FC6AE34" w14:textId="72797BFA" w:rsidR="00F0369D" w:rsidRPr="0094451A" w:rsidRDefault="00F0369D" w:rsidP="009C4856">
            <w:pPr>
              <w:jc w:val="both"/>
              <w:rPr>
                <w:bCs/>
                <w:color w:val="000000"/>
              </w:rPr>
            </w:pPr>
            <w:r>
              <w:rPr>
                <w:bCs/>
                <w:color w:val="000000"/>
              </w:rPr>
              <w:t>Krovininio automobilio su šaldymo įranga nuoma</w:t>
            </w:r>
          </w:p>
        </w:tc>
        <w:tc>
          <w:tcPr>
            <w:tcW w:w="1842" w:type="dxa"/>
            <w:tcBorders>
              <w:left w:val="single" w:sz="4" w:space="0" w:color="auto"/>
            </w:tcBorders>
          </w:tcPr>
          <w:p w14:paraId="2A6140D8" w14:textId="58332BFE" w:rsidR="00F0369D" w:rsidRDefault="00F0369D" w:rsidP="00F0369D">
            <w:pPr>
              <w:rPr>
                <w:bCs/>
                <w:color w:val="000000"/>
              </w:rPr>
            </w:pPr>
            <w:r>
              <w:rPr>
                <w:bCs/>
                <w:color w:val="000000"/>
              </w:rPr>
              <w:t>1 metams</w:t>
            </w:r>
          </w:p>
        </w:tc>
        <w:tc>
          <w:tcPr>
            <w:tcW w:w="1560" w:type="dxa"/>
            <w:shd w:val="clear" w:color="auto" w:fill="auto"/>
            <w:vAlign w:val="center"/>
          </w:tcPr>
          <w:p w14:paraId="3415E512" w14:textId="39000749" w:rsidR="00F0369D" w:rsidRPr="0094451A" w:rsidRDefault="00194FFF" w:rsidP="009C4856">
            <w:pPr>
              <w:jc w:val="center"/>
              <w:rPr>
                <w:bCs/>
                <w:color w:val="000000"/>
              </w:rPr>
            </w:pPr>
            <w:r>
              <w:rPr>
                <w:bCs/>
                <w:color w:val="000000"/>
              </w:rPr>
              <w:t>1</w:t>
            </w:r>
          </w:p>
        </w:tc>
        <w:tc>
          <w:tcPr>
            <w:tcW w:w="1134" w:type="dxa"/>
            <w:shd w:val="clear" w:color="auto" w:fill="auto"/>
          </w:tcPr>
          <w:p w14:paraId="4701B7D5" w14:textId="77777777" w:rsidR="00F0369D" w:rsidRPr="0094451A" w:rsidRDefault="00F0369D" w:rsidP="009C4856">
            <w:pPr>
              <w:jc w:val="center"/>
              <w:rPr>
                <w:b/>
                <w:color w:val="000000"/>
              </w:rPr>
            </w:pPr>
          </w:p>
        </w:tc>
        <w:tc>
          <w:tcPr>
            <w:tcW w:w="1281" w:type="dxa"/>
            <w:shd w:val="clear" w:color="auto" w:fill="auto"/>
          </w:tcPr>
          <w:p w14:paraId="27F64D7B" w14:textId="77777777" w:rsidR="00F0369D" w:rsidRPr="0094451A" w:rsidRDefault="00F0369D" w:rsidP="009C4856">
            <w:pPr>
              <w:jc w:val="center"/>
              <w:rPr>
                <w:b/>
                <w:color w:val="000000"/>
              </w:rPr>
            </w:pPr>
          </w:p>
        </w:tc>
      </w:tr>
      <w:tr w:rsidR="009137B8" w:rsidRPr="0094451A" w14:paraId="1B4D15CE" w14:textId="77777777" w:rsidTr="009137B8">
        <w:trPr>
          <w:trHeight w:val="127"/>
        </w:trPr>
        <w:tc>
          <w:tcPr>
            <w:tcW w:w="709" w:type="dxa"/>
            <w:tcBorders>
              <w:top w:val="nil"/>
              <w:left w:val="single" w:sz="4" w:space="0" w:color="auto"/>
              <w:bottom w:val="nil"/>
              <w:right w:val="single" w:sz="4" w:space="0" w:color="auto"/>
            </w:tcBorders>
            <w:shd w:val="clear" w:color="auto" w:fill="auto"/>
          </w:tcPr>
          <w:p w14:paraId="48667B0C" w14:textId="5E4792CF" w:rsidR="00F0369D" w:rsidRPr="0094451A" w:rsidRDefault="00F0369D" w:rsidP="009C4856">
            <w:pPr>
              <w:jc w:val="center"/>
              <w:rPr>
                <w:bCs/>
                <w:color w:val="000000"/>
              </w:rPr>
            </w:pPr>
          </w:p>
        </w:tc>
        <w:tc>
          <w:tcPr>
            <w:tcW w:w="3686" w:type="dxa"/>
            <w:tcBorders>
              <w:top w:val="nil"/>
              <w:left w:val="single" w:sz="4" w:space="0" w:color="auto"/>
              <w:bottom w:val="nil"/>
              <w:right w:val="single" w:sz="4" w:space="0" w:color="auto"/>
            </w:tcBorders>
            <w:shd w:val="clear" w:color="auto" w:fill="auto"/>
            <w:vAlign w:val="center"/>
          </w:tcPr>
          <w:p w14:paraId="1E8B6217" w14:textId="431C864F" w:rsidR="00F0369D" w:rsidRDefault="00F0369D" w:rsidP="009C4856">
            <w:pPr>
              <w:jc w:val="both"/>
              <w:rPr>
                <w:bCs/>
                <w:color w:val="000000"/>
              </w:rPr>
            </w:pPr>
          </w:p>
        </w:tc>
        <w:tc>
          <w:tcPr>
            <w:tcW w:w="1842" w:type="dxa"/>
            <w:tcBorders>
              <w:left w:val="single" w:sz="4" w:space="0" w:color="auto"/>
            </w:tcBorders>
          </w:tcPr>
          <w:p w14:paraId="035A4169" w14:textId="1CCA93FC" w:rsidR="00F0369D" w:rsidRDefault="00F0369D" w:rsidP="00F0369D">
            <w:pPr>
              <w:rPr>
                <w:bCs/>
                <w:color w:val="000000"/>
              </w:rPr>
            </w:pPr>
            <w:r>
              <w:rPr>
                <w:bCs/>
                <w:color w:val="000000"/>
              </w:rPr>
              <w:t>1 mėnesiui</w:t>
            </w:r>
          </w:p>
        </w:tc>
        <w:tc>
          <w:tcPr>
            <w:tcW w:w="1560" w:type="dxa"/>
            <w:shd w:val="clear" w:color="auto" w:fill="auto"/>
            <w:vAlign w:val="center"/>
          </w:tcPr>
          <w:p w14:paraId="643EC0F4" w14:textId="3F2BE837" w:rsidR="00F0369D" w:rsidRDefault="00194FFF" w:rsidP="009C4856">
            <w:pPr>
              <w:jc w:val="center"/>
              <w:rPr>
                <w:bCs/>
                <w:color w:val="000000"/>
              </w:rPr>
            </w:pPr>
            <w:r>
              <w:rPr>
                <w:bCs/>
                <w:color w:val="000000"/>
              </w:rPr>
              <w:t>1</w:t>
            </w:r>
          </w:p>
        </w:tc>
        <w:tc>
          <w:tcPr>
            <w:tcW w:w="1134" w:type="dxa"/>
            <w:shd w:val="clear" w:color="auto" w:fill="auto"/>
          </w:tcPr>
          <w:p w14:paraId="567D3E1C" w14:textId="77777777" w:rsidR="00F0369D" w:rsidRPr="0094451A" w:rsidRDefault="00F0369D" w:rsidP="009C4856">
            <w:pPr>
              <w:jc w:val="center"/>
              <w:rPr>
                <w:b/>
                <w:color w:val="000000"/>
              </w:rPr>
            </w:pPr>
          </w:p>
        </w:tc>
        <w:tc>
          <w:tcPr>
            <w:tcW w:w="1281" w:type="dxa"/>
            <w:shd w:val="clear" w:color="auto" w:fill="auto"/>
          </w:tcPr>
          <w:p w14:paraId="1DC4A079" w14:textId="77777777" w:rsidR="00F0369D" w:rsidRPr="0094451A" w:rsidRDefault="00F0369D" w:rsidP="009C4856">
            <w:pPr>
              <w:jc w:val="center"/>
              <w:rPr>
                <w:b/>
                <w:color w:val="000000"/>
              </w:rPr>
            </w:pPr>
          </w:p>
        </w:tc>
      </w:tr>
      <w:tr w:rsidR="00F0369D" w:rsidRPr="0094451A" w14:paraId="32CFB78B" w14:textId="77777777" w:rsidTr="009137B8">
        <w:trPr>
          <w:trHeight w:val="127"/>
        </w:trPr>
        <w:tc>
          <w:tcPr>
            <w:tcW w:w="709" w:type="dxa"/>
            <w:tcBorders>
              <w:top w:val="nil"/>
              <w:left w:val="single" w:sz="4" w:space="0" w:color="auto"/>
              <w:bottom w:val="nil"/>
              <w:right w:val="single" w:sz="4" w:space="0" w:color="auto"/>
            </w:tcBorders>
            <w:shd w:val="clear" w:color="auto" w:fill="auto"/>
          </w:tcPr>
          <w:p w14:paraId="4ECDFA07" w14:textId="77777777" w:rsidR="00F0369D" w:rsidRDefault="00F0369D" w:rsidP="009C4856">
            <w:pPr>
              <w:jc w:val="center"/>
              <w:rPr>
                <w:bCs/>
                <w:color w:val="000000"/>
              </w:rPr>
            </w:pPr>
          </w:p>
        </w:tc>
        <w:tc>
          <w:tcPr>
            <w:tcW w:w="3686" w:type="dxa"/>
            <w:tcBorders>
              <w:top w:val="nil"/>
              <w:left w:val="single" w:sz="4" w:space="0" w:color="auto"/>
              <w:bottom w:val="nil"/>
              <w:right w:val="single" w:sz="4" w:space="0" w:color="auto"/>
            </w:tcBorders>
            <w:shd w:val="clear" w:color="auto" w:fill="auto"/>
            <w:vAlign w:val="center"/>
          </w:tcPr>
          <w:p w14:paraId="4EFDCA11" w14:textId="77777777" w:rsidR="00F0369D" w:rsidRDefault="00F0369D" w:rsidP="009C4856">
            <w:pPr>
              <w:jc w:val="both"/>
              <w:rPr>
                <w:bCs/>
                <w:color w:val="000000"/>
              </w:rPr>
            </w:pPr>
          </w:p>
        </w:tc>
        <w:tc>
          <w:tcPr>
            <w:tcW w:w="1842" w:type="dxa"/>
            <w:tcBorders>
              <w:left w:val="single" w:sz="4" w:space="0" w:color="auto"/>
            </w:tcBorders>
          </w:tcPr>
          <w:p w14:paraId="793DBAC0" w14:textId="6D6147DD" w:rsidR="00F0369D" w:rsidRDefault="00F0369D" w:rsidP="00F0369D">
            <w:pPr>
              <w:rPr>
                <w:bCs/>
                <w:color w:val="000000"/>
              </w:rPr>
            </w:pPr>
            <w:r>
              <w:rPr>
                <w:bCs/>
                <w:color w:val="000000"/>
              </w:rPr>
              <w:t xml:space="preserve">1 </w:t>
            </w:r>
            <w:proofErr w:type="spellStart"/>
            <w:r>
              <w:rPr>
                <w:bCs/>
                <w:color w:val="000000"/>
              </w:rPr>
              <w:t>savatei</w:t>
            </w:r>
            <w:proofErr w:type="spellEnd"/>
          </w:p>
        </w:tc>
        <w:tc>
          <w:tcPr>
            <w:tcW w:w="1560" w:type="dxa"/>
            <w:shd w:val="clear" w:color="auto" w:fill="auto"/>
            <w:vAlign w:val="center"/>
          </w:tcPr>
          <w:p w14:paraId="50324A04" w14:textId="252263F9" w:rsidR="00F0369D" w:rsidRDefault="00194FFF" w:rsidP="009C4856">
            <w:pPr>
              <w:jc w:val="center"/>
              <w:rPr>
                <w:bCs/>
                <w:color w:val="000000"/>
              </w:rPr>
            </w:pPr>
            <w:r>
              <w:rPr>
                <w:bCs/>
                <w:color w:val="000000"/>
              </w:rPr>
              <w:t>1</w:t>
            </w:r>
          </w:p>
        </w:tc>
        <w:tc>
          <w:tcPr>
            <w:tcW w:w="1134" w:type="dxa"/>
            <w:shd w:val="clear" w:color="auto" w:fill="auto"/>
          </w:tcPr>
          <w:p w14:paraId="344E5571" w14:textId="77777777" w:rsidR="00F0369D" w:rsidRPr="0094451A" w:rsidRDefault="00F0369D" w:rsidP="009C4856">
            <w:pPr>
              <w:jc w:val="center"/>
              <w:rPr>
                <w:b/>
                <w:color w:val="000000"/>
              </w:rPr>
            </w:pPr>
          </w:p>
        </w:tc>
        <w:tc>
          <w:tcPr>
            <w:tcW w:w="1281" w:type="dxa"/>
            <w:shd w:val="clear" w:color="auto" w:fill="auto"/>
          </w:tcPr>
          <w:p w14:paraId="3C30AFA9" w14:textId="77777777" w:rsidR="00F0369D" w:rsidRPr="0094451A" w:rsidRDefault="00F0369D" w:rsidP="009C4856">
            <w:pPr>
              <w:jc w:val="center"/>
              <w:rPr>
                <w:b/>
                <w:color w:val="000000"/>
              </w:rPr>
            </w:pPr>
          </w:p>
        </w:tc>
      </w:tr>
      <w:tr w:rsidR="00F0369D" w:rsidRPr="0094451A" w14:paraId="48B900D0" w14:textId="77777777" w:rsidTr="009137B8">
        <w:trPr>
          <w:trHeight w:val="127"/>
        </w:trPr>
        <w:tc>
          <w:tcPr>
            <w:tcW w:w="709" w:type="dxa"/>
            <w:tcBorders>
              <w:top w:val="nil"/>
              <w:left w:val="single" w:sz="4" w:space="0" w:color="auto"/>
              <w:bottom w:val="nil"/>
              <w:right w:val="single" w:sz="4" w:space="0" w:color="auto"/>
            </w:tcBorders>
            <w:shd w:val="clear" w:color="auto" w:fill="auto"/>
          </w:tcPr>
          <w:p w14:paraId="57D293E9" w14:textId="77777777" w:rsidR="00F0369D" w:rsidRDefault="00F0369D" w:rsidP="009C4856">
            <w:pPr>
              <w:jc w:val="center"/>
              <w:rPr>
                <w:bCs/>
                <w:color w:val="000000"/>
              </w:rPr>
            </w:pPr>
          </w:p>
        </w:tc>
        <w:tc>
          <w:tcPr>
            <w:tcW w:w="3686" w:type="dxa"/>
            <w:tcBorders>
              <w:top w:val="nil"/>
              <w:left w:val="single" w:sz="4" w:space="0" w:color="auto"/>
              <w:bottom w:val="nil"/>
              <w:right w:val="single" w:sz="4" w:space="0" w:color="auto"/>
            </w:tcBorders>
            <w:shd w:val="clear" w:color="auto" w:fill="auto"/>
            <w:vAlign w:val="center"/>
          </w:tcPr>
          <w:p w14:paraId="44813047" w14:textId="77777777" w:rsidR="00F0369D" w:rsidRDefault="00F0369D" w:rsidP="009C4856">
            <w:pPr>
              <w:jc w:val="both"/>
              <w:rPr>
                <w:bCs/>
                <w:color w:val="000000"/>
              </w:rPr>
            </w:pPr>
          </w:p>
        </w:tc>
        <w:tc>
          <w:tcPr>
            <w:tcW w:w="1842" w:type="dxa"/>
            <w:tcBorders>
              <w:left w:val="single" w:sz="4" w:space="0" w:color="auto"/>
            </w:tcBorders>
          </w:tcPr>
          <w:p w14:paraId="2B25FD72" w14:textId="45B9768D" w:rsidR="00F0369D" w:rsidRDefault="00F0369D" w:rsidP="00F0369D">
            <w:pPr>
              <w:rPr>
                <w:bCs/>
                <w:color w:val="000000"/>
              </w:rPr>
            </w:pPr>
            <w:r>
              <w:rPr>
                <w:bCs/>
                <w:color w:val="000000"/>
              </w:rPr>
              <w:t>2 savaitėms</w:t>
            </w:r>
          </w:p>
        </w:tc>
        <w:tc>
          <w:tcPr>
            <w:tcW w:w="1560" w:type="dxa"/>
            <w:shd w:val="clear" w:color="auto" w:fill="auto"/>
            <w:vAlign w:val="center"/>
          </w:tcPr>
          <w:p w14:paraId="6B78B63C" w14:textId="46E6B2D9" w:rsidR="00F0369D" w:rsidRDefault="00194FFF" w:rsidP="009C4856">
            <w:pPr>
              <w:jc w:val="center"/>
              <w:rPr>
                <w:bCs/>
                <w:color w:val="000000"/>
              </w:rPr>
            </w:pPr>
            <w:r>
              <w:rPr>
                <w:bCs/>
                <w:color w:val="000000"/>
              </w:rPr>
              <w:t>1</w:t>
            </w:r>
          </w:p>
        </w:tc>
        <w:tc>
          <w:tcPr>
            <w:tcW w:w="1134" w:type="dxa"/>
            <w:shd w:val="clear" w:color="auto" w:fill="auto"/>
          </w:tcPr>
          <w:p w14:paraId="10F40201" w14:textId="77777777" w:rsidR="00F0369D" w:rsidRPr="0094451A" w:rsidRDefault="00F0369D" w:rsidP="009C4856">
            <w:pPr>
              <w:jc w:val="center"/>
              <w:rPr>
                <w:b/>
                <w:color w:val="000000"/>
              </w:rPr>
            </w:pPr>
          </w:p>
        </w:tc>
        <w:tc>
          <w:tcPr>
            <w:tcW w:w="1281" w:type="dxa"/>
            <w:shd w:val="clear" w:color="auto" w:fill="auto"/>
          </w:tcPr>
          <w:p w14:paraId="7BFD8A8B" w14:textId="77777777" w:rsidR="00F0369D" w:rsidRPr="0094451A" w:rsidRDefault="00F0369D" w:rsidP="009C4856">
            <w:pPr>
              <w:jc w:val="center"/>
              <w:rPr>
                <w:b/>
                <w:color w:val="000000"/>
              </w:rPr>
            </w:pPr>
          </w:p>
        </w:tc>
      </w:tr>
      <w:tr w:rsidR="00F0369D" w:rsidRPr="0094451A" w14:paraId="10FE1F93" w14:textId="77777777" w:rsidTr="009137B8">
        <w:trPr>
          <w:trHeight w:val="127"/>
        </w:trPr>
        <w:tc>
          <w:tcPr>
            <w:tcW w:w="709" w:type="dxa"/>
            <w:tcBorders>
              <w:top w:val="nil"/>
              <w:left w:val="single" w:sz="4" w:space="0" w:color="auto"/>
              <w:bottom w:val="single" w:sz="4" w:space="0" w:color="auto"/>
              <w:right w:val="single" w:sz="4" w:space="0" w:color="auto"/>
            </w:tcBorders>
            <w:shd w:val="clear" w:color="auto" w:fill="auto"/>
          </w:tcPr>
          <w:p w14:paraId="4689B61C" w14:textId="77777777" w:rsidR="00F0369D" w:rsidRDefault="00F0369D" w:rsidP="009C4856">
            <w:pPr>
              <w:jc w:val="center"/>
              <w:rPr>
                <w:bCs/>
                <w:color w:val="000000"/>
              </w:rPr>
            </w:pPr>
          </w:p>
        </w:tc>
        <w:tc>
          <w:tcPr>
            <w:tcW w:w="3686" w:type="dxa"/>
            <w:tcBorders>
              <w:top w:val="nil"/>
              <w:left w:val="single" w:sz="4" w:space="0" w:color="auto"/>
              <w:bottom w:val="single" w:sz="4" w:space="0" w:color="auto"/>
              <w:right w:val="single" w:sz="4" w:space="0" w:color="auto"/>
            </w:tcBorders>
            <w:shd w:val="clear" w:color="auto" w:fill="auto"/>
            <w:vAlign w:val="center"/>
          </w:tcPr>
          <w:p w14:paraId="2C1C2092" w14:textId="77777777" w:rsidR="00F0369D" w:rsidRDefault="00F0369D" w:rsidP="009C4856">
            <w:pPr>
              <w:jc w:val="both"/>
              <w:rPr>
                <w:bCs/>
                <w:color w:val="000000"/>
              </w:rPr>
            </w:pPr>
          </w:p>
        </w:tc>
        <w:tc>
          <w:tcPr>
            <w:tcW w:w="1842" w:type="dxa"/>
            <w:tcBorders>
              <w:left w:val="single" w:sz="4" w:space="0" w:color="auto"/>
            </w:tcBorders>
          </w:tcPr>
          <w:p w14:paraId="4E1A570E" w14:textId="3A31D148" w:rsidR="00F0369D" w:rsidRDefault="00194FFF" w:rsidP="00F0369D">
            <w:pPr>
              <w:rPr>
                <w:bCs/>
                <w:color w:val="000000"/>
              </w:rPr>
            </w:pPr>
            <w:r>
              <w:rPr>
                <w:bCs/>
                <w:color w:val="000000"/>
              </w:rPr>
              <w:t>3 savaitė</w:t>
            </w:r>
            <w:r w:rsidR="009137B8">
              <w:rPr>
                <w:bCs/>
                <w:color w:val="000000"/>
              </w:rPr>
              <w:t>m</w:t>
            </w:r>
            <w:r>
              <w:rPr>
                <w:bCs/>
                <w:color w:val="000000"/>
              </w:rPr>
              <w:t>s</w:t>
            </w:r>
          </w:p>
        </w:tc>
        <w:tc>
          <w:tcPr>
            <w:tcW w:w="1560" w:type="dxa"/>
            <w:shd w:val="clear" w:color="auto" w:fill="auto"/>
            <w:vAlign w:val="center"/>
          </w:tcPr>
          <w:p w14:paraId="638AA201" w14:textId="0C8BABFA" w:rsidR="00F0369D" w:rsidRDefault="00194FFF" w:rsidP="009C4856">
            <w:pPr>
              <w:jc w:val="center"/>
              <w:rPr>
                <w:bCs/>
                <w:color w:val="000000"/>
              </w:rPr>
            </w:pPr>
            <w:r>
              <w:rPr>
                <w:bCs/>
                <w:color w:val="000000"/>
              </w:rPr>
              <w:t>1</w:t>
            </w:r>
          </w:p>
        </w:tc>
        <w:tc>
          <w:tcPr>
            <w:tcW w:w="1134" w:type="dxa"/>
            <w:shd w:val="clear" w:color="auto" w:fill="auto"/>
          </w:tcPr>
          <w:p w14:paraId="5875EC1C" w14:textId="77777777" w:rsidR="00F0369D" w:rsidRPr="0094451A" w:rsidRDefault="00F0369D" w:rsidP="009C4856">
            <w:pPr>
              <w:jc w:val="center"/>
              <w:rPr>
                <w:b/>
                <w:color w:val="000000"/>
              </w:rPr>
            </w:pPr>
          </w:p>
        </w:tc>
        <w:tc>
          <w:tcPr>
            <w:tcW w:w="1281" w:type="dxa"/>
            <w:shd w:val="clear" w:color="auto" w:fill="auto"/>
          </w:tcPr>
          <w:p w14:paraId="3EEFCFA7" w14:textId="77777777" w:rsidR="00F0369D" w:rsidRPr="0094451A" w:rsidRDefault="00F0369D" w:rsidP="009C4856">
            <w:pPr>
              <w:jc w:val="center"/>
              <w:rPr>
                <w:b/>
                <w:color w:val="000000"/>
              </w:rPr>
            </w:pPr>
          </w:p>
        </w:tc>
      </w:tr>
      <w:tr w:rsidR="00F0369D" w:rsidRPr="0094451A" w14:paraId="435953E4" w14:textId="77777777" w:rsidTr="009137B8">
        <w:trPr>
          <w:trHeight w:val="312"/>
        </w:trPr>
        <w:tc>
          <w:tcPr>
            <w:tcW w:w="709" w:type="dxa"/>
            <w:tcBorders>
              <w:top w:val="single" w:sz="4" w:space="0" w:color="auto"/>
            </w:tcBorders>
          </w:tcPr>
          <w:p w14:paraId="6EF28B43" w14:textId="77777777" w:rsidR="00F0369D" w:rsidRPr="0094451A" w:rsidRDefault="00F0369D" w:rsidP="009C4856">
            <w:pPr>
              <w:jc w:val="right"/>
              <w:rPr>
                <w:b/>
                <w:color w:val="000000"/>
              </w:rPr>
            </w:pPr>
          </w:p>
        </w:tc>
        <w:tc>
          <w:tcPr>
            <w:tcW w:w="8222" w:type="dxa"/>
            <w:gridSpan w:val="4"/>
            <w:shd w:val="clear" w:color="auto" w:fill="auto"/>
            <w:noWrap/>
          </w:tcPr>
          <w:p w14:paraId="49CB49DC" w14:textId="388C06ED" w:rsidR="00F0369D" w:rsidRPr="0094451A" w:rsidRDefault="00F0369D" w:rsidP="009C4856">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281" w:type="dxa"/>
            <w:shd w:val="clear" w:color="auto" w:fill="auto"/>
          </w:tcPr>
          <w:p w14:paraId="16DD502C" w14:textId="77777777" w:rsidR="00F0369D" w:rsidRPr="0094451A" w:rsidRDefault="00F0369D" w:rsidP="009C4856">
            <w:pPr>
              <w:jc w:val="center"/>
              <w:rPr>
                <w:bCs/>
                <w:color w:val="000000"/>
              </w:rPr>
            </w:pPr>
          </w:p>
        </w:tc>
      </w:tr>
      <w:tr w:rsidR="00F0369D" w:rsidRPr="0094451A" w14:paraId="1386906E" w14:textId="77777777" w:rsidTr="009137B8">
        <w:trPr>
          <w:trHeight w:val="261"/>
        </w:trPr>
        <w:tc>
          <w:tcPr>
            <w:tcW w:w="709" w:type="dxa"/>
          </w:tcPr>
          <w:p w14:paraId="3B2AE35F" w14:textId="77777777" w:rsidR="00F0369D" w:rsidRDefault="00F0369D" w:rsidP="009C4856">
            <w:pPr>
              <w:jc w:val="right"/>
              <w:rPr>
                <w:rFonts w:ascii="Arial" w:hAnsi="Arial" w:cs="Arial"/>
                <w:b/>
                <w:sz w:val="22"/>
                <w:szCs w:val="22"/>
              </w:rPr>
            </w:pPr>
          </w:p>
        </w:tc>
        <w:tc>
          <w:tcPr>
            <w:tcW w:w="8222" w:type="dxa"/>
            <w:gridSpan w:val="4"/>
            <w:shd w:val="clear" w:color="auto" w:fill="auto"/>
            <w:noWrap/>
          </w:tcPr>
          <w:p w14:paraId="54F43C9A" w14:textId="69D56905" w:rsidR="00F0369D" w:rsidRPr="0094451A" w:rsidRDefault="00F0369D" w:rsidP="009C485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281" w:type="dxa"/>
            <w:shd w:val="clear" w:color="auto" w:fill="auto"/>
          </w:tcPr>
          <w:p w14:paraId="38C5B391" w14:textId="77777777" w:rsidR="00F0369D" w:rsidRPr="0094451A" w:rsidRDefault="00F0369D" w:rsidP="009C4856">
            <w:pPr>
              <w:jc w:val="center"/>
              <w:rPr>
                <w:bCs/>
                <w:color w:val="000000"/>
              </w:rPr>
            </w:pPr>
          </w:p>
        </w:tc>
      </w:tr>
      <w:tr w:rsidR="00F0369D" w:rsidRPr="0094451A" w14:paraId="56FB072B" w14:textId="77777777" w:rsidTr="009137B8">
        <w:trPr>
          <w:trHeight w:val="266"/>
        </w:trPr>
        <w:tc>
          <w:tcPr>
            <w:tcW w:w="709" w:type="dxa"/>
          </w:tcPr>
          <w:p w14:paraId="7344F534" w14:textId="77777777" w:rsidR="00F0369D" w:rsidRPr="0094451A" w:rsidRDefault="00F0369D" w:rsidP="009C4856">
            <w:pPr>
              <w:jc w:val="right"/>
              <w:rPr>
                <w:b/>
                <w:color w:val="000000"/>
              </w:rPr>
            </w:pPr>
          </w:p>
        </w:tc>
        <w:tc>
          <w:tcPr>
            <w:tcW w:w="8222" w:type="dxa"/>
            <w:gridSpan w:val="4"/>
            <w:shd w:val="clear" w:color="auto" w:fill="auto"/>
            <w:noWrap/>
          </w:tcPr>
          <w:p w14:paraId="2C5F7BC4" w14:textId="77618555" w:rsidR="00F0369D" w:rsidRPr="0094451A" w:rsidRDefault="00F0369D" w:rsidP="009C4856">
            <w:pPr>
              <w:jc w:val="right"/>
              <w:rPr>
                <w:bCs/>
                <w:color w:val="000000"/>
              </w:rPr>
            </w:pPr>
            <w:r w:rsidRPr="0094451A">
              <w:rPr>
                <w:b/>
                <w:color w:val="000000"/>
              </w:rPr>
              <w:t xml:space="preserve">Iš viso bendra kaina su PVM, </w:t>
            </w:r>
            <w:proofErr w:type="spellStart"/>
            <w:r w:rsidRPr="0094451A">
              <w:rPr>
                <w:b/>
                <w:color w:val="000000"/>
              </w:rPr>
              <w:t>Eur</w:t>
            </w:r>
            <w:proofErr w:type="spellEnd"/>
          </w:p>
        </w:tc>
        <w:tc>
          <w:tcPr>
            <w:tcW w:w="1281" w:type="dxa"/>
            <w:shd w:val="clear" w:color="auto" w:fill="auto"/>
          </w:tcPr>
          <w:p w14:paraId="661BE3B2" w14:textId="77777777" w:rsidR="00F0369D" w:rsidRPr="0094451A" w:rsidRDefault="00F0369D" w:rsidP="009C4856">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bookmarkStart w:id="4" w:name="_GoBack"/>
      <w:bookmarkEnd w:id="4"/>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68DD8BE" w14:textId="10BD9131" w:rsidR="00D27F60" w:rsidRDefault="00D27F60" w:rsidP="00707139">
      <w:pPr>
        <w:spacing w:before="60" w:after="60"/>
        <w:rPr>
          <w:rFonts w:ascii="Arial" w:hAnsi="Arial" w:cs="Arial"/>
        </w:rPr>
      </w:pPr>
    </w:p>
    <w:p w14:paraId="5377BC9F" w14:textId="7F474451" w:rsidR="00DA50A7" w:rsidRDefault="00DA50A7" w:rsidP="00707139">
      <w:pPr>
        <w:spacing w:before="60" w:after="60"/>
        <w:rPr>
          <w:rFonts w:ascii="Arial" w:hAnsi="Arial" w:cs="Arial"/>
        </w:rPr>
      </w:pPr>
    </w:p>
    <w:p w14:paraId="6C14E650" w14:textId="77777777" w:rsidR="00DA50A7" w:rsidRDefault="00DA50A7" w:rsidP="00707139">
      <w:pPr>
        <w:spacing w:before="60" w:after="60"/>
        <w:rPr>
          <w:rFonts w:ascii="Arial" w:hAnsi="Arial" w:cs="Arial"/>
        </w:rPr>
      </w:pP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88"/>
        <w:gridCol w:w="3828"/>
        <w:gridCol w:w="2727"/>
      </w:tblGrid>
      <w:tr w:rsidR="00707139" w:rsidRPr="005A455D" w14:paraId="3ED280D2" w14:textId="77777777" w:rsidTr="00194FFF">
        <w:tc>
          <w:tcPr>
            <w:tcW w:w="709" w:type="dxa"/>
            <w:vAlign w:val="center"/>
          </w:tcPr>
          <w:p w14:paraId="3631F1F7" w14:textId="77777777" w:rsidR="00707139" w:rsidRPr="005A455D" w:rsidRDefault="00707139" w:rsidP="0064391E">
            <w:pPr>
              <w:jc w:val="center"/>
              <w:rPr>
                <w:b/>
              </w:rPr>
            </w:pPr>
            <w:r w:rsidRPr="005A455D">
              <w:rPr>
                <w:b/>
              </w:rPr>
              <w:t>Eil. Nr.</w:t>
            </w:r>
          </w:p>
        </w:tc>
        <w:tc>
          <w:tcPr>
            <w:tcW w:w="2688"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3828"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E201CA" w:rsidRPr="005A455D" w14:paraId="6EA5BF37" w14:textId="77777777" w:rsidTr="00194FFF">
        <w:tc>
          <w:tcPr>
            <w:tcW w:w="709" w:type="dxa"/>
            <w:vAlign w:val="center"/>
          </w:tcPr>
          <w:p w14:paraId="281AA562" w14:textId="60F2FFE0" w:rsidR="00E201CA" w:rsidRPr="005A455D" w:rsidRDefault="00E201CA" w:rsidP="00E201CA">
            <w:pPr>
              <w:jc w:val="center"/>
              <w:rPr>
                <w:b/>
              </w:rPr>
            </w:pPr>
            <w:r>
              <w:rPr>
                <w:b/>
              </w:rPr>
              <w:t xml:space="preserve">1. </w:t>
            </w:r>
          </w:p>
        </w:tc>
        <w:tc>
          <w:tcPr>
            <w:tcW w:w="2688" w:type="dxa"/>
            <w:vAlign w:val="center"/>
          </w:tcPr>
          <w:p w14:paraId="21475F9E" w14:textId="3CD58298" w:rsidR="00E201CA" w:rsidRDefault="00194FFF" w:rsidP="00E201CA">
            <w:pPr>
              <w:rPr>
                <w:b/>
              </w:rPr>
            </w:pPr>
            <w:r w:rsidRPr="00323E77">
              <w:rPr>
                <w:rFonts w:eastAsia="Calibri"/>
              </w:rPr>
              <w:t>Automobilio rūšis</w:t>
            </w:r>
          </w:p>
        </w:tc>
        <w:tc>
          <w:tcPr>
            <w:tcW w:w="3828" w:type="dxa"/>
          </w:tcPr>
          <w:p w14:paraId="4A2C0105" w14:textId="03D4E571" w:rsidR="00E201CA" w:rsidRDefault="00194FFF" w:rsidP="00E201CA">
            <w:r w:rsidRPr="00202F7E">
              <w:rPr>
                <w:rFonts w:eastAsia="Calibri"/>
              </w:rPr>
              <w:t>Krovininis automobilis su šaldymo įranga iki 3,5 t  N1 (žr. https://www.e-tar.lt/portal/lt/legalAct/TAR.385773CCCFE8)</w:t>
            </w:r>
          </w:p>
        </w:tc>
        <w:tc>
          <w:tcPr>
            <w:tcW w:w="2727" w:type="dxa"/>
          </w:tcPr>
          <w:p w14:paraId="153007BE" w14:textId="77777777" w:rsidR="00E201CA" w:rsidRPr="007402E5" w:rsidRDefault="00E201CA" w:rsidP="00E201CA">
            <w:pPr>
              <w:rPr>
                <w:bCs/>
              </w:rPr>
            </w:pPr>
          </w:p>
        </w:tc>
      </w:tr>
      <w:tr w:rsidR="00E201CA" w:rsidRPr="00532E60" w14:paraId="30FAF1C9" w14:textId="77777777" w:rsidTr="00194FFF">
        <w:trPr>
          <w:trHeight w:val="797"/>
        </w:trPr>
        <w:tc>
          <w:tcPr>
            <w:tcW w:w="709" w:type="dxa"/>
            <w:vAlign w:val="center"/>
          </w:tcPr>
          <w:p w14:paraId="2CA4D055" w14:textId="3C9B3737" w:rsidR="00E201CA" w:rsidRPr="00386EE6" w:rsidRDefault="00E201CA" w:rsidP="00E201CA">
            <w:pPr>
              <w:jc w:val="center"/>
              <w:rPr>
                <w:b/>
              </w:rPr>
            </w:pPr>
            <w:r w:rsidRPr="00386EE6">
              <w:rPr>
                <w:b/>
              </w:rPr>
              <w:t>2.</w:t>
            </w:r>
          </w:p>
        </w:tc>
        <w:tc>
          <w:tcPr>
            <w:tcW w:w="2688" w:type="dxa"/>
          </w:tcPr>
          <w:p w14:paraId="339C039E" w14:textId="77777777" w:rsidR="00194FFF" w:rsidRDefault="00194FFF" w:rsidP="00E201CA">
            <w:pPr>
              <w:tabs>
                <w:tab w:val="left" w:pos="709"/>
                <w:tab w:val="left" w:pos="851"/>
                <w:tab w:val="left" w:pos="993"/>
              </w:tabs>
              <w:rPr>
                <w:rFonts w:eastAsia="Calibri"/>
              </w:rPr>
            </w:pPr>
          </w:p>
          <w:p w14:paraId="49D910C3" w14:textId="1FA5B84C" w:rsidR="00E201CA" w:rsidRPr="00CF6040" w:rsidRDefault="00194FFF" w:rsidP="00E201CA">
            <w:pPr>
              <w:tabs>
                <w:tab w:val="left" w:pos="709"/>
                <w:tab w:val="left" w:pos="851"/>
                <w:tab w:val="left" w:pos="993"/>
              </w:tabs>
              <w:rPr>
                <w:color w:val="000000" w:themeColor="text1"/>
              </w:rPr>
            </w:pPr>
            <w:r>
              <w:rPr>
                <w:rFonts w:eastAsia="Calibri"/>
              </w:rPr>
              <w:t>Reikalavimai automobiliui</w:t>
            </w:r>
          </w:p>
        </w:tc>
        <w:tc>
          <w:tcPr>
            <w:tcW w:w="3828" w:type="dxa"/>
          </w:tcPr>
          <w:p w14:paraId="2764F869" w14:textId="32F6372B" w:rsidR="00E201CA" w:rsidRPr="00532E60" w:rsidRDefault="00194FFF" w:rsidP="00194FFF">
            <w:pPr>
              <w:jc w:val="both"/>
            </w:pPr>
            <w:r w:rsidRPr="00323E77">
              <w:rPr>
                <w:rFonts w:eastAsia="Calibri"/>
              </w:rPr>
              <w:t xml:space="preserve">Automobilis </w:t>
            </w:r>
            <w:r>
              <w:rPr>
                <w:rFonts w:eastAsia="Calibri"/>
              </w:rPr>
              <w:t>privalo būti pagamintas ne anksčiau kaip 2018 metais.</w:t>
            </w:r>
          </w:p>
        </w:tc>
        <w:tc>
          <w:tcPr>
            <w:tcW w:w="2727" w:type="dxa"/>
          </w:tcPr>
          <w:p w14:paraId="679A9960" w14:textId="77777777" w:rsidR="00E201CA" w:rsidRPr="00532E60" w:rsidRDefault="00E201CA" w:rsidP="00E201CA"/>
        </w:tc>
      </w:tr>
      <w:tr w:rsidR="00194FFF" w:rsidRPr="00532E60" w14:paraId="7D9570AC" w14:textId="77777777" w:rsidTr="00194FFF">
        <w:trPr>
          <w:trHeight w:val="950"/>
        </w:trPr>
        <w:tc>
          <w:tcPr>
            <w:tcW w:w="709" w:type="dxa"/>
            <w:vAlign w:val="center"/>
          </w:tcPr>
          <w:p w14:paraId="186101F9" w14:textId="7439CB09" w:rsidR="00194FFF" w:rsidRPr="00386EE6" w:rsidRDefault="00194FFF" w:rsidP="00E201CA">
            <w:pPr>
              <w:jc w:val="center"/>
              <w:rPr>
                <w:b/>
              </w:rPr>
            </w:pPr>
            <w:r>
              <w:rPr>
                <w:b/>
              </w:rPr>
              <w:t>3.</w:t>
            </w:r>
          </w:p>
        </w:tc>
        <w:tc>
          <w:tcPr>
            <w:tcW w:w="2688" w:type="dxa"/>
          </w:tcPr>
          <w:p w14:paraId="2C8F4506" w14:textId="77777777" w:rsidR="00194FFF" w:rsidRDefault="00194FFF" w:rsidP="00E201CA">
            <w:pPr>
              <w:tabs>
                <w:tab w:val="left" w:pos="709"/>
                <w:tab w:val="left" w:pos="851"/>
                <w:tab w:val="left" w:pos="993"/>
              </w:tabs>
              <w:rPr>
                <w:rFonts w:eastAsia="Calibri"/>
              </w:rPr>
            </w:pPr>
          </w:p>
          <w:p w14:paraId="5C9569EC" w14:textId="6CE872F6" w:rsidR="00194FFF" w:rsidRPr="00CF6040" w:rsidRDefault="00194FFF" w:rsidP="00E201CA">
            <w:pPr>
              <w:tabs>
                <w:tab w:val="left" w:pos="709"/>
                <w:tab w:val="left" w:pos="851"/>
                <w:tab w:val="left" w:pos="993"/>
              </w:tabs>
              <w:rPr>
                <w:color w:val="000000" w:themeColor="text1"/>
              </w:rPr>
            </w:pPr>
            <w:r w:rsidRPr="00323E77">
              <w:rPr>
                <w:rFonts w:eastAsia="Calibri"/>
              </w:rPr>
              <w:t>Kėbulo tipas</w:t>
            </w:r>
          </w:p>
        </w:tc>
        <w:tc>
          <w:tcPr>
            <w:tcW w:w="3828" w:type="dxa"/>
          </w:tcPr>
          <w:p w14:paraId="6B0D72FA" w14:textId="0A523DC9" w:rsidR="00194FFF" w:rsidRPr="00532E60" w:rsidRDefault="00194FFF" w:rsidP="00194FFF">
            <w:pPr>
              <w:jc w:val="both"/>
            </w:pPr>
            <w:r w:rsidRPr="00202F7E">
              <w:rPr>
                <w:color w:val="000000"/>
              </w:rPr>
              <w:t>BAK – sunkvežimis šaldytuvas – transporto priemonė, turinti specialią šaldymo ar šildymo įrangą skirtą prekėms transportuoti reguliuojamoje temperatūroje.</w:t>
            </w:r>
          </w:p>
        </w:tc>
        <w:tc>
          <w:tcPr>
            <w:tcW w:w="2727" w:type="dxa"/>
          </w:tcPr>
          <w:p w14:paraId="7E00BE67" w14:textId="77777777" w:rsidR="00194FFF" w:rsidRPr="00532E60" w:rsidRDefault="00194FFF" w:rsidP="00E201CA"/>
        </w:tc>
      </w:tr>
      <w:tr w:rsidR="00194FFF" w:rsidRPr="00532E60" w14:paraId="767C83B8" w14:textId="77777777" w:rsidTr="00194FFF">
        <w:trPr>
          <w:trHeight w:val="1413"/>
        </w:trPr>
        <w:tc>
          <w:tcPr>
            <w:tcW w:w="709" w:type="dxa"/>
            <w:vAlign w:val="center"/>
          </w:tcPr>
          <w:p w14:paraId="3EE6DD6A" w14:textId="4FB7F59E" w:rsidR="00194FFF" w:rsidRPr="00386EE6" w:rsidRDefault="00194FFF" w:rsidP="00E201CA">
            <w:pPr>
              <w:jc w:val="center"/>
              <w:rPr>
                <w:b/>
              </w:rPr>
            </w:pPr>
            <w:r>
              <w:rPr>
                <w:b/>
              </w:rPr>
              <w:t>4.</w:t>
            </w:r>
          </w:p>
        </w:tc>
        <w:tc>
          <w:tcPr>
            <w:tcW w:w="2688" w:type="dxa"/>
          </w:tcPr>
          <w:p w14:paraId="628AD5BA" w14:textId="77777777" w:rsidR="009137B8" w:rsidRDefault="009137B8" w:rsidP="00E201CA">
            <w:pPr>
              <w:tabs>
                <w:tab w:val="left" w:pos="709"/>
                <w:tab w:val="left" w:pos="851"/>
                <w:tab w:val="left" w:pos="993"/>
              </w:tabs>
            </w:pPr>
          </w:p>
          <w:p w14:paraId="375A0BFE" w14:textId="77777777" w:rsidR="009137B8" w:rsidRDefault="009137B8" w:rsidP="00E201CA">
            <w:pPr>
              <w:tabs>
                <w:tab w:val="left" w:pos="709"/>
                <w:tab w:val="left" w:pos="851"/>
                <w:tab w:val="left" w:pos="993"/>
              </w:tabs>
            </w:pPr>
          </w:p>
          <w:p w14:paraId="39C91322" w14:textId="724760D0" w:rsidR="00194FFF" w:rsidRPr="00CF6040" w:rsidRDefault="00194FFF" w:rsidP="00E201CA">
            <w:pPr>
              <w:tabs>
                <w:tab w:val="left" w:pos="709"/>
                <w:tab w:val="left" w:pos="851"/>
                <w:tab w:val="left" w:pos="993"/>
              </w:tabs>
              <w:rPr>
                <w:color w:val="000000" w:themeColor="text1"/>
              </w:rPr>
            </w:pPr>
            <w:r>
              <w:t>K</w:t>
            </w:r>
            <w:r w:rsidRPr="00220946">
              <w:t>abinos išorė</w:t>
            </w:r>
          </w:p>
        </w:tc>
        <w:tc>
          <w:tcPr>
            <w:tcW w:w="3828" w:type="dxa"/>
          </w:tcPr>
          <w:p w14:paraId="71EFE135" w14:textId="7303E12D" w:rsidR="00194FFF" w:rsidRPr="00532E60" w:rsidRDefault="00194FFF" w:rsidP="00194FFF">
            <w:pPr>
              <w:jc w:val="both"/>
            </w:pPr>
            <w:r w:rsidRPr="00220946">
              <w:t>Trumpa aerodinaminio dizaino</w:t>
            </w:r>
            <w:r>
              <w:t xml:space="preserve">, </w:t>
            </w:r>
            <w:r w:rsidRPr="00220946">
              <w:t>2 valytuvai</w:t>
            </w:r>
            <w:r>
              <w:t xml:space="preserve"> su pertraukiamu režimu, p</w:t>
            </w:r>
            <w:r w:rsidRPr="00220946">
              <w:t xml:space="preserve">riekinio lango </w:t>
            </w:r>
            <w:r>
              <w:t>apiplovimo sistema, i</w:t>
            </w:r>
            <w:r w:rsidRPr="00220946">
              <w:t>šoriniai veidrodėliai – elektra valdomi</w:t>
            </w:r>
            <w:r>
              <w:t>, šildomi.</w:t>
            </w:r>
          </w:p>
        </w:tc>
        <w:tc>
          <w:tcPr>
            <w:tcW w:w="2727" w:type="dxa"/>
          </w:tcPr>
          <w:p w14:paraId="1A9F90A3" w14:textId="77777777" w:rsidR="00194FFF" w:rsidRPr="00532E60" w:rsidRDefault="00194FFF" w:rsidP="00E201CA"/>
        </w:tc>
      </w:tr>
      <w:tr w:rsidR="00194FFF" w:rsidRPr="00532E60" w14:paraId="2E4E62B3" w14:textId="77777777" w:rsidTr="00194FFF">
        <w:trPr>
          <w:trHeight w:val="1691"/>
        </w:trPr>
        <w:tc>
          <w:tcPr>
            <w:tcW w:w="709" w:type="dxa"/>
            <w:vAlign w:val="center"/>
          </w:tcPr>
          <w:p w14:paraId="79ED23E3" w14:textId="76765E24" w:rsidR="00194FFF" w:rsidRPr="00386EE6" w:rsidRDefault="00194FFF" w:rsidP="00194FFF">
            <w:pPr>
              <w:jc w:val="center"/>
              <w:rPr>
                <w:b/>
              </w:rPr>
            </w:pPr>
            <w:r>
              <w:rPr>
                <w:b/>
              </w:rPr>
              <w:t>5.</w:t>
            </w:r>
          </w:p>
        </w:tc>
        <w:tc>
          <w:tcPr>
            <w:tcW w:w="2688" w:type="dxa"/>
          </w:tcPr>
          <w:p w14:paraId="3E3B043A" w14:textId="77777777" w:rsidR="00194FFF" w:rsidRDefault="00194FFF" w:rsidP="00194FFF">
            <w:pPr>
              <w:tabs>
                <w:tab w:val="left" w:pos="709"/>
                <w:tab w:val="left" w:pos="851"/>
                <w:tab w:val="left" w:pos="993"/>
              </w:tabs>
            </w:pPr>
          </w:p>
          <w:p w14:paraId="1EEBE011" w14:textId="77777777" w:rsidR="00194FFF" w:rsidRDefault="00194FFF" w:rsidP="00194FFF">
            <w:pPr>
              <w:tabs>
                <w:tab w:val="left" w:pos="709"/>
                <w:tab w:val="left" w:pos="851"/>
                <w:tab w:val="left" w:pos="993"/>
              </w:tabs>
            </w:pPr>
          </w:p>
          <w:p w14:paraId="511AEC76" w14:textId="77777777" w:rsidR="00194FFF" w:rsidRDefault="00194FFF" w:rsidP="00194FFF">
            <w:pPr>
              <w:tabs>
                <w:tab w:val="left" w:pos="709"/>
                <w:tab w:val="left" w:pos="851"/>
                <w:tab w:val="left" w:pos="993"/>
              </w:tabs>
            </w:pPr>
          </w:p>
          <w:p w14:paraId="2B523030" w14:textId="77777777" w:rsidR="00194FFF" w:rsidRDefault="00194FFF" w:rsidP="00194FFF">
            <w:pPr>
              <w:tabs>
                <w:tab w:val="left" w:pos="709"/>
                <w:tab w:val="left" w:pos="851"/>
                <w:tab w:val="left" w:pos="993"/>
              </w:tabs>
            </w:pPr>
          </w:p>
          <w:p w14:paraId="19B4AAF5" w14:textId="77777777" w:rsidR="00194FFF" w:rsidRDefault="00194FFF" w:rsidP="00194FFF">
            <w:pPr>
              <w:tabs>
                <w:tab w:val="left" w:pos="709"/>
                <w:tab w:val="left" w:pos="851"/>
                <w:tab w:val="left" w:pos="993"/>
              </w:tabs>
            </w:pPr>
          </w:p>
          <w:p w14:paraId="099814C4" w14:textId="77777777" w:rsidR="00194FFF" w:rsidRDefault="00194FFF" w:rsidP="00194FFF">
            <w:pPr>
              <w:tabs>
                <w:tab w:val="left" w:pos="709"/>
                <w:tab w:val="left" w:pos="851"/>
                <w:tab w:val="left" w:pos="993"/>
              </w:tabs>
            </w:pPr>
          </w:p>
          <w:p w14:paraId="4A66DAFB" w14:textId="77777777" w:rsidR="00194FFF" w:rsidRDefault="00194FFF" w:rsidP="00194FFF">
            <w:pPr>
              <w:tabs>
                <w:tab w:val="left" w:pos="709"/>
                <w:tab w:val="left" w:pos="851"/>
                <w:tab w:val="left" w:pos="993"/>
              </w:tabs>
            </w:pPr>
          </w:p>
          <w:p w14:paraId="4D43A2DA" w14:textId="77777777" w:rsidR="00194FFF" w:rsidRDefault="00194FFF" w:rsidP="00194FFF">
            <w:pPr>
              <w:tabs>
                <w:tab w:val="left" w:pos="709"/>
                <w:tab w:val="left" w:pos="851"/>
                <w:tab w:val="left" w:pos="993"/>
              </w:tabs>
            </w:pPr>
          </w:p>
          <w:p w14:paraId="1986B035" w14:textId="3C275DBB" w:rsidR="00194FFF" w:rsidRPr="00CF6040" w:rsidRDefault="00194FFF" w:rsidP="00194FFF">
            <w:pPr>
              <w:tabs>
                <w:tab w:val="left" w:pos="709"/>
                <w:tab w:val="left" w:pos="851"/>
                <w:tab w:val="left" w:pos="993"/>
              </w:tabs>
              <w:rPr>
                <w:color w:val="000000" w:themeColor="text1"/>
              </w:rPr>
            </w:pPr>
            <w:r w:rsidRPr="000F03BD">
              <w:t>Kėbulas</w:t>
            </w:r>
          </w:p>
        </w:tc>
        <w:tc>
          <w:tcPr>
            <w:tcW w:w="3828" w:type="dxa"/>
            <w:vAlign w:val="center"/>
          </w:tcPr>
          <w:p w14:paraId="5F2294BA" w14:textId="30AE7AE0" w:rsidR="00194FFF" w:rsidRPr="00532E60" w:rsidRDefault="00194FFF" w:rsidP="00194FFF">
            <w:pPr>
              <w:jc w:val="both"/>
            </w:pPr>
            <w:proofErr w:type="spellStart"/>
            <w:r w:rsidRPr="00202F7E">
              <w:t>Izoterminis</w:t>
            </w:r>
            <w:proofErr w:type="spellEnd"/>
            <w:r>
              <w:t xml:space="preserve"> vientisas</w:t>
            </w:r>
            <w:r w:rsidRPr="00202F7E">
              <w:t xml:space="preserve"> kėbulas su</w:t>
            </w:r>
            <w:r>
              <w:t xml:space="preserve"> sertifikuota termoizoliacija, dvivėrėmis durimis gale</w:t>
            </w:r>
            <w:r w:rsidRPr="00202F7E">
              <w:t xml:space="preserve">, </w:t>
            </w:r>
            <w:r>
              <w:t>slankiojančiomis</w:t>
            </w:r>
            <w:r w:rsidRPr="00202F7E">
              <w:t xml:space="preserve"> dur</w:t>
            </w:r>
            <w:r>
              <w:t>imis</w:t>
            </w:r>
            <w:r w:rsidRPr="00202F7E">
              <w:t xml:space="preserve"> dešinėje pusėje priekinėje dalyje, </w:t>
            </w:r>
            <w:r>
              <w:t xml:space="preserve">su </w:t>
            </w:r>
            <w:r w:rsidRPr="00202F7E">
              <w:t>krovinių skyriaus apšvietim</w:t>
            </w:r>
            <w:r w:rsidRPr="00633D5D">
              <w:t>u</w:t>
            </w:r>
            <w:r>
              <w:t xml:space="preserve"> (2–3 LED lempos)</w:t>
            </w:r>
            <w:r w:rsidRPr="00633D5D">
              <w:t>, kėbulo vidus iš atsparaus lengvai plaunamo bei dezinfekuojamo metalo ar lydinio, atitinkančio higienos reikalavimus</w:t>
            </w:r>
            <w:r>
              <w:t>, trapai grindyse vandeniui nubėgti.</w:t>
            </w:r>
            <w:r w:rsidRPr="00633D5D">
              <w:t xml:space="preserve"> Kėbulo</w:t>
            </w:r>
            <w:r>
              <w:t xml:space="preserve"> (krovinio)</w:t>
            </w:r>
            <w:r w:rsidRPr="00633D5D">
              <w:t xml:space="preserve"> vidiniai</w:t>
            </w:r>
            <w:r>
              <w:t xml:space="preserve"> </w:t>
            </w:r>
            <w:r w:rsidRPr="00C91054">
              <w:t xml:space="preserve">išmatavimai </w:t>
            </w:r>
            <w:r>
              <w:t xml:space="preserve">ne mažiau </w:t>
            </w:r>
            <w:r w:rsidRPr="00C91054">
              <w:t>(mm): ilgis – 3000; plotis – 1800; aukšt</w:t>
            </w:r>
            <w:r>
              <w:t>is – 2000;</w:t>
            </w:r>
            <w:r w:rsidRPr="00C91054">
              <w:t xml:space="preserve"> ( ± 10 % ).</w:t>
            </w:r>
            <w:r w:rsidRPr="00633D5D">
              <w:t xml:space="preserve"> Šaldymo įrenginys su valdymo pultu kabinoje, su automatiniu temperatūros palaikymu, </w:t>
            </w:r>
            <w:r w:rsidRPr="00633D5D">
              <w:lastRenderedPageBreak/>
              <w:t>temperatūrinis reži</w:t>
            </w:r>
            <w:r>
              <w:t>mas</w:t>
            </w:r>
            <w:r w:rsidRPr="00633D5D">
              <w:t xml:space="preserve"> 0ºC – </w:t>
            </w:r>
            <w:r>
              <w:t>20</w:t>
            </w:r>
            <w:r w:rsidRPr="00633D5D">
              <w:t xml:space="preserve">ºC) / 0ºC – (-18°C). </w:t>
            </w:r>
            <w:r w:rsidRPr="00C91054">
              <w:t>Šaldymo įrenginys turi turėti padidinto oro srauto funkciją, greitesniam temperatūros atstatymui po durų atidarymo. Turi atitikti ATP FNA kategoriją.</w:t>
            </w:r>
          </w:p>
        </w:tc>
        <w:tc>
          <w:tcPr>
            <w:tcW w:w="2727" w:type="dxa"/>
          </w:tcPr>
          <w:p w14:paraId="4CB09B9B" w14:textId="77777777" w:rsidR="00194FFF" w:rsidRPr="00532E60" w:rsidRDefault="00194FFF" w:rsidP="00194FFF"/>
        </w:tc>
      </w:tr>
      <w:tr w:rsidR="00194FFF" w:rsidRPr="00532E60" w14:paraId="21568AED" w14:textId="77777777" w:rsidTr="004500DB">
        <w:trPr>
          <w:trHeight w:val="425"/>
        </w:trPr>
        <w:tc>
          <w:tcPr>
            <w:tcW w:w="709" w:type="dxa"/>
            <w:vAlign w:val="center"/>
          </w:tcPr>
          <w:p w14:paraId="0D88D1AD" w14:textId="03BBFFD3" w:rsidR="00194FFF" w:rsidRPr="00386EE6" w:rsidRDefault="00194FFF" w:rsidP="00194FFF">
            <w:pPr>
              <w:jc w:val="center"/>
              <w:rPr>
                <w:b/>
              </w:rPr>
            </w:pPr>
            <w:r>
              <w:rPr>
                <w:b/>
              </w:rPr>
              <w:t>6.</w:t>
            </w:r>
          </w:p>
        </w:tc>
        <w:tc>
          <w:tcPr>
            <w:tcW w:w="2688" w:type="dxa"/>
          </w:tcPr>
          <w:p w14:paraId="54E09AE2" w14:textId="31834306" w:rsidR="00194FFF" w:rsidRPr="00CF6040" w:rsidRDefault="004500DB" w:rsidP="00194FFF">
            <w:pPr>
              <w:tabs>
                <w:tab w:val="left" w:pos="709"/>
                <w:tab w:val="left" w:pos="851"/>
                <w:tab w:val="left" w:pos="993"/>
              </w:tabs>
              <w:rPr>
                <w:color w:val="000000" w:themeColor="text1"/>
              </w:rPr>
            </w:pPr>
            <w:r w:rsidRPr="00323E77">
              <w:rPr>
                <w:rFonts w:eastAsia="Calibri"/>
              </w:rPr>
              <w:t>Durelių skaičius</w:t>
            </w:r>
          </w:p>
        </w:tc>
        <w:tc>
          <w:tcPr>
            <w:tcW w:w="3828" w:type="dxa"/>
          </w:tcPr>
          <w:p w14:paraId="47A2C36B" w14:textId="0B39BC77" w:rsidR="00194FFF" w:rsidRPr="00532E60" w:rsidRDefault="004500DB" w:rsidP="00194FFF">
            <w:pPr>
              <w:jc w:val="both"/>
            </w:pPr>
            <w:r>
              <w:rPr>
                <w:rFonts w:eastAsia="Calibri"/>
              </w:rPr>
              <w:t>Ne mažiau 2</w:t>
            </w:r>
          </w:p>
        </w:tc>
        <w:tc>
          <w:tcPr>
            <w:tcW w:w="2727" w:type="dxa"/>
          </w:tcPr>
          <w:p w14:paraId="4A2FA840" w14:textId="77777777" w:rsidR="00194FFF" w:rsidRPr="00532E60" w:rsidRDefault="00194FFF" w:rsidP="00194FFF"/>
        </w:tc>
      </w:tr>
      <w:tr w:rsidR="00194FFF" w:rsidRPr="00532E60" w14:paraId="4629EB87" w14:textId="77777777" w:rsidTr="004500DB">
        <w:trPr>
          <w:trHeight w:val="558"/>
        </w:trPr>
        <w:tc>
          <w:tcPr>
            <w:tcW w:w="709" w:type="dxa"/>
            <w:vAlign w:val="center"/>
          </w:tcPr>
          <w:p w14:paraId="0517DEA3" w14:textId="294DD715" w:rsidR="00194FFF" w:rsidRPr="00386EE6" w:rsidRDefault="004500DB" w:rsidP="004500DB">
            <w:pPr>
              <w:jc w:val="center"/>
              <w:rPr>
                <w:b/>
              </w:rPr>
            </w:pPr>
            <w:r>
              <w:rPr>
                <w:b/>
              </w:rPr>
              <w:t>7.</w:t>
            </w:r>
          </w:p>
        </w:tc>
        <w:tc>
          <w:tcPr>
            <w:tcW w:w="2688" w:type="dxa"/>
          </w:tcPr>
          <w:p w14:paraId="5A755C1F" w14:textId="77777777" w:rsidR="004500DB" w:rsidRDefault="004500DB" w:rsidP="00194FFF">
            <w:pPr>
              <w:tabs>
                <w:tab w:val="left" w:pos="709"/>
                <w:tab w:val="left" w:pos="851"/>
                <w:tab w:val="left" w:pos="993"/>
              </w:tabs>
              <w:rPr>
                <w:rFonts w:eastAsia="Calibri"/>
              </w:rPr>
            </w:pPr>
          </w:p>
          <w:p w14:paraId="7FC4C048" w14:textId="6442F84A" w:rsidR="00194FFF" w:rsidRPr="00CF6040" w:rsidRDefault="004500DB" w:rsidP="00194FFF">
            <w:pPr>
              <w:tabs>
                <w:tab w:val="left" w:pos="709"/>
                <w:tab w:val="left" w:pos="851"/>
                <w:tab w:val="left" w:pos="993"/>
              </w:tabs>
              <w:rPr>
                <w:color w:val="000000" w:themeColor="text1"/>
              </w:rPr>
            </w:pPr>
            <w:r w:rsidRPr="00945E3C">
              <w:rPr>
                <w:rFonts w:eastAsia="Calibri"/>
              </w:rPr>
              <w:t>Kėbulo spalva</w:t>
            </w:r>
          </w:p>
        </w:tc>
        <w:tc>
          <w:tcPr>
            <w:tcW w:w="3828" w:type="dxa"/>
          </w:tcPr>
          <w:p w14:paraId="3A118108" w14:textId="0F3DF67D" w:rsidR="00194FFF" w:rsidRPr="00532E60" w:rsidRDefault="004500DB" w:rsidP="00194FFF">
            <w:pPr>
              <w:jc w:val="both"/>
            </w:pPr>
            <w:r w:rsidRPr="00945E3C">
              <w:rPr>
                <w:rFonts w:eastAsia="Calibri"/>
              </w:rPr>
              <w:t>Pilka, sidabrinė, balta</w:t>
            </w:r>
            <w:r>
              <w:rPr>
                <w:rFonts w:eastAsia="Calibri"/>
              </w:rPr>
              <w:t>, tamsiai žalia, tamsiai mėlyna, juoda</w:t>
            </w:r>
            <w:r w:rsidRPr="00945E3C">
              <w:rPr>
                <w:rFonts w:eastAsia="Calibri"/>
              </w:rPr>
              <w:t>. Ant transporto priemonės kėbulo neturi būti reklaminių lipdukų.</w:t>
            </w:r>
          </w:p>
        </w:tc>
        <w:tc>
          <w:tcPr>
            <w:tcW w:w="2727" w:type="dxa"/>
          </w:tcPr>
          <w:p w14:paraId="4C8FDD4F" w14:textId="77777777" w:rsidR="00194FFF" w:rsidRPr="00532E60" w:rsidRDefault="00194FFF" w:rsidP="00194FFF"/>
        </w:tc>
      </w:tr>
      <w:tr w:rsidR="00194FFF" w:rsidRPr="00532E60" w14:paraId="70E856E8" w14:textId="77777777" w:rsidTr="004500DB">
        <w:trPr>
          <w:trHeight w:val="276"/>
        </w:trPr>
        <w:tc>
          <w:tcPr>
            <w:tcW w:w="709" w:type="dxa"/>
            <w:vAlign w:val="center"/>
          </w:tcPr>
          <w:p w14:paraId="5B9DAFD6" w14:textId="3245627A" w:rsidR="00194FFF" w:rsidRPr="00386EE6" w:rsidRDefault="004500DB" w:rsidP="00194FFF">
            <w:pPr>
              <w:jc w:val="center"/>
              <w:rPr>
                <w:b/>
              </w:rPr>
            </w:pPr>
            <w:r>
              <w:rPr>
                <w:b/>
              </w:rPr>
              <w:t>8.</w:t>
            </w:r>
          </w:p>
        </w:tc>
        <w:tc>
          <w:tcPr>
            <w:tcW w:w="2688" w:type="dxa"/>
          </w:tcPr>
          <w:p w14:paraId="4B6F9429" w14:textId="61144345" w:rsidR="00194FFF" w:rsidRPr="00CF6040" w:rsidRDefault="004500DB" w:rsidP="00194FFF">
            <w:pPr>
              <w:tabs>
                <w:tab w:val="left" w:pos="709"/>
                <w:tab w:val="left" w:pos="851"/>
                <w:tab w:val="left" w:pos="993"/>
              </w:tabs>
              <w:rPr>
                <w:color w:val="000000" w:themeColor="text1"/>
              </w:rPr>
            </w:pPr>
            <w:r w:rsidRPr="00945E3C">
              <w:rPr>
                <w:rFonts w:eastAsia="Calibri"/>
              </w:rPr>
              <w:t>Variklio galia, kW</w:t>
            </w:r>
          </w:p>
        </w:tc>
        <w:tc>
          <w:tcPr>
            <w:tcW w:w="3828" w:type="dxa"/>
          </w:tcPr>
          <w:p w14:paraId="1293C68F" w14:textId="14E99496" w:rsidR="00194FFF" w:rsidRPr="00532E60" w:rsidRDefault="004500DB" w:rsidP="00194FFF">
            <w:pPr>
              <w:jc w:val="both"/>
            </w:pPr>
            <w:r w:rsidRPr="00C91054">
              <w:rPr>
                <w:rFonts w:eastAsia="Calibri"/>
              </w:rPr>
              <w:t xml:space="preserve">Ne mažesnė kaip </w:t>
            </w:r>
            <w:r>
              <w:rPr>
                <w:rFonts w:eastAsia="Calibri"/>
              </w:rPr>
              <w:t xml:space="preserve">90 </w:t>
            </w:r>
            <w:r w:rsidRPr="00945E3C">
              <w:rPr>
                <w:rFonts w:eastAsia="Calibri"/>
              </w:rPr>
              <w:t>kW</w:t>
            </w:r>
          </w:p>
        </w:tc>
        <w:tc>
          <w:tcPr>
            <w:tcW w:w="2727" w:type="dxa"/>
          </w:tcPr>
          <w:p w14:paraId="4A35115F" w14:textId="77777777" w:rsidR="00194FFF" w:rsidRPr="00532E60" w:rsidRDefault="00194FFF" w:rsidP="00194FFF"/>
        </w:tc>
      </w:tr>
      <w:tr w:rsidR="00194FFF" w:rsidRPr="00532E60" w14:paraId="00873FDF" w14:textId="77777777" w:rsidTr="004500DB">
        <w:trPr>
          <w:trHeight w:val="422"/>
        </w:trPr>
        <w:tc>
          <w:tcPr>
            <w:tcW w:w="709" w:type="dxa"/>
            <w:vAlign w:val="center"/>
          </w:tcPr>
          <w:p w14:paraId="1D1780BB" w14:textId="4656CD0F" w:rsidR="00194FFF" w:rsidRPr="00386EE6" w:rsidRDefault="004500DB" w:rsidP="00194FFF">
            <w:pPr>
              <w:jc w:val="center"/>
              <w:rPr>
                <w:b/>
              </w:rPr>
            </w:pPr>
            <w:r>
              <w:rPr>
                <w:b/>
              </w:rPr>
              <w:t>9.</w:t>
            </w:r>
          </w:p>
        </w:tc>
        <w:tc>
          <w:tcPr>
            <w:tcW w:w="2688" w:type="dxa"/>
          </w:tcPr>
          <w:p w14:paraId="29B24A1F" w14:textId="0203301C" w:rsidR="00194FFF" w:rsidRPr="00CF6040" w:rsidRDefault="004500DB" w:rsidP="00194FFF">
            <w:pPr>
              <w:tabs>
                <w:tab w:val="left" w:pos="709"/>
                <w:tab w:val="left" w:pos="851"/>
                <w:tab w:val="left" w:pos="993"/>
              </w:tabs>
              <w:rPr>
                <w:color w:val="000000" w:themeColor="text1"/>
              </w:rPr>
            </w:pPr>
            <w:r w:rsidRPr="00323E77">
              <w:rPr>
                <w:rFonts w:eastAsia="Calibri"/>
              </w:rPr>
              <w:t>Pavarų dėžės tipas</w:t>
            </w:r>
          </w:p>
        </w:tc>
        <w:tc>
          <w:tcPr>
            <w:tcW w:w="3828" w:type="dxa"/>
          </w:tcPr>
          <w:p w14:paraId="37D245FA" w14:textId="69A416F9" w:rsidR="00194FFF" w:rsidRPr="00532E60" w:rsidRDefault="004500DB" w:rsidP="00194FFF">
            <w:pPr>
              <w:jc w:val="both"/>
            </w:pPr>
            <w:r>
              <w:rPr>
                <w:rFonts w:eastAsia="Calibri"/>
              </w:rPr>
              <w:t>Mechaninė arba automatizuota.</w:t>
            </w:r>
          </w:p>
        </w:tc>
        <w:tc>
          <w:tcPr>
            <w:tcW w:w="2727" w:type="dxa"/>
          </w:tcPr>
          <w:p w14:paraId="18D362F0" w14:textId="77777777" w:rsidR="00194FFF" w:rsidRPr="00532E60" w:rsidRDefault="00194FFF" w:rsidP="00194FFF"/>
        </w:tc>
      </w:tr>
      <w:tr w:rsidR="00194FFF" w:rsidRPr="00532E60" w14:paraId="0AB4EAB0" w14:textId="77777777" w:rsidTr="004500DB">
        <w:trPr>
          <w:trHeight w:val="1690"/>
        </w:trPr>
        <w:tc>
          <w:tcPr>
            <w:tcW w:w="709" w:type="dxa"/>
            <w:vAlign w:val="center"/>
          </w:tcPr>
          <w:p w14:paraId="2676C484" w14:textId="52B0EC9D" w:rsidR="00194FFF" w:rsidRPr="00386EE6" w:rsidRDefault="004500DB" w:rsidP="00194FFF">
            <w:pPr>
              <w:jc w:val="center"/>
              <w:rPr>
                <w:b/>
              </w:rPr>
            </w:pPr>
            <w:r>
              <w:rPr>
                <w:b/>
              </w:rPr>
              <w:t>10.</w:t>
            </w:r>
          </w:p>
        </w:tc>
        <w:tc>
          <w:tcPr>
            <w:tcW w:w="2688" w:type="dxa"/>
          </w:tcPr>
          <w:p w14:paraId="55C597E2" w14:textId="77777777" w:rsidR="004500DB" w:rsidRDefault="004500DB" w:rsidP="00194FFF">
            <w:pPr>
              <w:tabs>
                <w:tab w:val="left" w:pos="709"/>
                <w:tab w:val="left" w:pos="851"/>
                <w:tab w:val="left" w:pos="993"/>
              </w:tabs>
              <w:rPr>
                <w:rFonts w:eastAsia="Calibri"/>
              </w:rPr>
            </w:pPr>
          </w:p>
          <w:p w14:paraId="4A913D2B" w14:textId="77777777" w:rsidR="004500DB" w:rsidRDefault="004500DB" w:rsidP="00194FFF">
            <w:pPr>
              <w:tabs>
                <w:tab w:val="left" w:pos="709"/>
                <w:tab w:val="left" w:pos="851"/>
                <w:tab w:val="left" w:pos="993"/>
              </w:tabs>
              <w:rPr>
                <w:rFonts w:eastAsia="Calibri"/>
              </w:rPr>
            </w:pPr>
          </w:p>
          <w:p w14:paraId="355DD39F" w14:textId="1DCFDE56" w:rsidR="00194FFF" w:rsidRPr="00CF6040" w:rsidRDefault="004500DB" w:rsidP="00194FFF">
            <w:pPr>
              <w:tabs>
                <w:tab w:val="left" w:pos="709"/>
                <w:tab w:val="left" w:pos="851"/>
                <w:tab w:val="left" w:pos="993"/>
              </w:tabs>
              <w:rPr>
                <w:color w:val="000000" w:themeColor="text1"/>
              </w:rPr>
            </w:pPr>
            <w:r w:rsidRPr="001641C4">
              <w:rPr>
                <w:rFonts w:eastAsia="Calibri"/>
              </w:rPr>
              <w:t>Automobilio valdymo ir saugumo sistemos</w:t>
            </w:r>
          </w:p>
        </w:tc>
        <w:tc>
          <w:tcPr>
            <w:tcW w:w="3828" w:type="dxa"/>
          </w:tcPr>
          <w:p w14:paraId="6B8C422B" w14:textId="3583635D" w:rsidR="00194FFF" w:rsidRPr="00532E60" w:rsidRDefault="004500DB" w:rsidP="00194FFF">
            <w:pPr>
              <w:jc w:val="both"/>
            </w:pPr>
            <w:r w:rsidRPr="001641C4">
              <w:rPr>
                <w:rFonts w:eastAsia="Calibri"/>
              </w:rPr>
              <w:t>Stabdžių antiblokavimo sistema (ABS), elektroninė stabilumo programa (ESP), praslydimo kontrol</w:t>
            </w:r>
            <w:r>
              <w:rPr>
                <w:rFonts w:eastAsia="Calibri"/>
              </w:rPr>
              <w:t>ės sistema (ASR) ar analogiškos, oro kondicionierius (salono klimato kontrolė).</w:t>
            </w:r>
          </w:p>
        </w:tc>
        <w:tc>
          <w:tcPr>
            <w:tcW w:w="2727" w:type="dxa"/>
          </w:tcPr>
          <w:p w14:paraId="7ED3496E" w14:textId="77777777" w:rsidR="00194FFF" w:rsidRPr="00532E60" w:rsidRDefault="00194FFF" w:rsidP="00194FFF"/>
        </w:tc>
      </w:tr>
      <w:tr w:rsidR="00194FFF" w:rsidRPr="00532E60" w14:paraId="1F886727" w14:textId="77777777" w:rsidTr="004500DB">
        <w:trPr>
          <w:trHeight w:val="411"/>
        </w:trPr>
        <w:tc>
          <w:tcPr>
            <w:tcW w:w="709" w:type="dxa"/>
            <w:vAlign w:val="center"/>
          </w:tcPr>
          <w:p w14:paraId="36558A95" w14:textId="2796D151" w:rsidR="00194FFF" w:rsidRPr="00386EE6" w:rsidRDefault="004500DB" w:rsidP="00194FFF">
            <w:pPr>
              <w:jc w:val="center"/>
              <w:rPr>
                <w:b/>
              </w:rPr>
            </w:pPr>
            <w:r>
              <w:rPr>
                <w:b/>
              </w:rPr>
              <w:t>11.</w:t>
            </w:r>
          </w:p>
        </w:tc>
        <w:tc>
          <w:tcPr>
            <w:tcW w:w="2688" w:type="dxa"/>
          </w:tcPr>
          <w:p w14:paraId="0AB2543E" w14:textId="1AA45F41" w:rsidR="00194FFF" w:rsidRPr="00CF6040" w:rsidRDefault="004500DB" w:rsidP="00194FFF">
            <w:pPr>
              <w:tabs>
                <w:tab w:val="left" w:pos="709"/>
                <w:tab w:val="left" w:pos="851"/>
                <w:tab w:val="left" w:pos="993"/>
              </w:tabs>
              <w:rPr>
                <w:color w:val="000000" w:themeColor="text1"/>
              </w:rPr>
            </w:pPr>
            <w:r w:rsidRPr="001641C4">
              <w:t>Saugos diržai</w:t>
            </w:r>
          </w:p>
        </w:tc>
        <w:tc>
          <w:tcPr>
            <w:tcW w:w="3828" w:type="dxa"/>
          </w:tcPr>
          <w:p w14:paraId="76568764" w14:textId="1E39D213" w:rsidR="00194FFF" w:rsidRPr="00532E60" w:rsidRDefault="004500DB" w:rsidP="00194FFF">
            <w:pPr>
              <w:jc w:val="both"/>
            </w:pPr>
            <w:r w:rsidRPr="001641C4">
              <w:t>Saugos diržai vairuotojo ir visoms keleivių vietoms.</w:t>
            </w:r>
          </w:p>
        </w:tc>
        <w:tc>
          <w:tcPr>
            <w:tcW w:w="2727" w:type="dxa"/>
          </w:tcPr>
          <w:p w14:paraId="7095025C" w14:textId="77777777" w:rsidR="00194FFF" w:rsidRPr="00532E60" w:rsidRDefault="00194FFF" w:rsidP="00194FFF"/>
        </w:tc>
      </w:tr>
      <w:tr w:rsidR="00194FFF" w:rsidRPr="00532E60" w14:paraId="32E47845" w14:textId="77777777" w:rsidTr="004500DB">
        <w:trPr>
          <w:trHeight w:val="433"/>
        </w:trPr>
        <w:tc>
          <w:tcPr>
            <w:tcW w:w="709" w:type="dxa"/>
            <w:vAlign w:val="center"/>
          </w:tcPr>
          <w:p w14:paraId="19DA7A5C" w14:textId="6B06B699" w:rsidR="00194FFF" w:rsidRPr="00386EE6" w:rsidRDefault="004500DB" w:rsidP="004500DB">
            <w:pPr>
              <w:rPr>
                <w:b/>
              </w:rPr>
            </w:pPr>
            <w:r>
              <w:rPr>
                <w:b/>
              </w:rPr>
              <w:t>12.</w:t>
            </w:r>
          </w:p>
        </w:tc>
        <w:tc>
          <w:tcPr>
            <w:tcW w:w="2688" w:type="dxa"/>
          </w:tcPr>
          <w:p w14:paraId="1B47184D" w14:textId="77777777" w:rsidR="004500DB" w:rsidRDefault="004500DB" w:rsidP="00194FFF">
            <w:pPr>
              <w:tabs>
                <w:tab w:val="left" w:pos="709"/>
                <w:tab w:val="left" w:pos="851"/>
                <w:tab w:val="left" w:pos="993"/>
              </w:tabs>
            </w:pPr>
          </w:p>
          <w:p w14:paraId="6D94CFCB" w14:textId="70D475D8" w:rsidR="00194FFF" w:rsidRPr="00CF6040" w:rsidRDefault="004500DB" w:rsidP="00194FFF">
            <w:pPr>
              <w:tabs>
                <w:tab w:val="left" w:pos="709"/>
                <w:tab w:val="left" w:pos="851"/>
                <w:tab w:val="left" w:pos="993"/>
              </w:tabs>
              <w:rPr>
                <w:color w:val="000000" w:themeColor="text1"/>
              </w:rPr>
            </w:pPr>
            <w:r w:rsidRPr="001641C4">
              <w:t>Vairas</w:t>
            </w:r>
          </w:p>
        </w:tc>
        <w:tc>
          <w:tcPr>
            <w:tcW w:w="3828" w:type="dxa"/>
          </w:tcPr>
          <w:p w14:paraId="33E81CC4" w14:textId="77777777" w:rsidR="004500DB" w:rsidRPr="001641C4" w:rsidRDefault="004500DB" w:rsidP="004500DB">
            <w:pPr>
              <w:jc w:val="both"/>
            </w:pPr>
            <w:r w:rsidRPr="001641C4">
              <w:t>Vairas kairėje pusėje.</w:t>
            </w:r>
          </w:p>
          <w:p w14:paraId="6AA449B1" w14:textId="77777777" w:rsidR="004500DB" w:rsidRPr="001641C4" w:rsidRDefault="004500DB" w:rsidP="004500DB">
            <w:pPr>
              <w:jc w:val="both"/>
            </w:pPr>
            <w:r w:rsidRPr="001641C4">
              <w:t>Reguliuojamos padėties vairaratis (aukštis</w:t>
            </w:r>
            <w:r>
              <w:t xml:space="preserve"> </w:t>
            </w:r>
            <w:r w:rsidRPr="001641C4">
              <w:t>/</w:t>
            </w:r>
            <w:r>
              <w:t xml:space="preserve"> </w:t>
            </w:r>
            <w:r w:rsidRPr="001641C4">
              <w:t>gylis).</w:t>
            </w:r>
          </w:p>
          <w:p w14:paraId="00F49DAE" w14:textId="3BABF7DF" w:rsidR="00194FFF" w:rsidRPr="00532E60" w:rsidRDefault="004500DB" w:rsidP="004500DB">
            <w:pPr>
              <w:jc w:val="both"/>
            </w:pPr>
            <w:r w:rsidRPr="001641C4">
              <w:t>Vairo stiprintuvas.</w:t>
            </w:r>
          </w:p>
        </w:tc>
        <w:tc>
          <w:tcPr>
            <w:tcW w:w="2727" w:type="dxa"/>
          </w:tcPr>
          <w:p w14:paraId="4351C44C" w14:textId="77777777" w:rsidR="00194FFF" w:rsidRPr="00532E60" w:rsidRDefault="00194FFF" w:rsidP="00194FFF"/>
        </w:tc>
      </w:tr>
      <w:tr w:rsidR="00194FFF" w:rsidRPr="00532E60" w14:paraId="1E1F1801" w14:textId="77777777" w:rsidTr="004500DB">
        <w:trPr>
          <w:trHeight w:val="435"/>
        </w:trPr>
        <w:tc>
          <w:tcPr>
            <w:tcW w:w="709" w:type="dxa"/>
            <w:vAlign w:val="center"/>
          </w:tcPr>
          <w:p w14:paraId="48347F7C" w14:textId="34D4E25A" w:rsidR="00194FFF" w:rsidRPr="00386EE6" w:rsidRDefault="004500DB" w:rsidP="00194FFF">
            <w:pPr>
              <w:jc w:val="center"/>
              <w:rPr>
                <w:b/>
              </w:rPr>
            </w:pPr>
            <w:r>
              <w:rPr>
                <w:b/>
              </w:rPr>
              <w:t>13.</w:t>
            </w:r>
          </w:p>
        </w:tc>
        <w:tc>
          <w:tcPr>
            <w:tcW w:w="2688" w:type="dxa"/>
          </w:tcPr>
          <w:p w14:paraId="210B9BDB" w14:textId="0D4F9C2F" w:rsidR="00194FFF" w:rsidRPr="00CF6040" w:rsidRDefault="004500DB" w:rsidP="00194FFF">
            <w:pPr>
              <w:tabs>
                <w:tab w:val="left" w:pos="709"/>
                <w:tab w:val="left" w:pos="851"/>
                <w:tab w:val="left" w:pos="993"/>
              </w:tabs>
              <w:rPr>
                <w:color w:val="000000" w:themeColor="text1"/>
              </w:rPr>
            </w:pPr>
            <w:r w:rsidRPr="00323E77">
              <w:rPr>
                <w:rFonts w:eastAsia="Calibri"/>
              </w:rPr>
              <w:t>Kuro tipas</w:t>
            </w:r>
          </w:p>
        </w:tc>
        <w:tc>
          <w:tcPr>
            <w:tcW w:w="3828" w:type="dxa"/>
          </w:tcPr>
          <w:p w14:paraId="5566D1EF" w14:textId="17B7FCFD" w:rsidR="00194FFF" w:rsidRPr="00532E60" w:rsidRDefault="004500DB" w:rsidP="00194FFF">
            <w:pPr>
              <w:jc w:val="both"/>
            </w:pPr>
            <w:r w:rsidRPr="00323E77">
              <w:rPr>
                <w:rFonts w:eastAsia="Calibri"/>
              </w:rPr>
              <w:t>Dyzelinas</w:t>
            </w:r>
          </w:p>
        </w:tc>
        <w:tc>
          <w:tcPr>
            <w:tcW w:w="2727" w:type="dxa"/>
          </w:tcPr>
          <w:p w14:paraId="6490B290" w14:textId="77777777" w:rsidR="00194FFF" w:rsidRPr="00532E60" w:rsidRDefault="00194FFF" w:rsidP="00194FFF"/>
        </w:tc>
      </w:tr>
      <w:tr w:rsidR="00194FFF" w:rsidRPr="00532E60" w14:paraId="433B94FE" w14:textId="77777777" w:rsidTr="004500DB">
        <w:trPr>
          <w:trHeight w:val="1135"/>
        </w:trPr>
        <w:tc>
          <w:tcPr>
            <w:tcW w:w="709" w:type="dxa"/>
            <w:vAlign w:val="center"/>
          </w:tcPr>
          <w:p w14:paraId="2DE336B3" w14:textId="2A15B68C" w:rsidR="00194FFF" w:rsidRPr="00386EE6" w:rsidRDefault="004500DB" w:rsidP="00194FFF">
            <w:pPr>
              <w:jc w:val="center"/>
              <w:rPr>
                <w:b/>
              </w:rPr>
            </w:pPr>
            <w:r>
              <w:rPr>
                <w:b/>
              </w:rPr>
              <w:t>14.</w:t>
            </w:r>
          </w:p>
        </w:tc>
        <w:tc>
          <w:tcPr>
            <w:tcW w:w="2688" w:type="dxa"/>
          </w:tcPr>
          <w:p w14:paraId="00B62A34" w14:textId="2C028586" w:rsidR="00194FFF" w:rsidRPr="00CF6040" w:rsidRDefault="004500DB" w:rsidP="00194FFF">
            <w:pPr>
              <w:tabs>
                <w:tab w:val="left" w:pos="709"/>
                <w:tab w:val="left" w:pos="851"/>
                <w:tab w:val="left" w:pos="993"/>
              </w:tabs>
              <w:rPr>
                <w:color w:val="000000" w:themeColor="text1"/>
              </w:rPr>
            </w:pPr>
            <w:r w:rsidRPr="00323E77">
              <w:rPr>
                <w:rFonts w:eastAsia="Calibri"/>
              </w:rPr>
              <w:t>Mažiausias keleivių skaičius (su vairuotoju) be papildomai įrengiamų vietų</w:t>
            </w:r>
          </w:p>
        </w:tc>
        <w:tc>
          <w:tcPr>
            <w:tcW w:w="3828" w:type="dxa"/>
          </w:tcPr>
          <w:p w14:paraId="677DB0B4" w14:textId="799BBF1D" w:rsidR="00194FFF" w:rsidRPr="00532E60" w:rsidRDefault="004500DB" w:rsidP="00194FFF">
            <w:pPr>
              <w:jc w:val="both"/>
            </w:pPr>
            <w:r>
              <w:rPr>
                <w:rFonts w:eastAsia="Calibri"/>
              </w:rPr>
              <w:t>Ne mažiau kaip 3.</w:t>
            </w:r>
          </w:p>
        </w:tc>
        <w:tc>
          <w:tcPr>
            <w:tcW w:w="2727" w:type="dxa"/>
          </w:tcPr>
          <w:p w14:paraId="5BF0E2D9" w14:textId="77777777" w:rsidR="00194FFF" w:rsidRPr="00532E60" w:rsidRDefault="00194FFF" w:rsidP="00194FFF"/>
        </w:tc>
      </w:tr>
      <w:tr w:rsidR="00194FFF" w:rsidRPr="00532E60" w14:paraId="1025FC87" w14:textId="77777777" w:rsidTr="004500DB">
        <w:trPr>
          <w:trHeight w:val="1676"/>
        </w:trPr>
        <w:tc>
          <w:tcPr>
            <w:tcW w:w="709" w:type="dxa"/>
            <w:vAlign w:val="center"/>
          </w:tcPr>
          <w:p w14:paraId="5667A673" w14:textId="3867BE13" w:rsidR="00194FFF" w:rsidRPr="00386EE6" w:rsidRDefault="004500DB" w:rsidP="004500DB">
            <w:pPr>
              <w:rPr>
                <w:b/>
              </w:rPr>
            </w:pPr>
            <w:r>
              <w:rPr>
                <w:b/>
              </w:rPr>
              <w:t>15.</w:t>
            </w:r>
          </w:p>
        </w:tc>
        <w:tc>
          <w:tcPr>
            <w:tcW w:w="2688" w:type="dxa"/>
          </w:tcPr>
          <w:p w14:paraId="46757102" w14:textId="77777777" w:rsidR="004500DB" w:rsidRDefault="004500DB" w:rsidP="00194FFF">
            <w:pPr>
              <w:tabs>
                <w:tab w:val="left" w:pos="709"/>
                <w:tab w:val="left" w:pos="851"/>
                <w:tab w:val="left" w:pos="993"/>
              </w:tabs>
              <w:rPr>
                <w:rFonts w:eastAsia="Calibri"/>
              </w:rPr>
            </w:pPr>
          </w:p>
          <w:p w14:paraId="0AB21EE1" w14:textId="77777777" w:rsidR="004500DB" w:rsidRDefault="004500DB" w:rsidP="00194FFF">
            <w:pPr>
              <w:tabs>
                <w:tab w:val="left" w:pos="709"/>
                <w:tab w:val="left" w:pos="851"/>
                <w:tab w:val="left" w:pos="993"/>
              </w:tabs>
              <w:rPr>
                <w:rFonts w:eastAsia="Calibri"/>
              </w:rPr>
            </w:pPr>
          </w:p>
          <w:p w14:paraId="616974EC" w14:textId="7FC02E03" w:rsidR="00194FFF" w:rsidRPr="00CF6040" w:rsidRDefault="004500DB" w:rsidP="00194FFF">
            <w:pPr>
              <w:tabs>
                <w:tab w:val="left" w:pos="709"/>
                <w:tab w:val="left" w:pos="851"/>
                <w:tab w:val="left" w:pos="993"/>
              </w:tabs>
              <w:rPr>
                <w:color w:val="000000" w:themeColor="text1"/>
              </w:rPr>
            </w:pPr>
            <w:r w:rsidRPr="00323E77">
              <w:rPr>
                <w:rFonts w:eastAsia="Calibri"/>
              </w:rPr>
              <w:t>Multimedijos ir informacinė sistema</w:t>
            </w:r>
          </w:p>
        </w:tc>
        <w:tc>
          <w:tcPr>
            <w:tcW w:w="3828" w:type="dxa"/>
          </w:tcPr>
          <w:p w14:paraId="487B7BCB" w14:textId="77777777" w:rsidR="004500DB" w:rsidRDefault="004500DB" w:rsidP="00194FFF">
            <w:pPr>
              <w:jc w:val="both"/>
              <w:rPr>
                <w:rFonts w:eastAsia="Calibri"/>
              </w:rPr>
            </w:pPr>
          </w:p>
          <w:p w14:paraId="68648B80" w14:textId="77777777" w:rsidR="004500DB" w:rsidRDefault="004500DB" w:rsidP="00194FFF">
            <w:pPr>
              <w:jc w:val="both"/>
              <w:rPr>
                <w:rFonts w:eastAsia="Calibri"/>
              </w:rPr>
            </w:pPr>
          </w:p>
          <w:p w14:paraId="57F5349F" w14:textId="77777777" w:rsidR="004500DB" w:rsidRDefault="004500DB" w:rsidP="00194FFF">
            <w:pPr>
              <w:jc w:val="both"/>
              <w:rPr>
                <w:rFonts w:eastAsia="Calibri"/>
              </w:rPr>
            </w:pPr>
          </w:p>
          <w:p w14:paraId="25B77833" w14:textId="1856E253" w:rsidR="00194FFF" w:rsidRPr="00532E60" w:rsidRDefault="004500DB" w:rsidP="00194FFF">
            <w:pPr>
              <w:jc w:val="both"/>
            </w:pPr>
            <w:r w:rsidRPr="00323E77">
              <w:rPr>
                <w:rFonts w:eastAsia="Calibri"/>
              </w:rPr>
              <w:t>Gamyklinė audiosistema</w:t>
            </w:r>
            <w:r>
              <w:rPr>
                <w:rFonts w:eastAsia="Calibri"/>
              </w:rPr>
              <w:t>.</w:t>
            </w:r>
          </w:p>
        </w:tc>
        <w:tc>
          <w:tcPr>
            <w:tcW w:w="2727" w:type="dxa"/>
          </w:tcPr>
          <w:p w14:paraId="0A8AF6AD" w14:textId="77777777" w:rsidR="00194FFF" w:rsidRPr="00532E60" w:rsidRDefault="00194FFF" w:rsidP="00194FFF"/>
        </w:tc>
      </w:tr>
      <w:tr w:rsidR="004500DB" w:rsidRPr="00532E60" w14:paraId="4207EBF8" w14:textId="77777777" w:rsidTr="004500DB">
        <w:trPr>
          <w:trHeight w:val="1408"/>
        </w:trPr>
        <w:tc>
          <w:tcPr>
            <w:tcW w:w="709" w:type="dxa"/>
            <w:vAlign w:val="center"/>
          </w:tcPr>
          <w:p w14:paraId="6F71061E" w14:textId="5425B52C" w:rsidR="004500DB" w:rsidRDefault="004500DB" w:rsidP="00194FFF">
            <w:pPr>
              <w:jc w:val="center"/>
              <w:rPr>
                <w:b/>
              </w:rPr>
            </w:pPr>
            <w:r>
              <w:rPr>
                <w:b/>
              </w:rPr>
              <w:t>16.</w:t>
            </w:r>
          </w:p>
        </w:tc>
        <w:tc>
          <w:tcPr>
            <w:tcW w:w="2688" w:type="dxa"/>
          </w:tcPr>
          <w:p w14:paraId="3806F477" w14:textId="77777777" w:rsidR="004500DB" w:rsidRDefault="004500DB" w:rsidP="00194FFF">
            <w:pPr>
              <w:tabs>
                <w:tab w:val="left" w:pos="709"/>
                <w:tab w:val="left" w:pos="851"/>
                <w:tab w:val="left" w:pos="993"/>
              </w:tabs>
              <w:rPr>
                <w:rFonts w:eastAsia="Calibri"/>
              </w:rPr>
            </w:pPr>
          </w:p>
          <w:p w14:paraId="531E4E39" w14:textId="77777777" w:rsidR="004500DB" w:rsidRDefault="004500DB" w:rsidP="00194FFF">
            <w:pPr>
              <w:tabs>
                <w:tab w:val="left" w:pos="709"/>
                <w:tab w:val="left" w:pos="851"/>
                <w:tab w:val="left" w:pos="993"/>
              </w:tabs>
              <w:rPr>
                <w:rFonts w:eastAsia="Calibri"/>
              </w:rPr>
            </w:pPr>
          </w:p>
          <w:p w14:paraId="5E04AB3A" w14:textId="14852663" w:rsidR="004500DB" w:rsidRPr="00323E77" w:rsidRDefault="004500DB" w:rsidP="00194FFF">
            <w:pPr>
              <w:tabs>
                <w:tab w:val="left" w:pos="709"/>
                <w:tab w:val="left" w:pos="851"/>
                <w:tab w:val="left" w:pos="993"/>
              </w:tabs>
              <w:rPr>
                <w:rFonts w:eastAsia="Calibri"/>
              </w:rPr>
            </w:pPr>
            <w:r w:rsidRPr="00323E77">
              <w:rPr>
                <w:rFonts w:eastAsia="Calibri"/>
              </w:rPr>
              <w:t>Langai</w:t>
            </w:r>
          </w:p>
        </w:tc>
        <w:tc>
          <w:tcPr>
            <w:tcW w:w="3828" w:type="dxa"/>
          </w:tcPr>
          <w:p w14:paraId="1F057A6A" w14:textId="77777777" w:rsidR="004500DB" w:rsidRPr="001641C4" w:rsidRDefault="004500DB" w:rsidP="004500DB">
            <w:pPr>
              <w:jc w:val="both"/>
            </w:pPr>
            <w:r>
              <w:t>L</w:t>
            </w:r>
            <w:r w:rsidRPr="001641C4">
              <w:t xml:space="preserve">angai </w:t>
            </w:r>
            <w:r>
              <w:t xml:space="preserve">gali būti tamsinti </w:t>
            </w:r>
            <w:r w:rsidRPr="001641C4">
              <w:t xml:space="preserve">(stiklų </w:t>
            </w:r>
            <w:proofErr w:type="spellStart"/>
            <w:r w:rsidRPr="001641C4">
              <w:t>tonavimas</w:t>
            </w:r>
            <w:proofErr w:type="spellEnd"/>
            <w:r w:rsidRPr="001641C4">
              <w:t xml:space="preserve"> gamyklinis, atitinkantis ES leidžiamus standartus).</w:t>
            </w:r>
          </w:p>
          <w:p w14:paraId="7429B37F" w14:textId="3035E49D" w:rsidR="004500DB" w:rsidRPr="00532E60" w:rsidRDefault="004500DB" w:rsidP="004500DB">
            <w:pPr>
              <w:jc w:val="both"/>
            </w:pPr>
            <w:r>
              <w:t>Elektriniai</w:t>
            </w:r>
            <w:r w:rsidRPr="001641C4">
              <w:t xml:space="preserve"> durelių langų kėlikliai.</w:t>
            </w:r>
          </w:p>
        </w:tc>
        <w:tc>
          <w:tcPr>
            <w:tcW w:w="2727" w:type="dxa"/>
          </w:tcPr>
          <w:p w14:paraId="7ED810C2" w14:textId="77777777" w:rsidR="004500DB" w:rsidRPr="00532E60" w:rsidRDefault="004500DB" w:rsidP="00194FFF"/>
        </w:tc>
      </w:tr>
      <w:tr w:rsidR="00194FFF" w:rsidRPr="00532E60" w14:paraId="68A12896" w14:textId="77777777" w:rsidTr="004500DB">
        <w:trPr>
          <w:trHeight w:val="1124"/>
        </w:trPr>
        <w:tc>
          <w:tcPr>
            <w:tcW w:w="709" w:type="dxa"/>
            <w:vAlign w:val="center"/>
          </w:tcPr>
          <w:p w14:paraId="10D66441" w14:textId="7B4B0589" w:rsidR="00194FFF" w:rsidRPr="00386EE6" w:rsidRDefault="004500DB" w:rsidP="00194FFF">
            <w:pPr>
              <w:jc w:val="center"/>
              <w:rPr>
                <w:b/>
              </w:rPr>
            </w:pPr>
            <w:r>
              <w:rPr>
                <w:b/>
              </w:rPr>
              <w:t>17.</w:t>
            </w:r>
          </w:p>
        </w:tc>
        <w:tc>
          <w:tcPr>
            <w:tcW w:w="2688" w:type="dxa"/>
          </w:tcPr>
          <w:p w14:paraId="1EA9D9D6" w14:textId="77777777" w:rsidR="004500DB" w:rsidRDefault="004500DB" w:rsidP="00194FFF">
            <w:pPr>
              <w:tabs>
                <w:tab w:val="left" w:pos="709"/>
                <w:tab w:val="left" w:pos="851"/>
                <w:tab w:val="left" w:pos="993"/>
              </w:tabs>
              <w:rPr>
                <w:rFonts w:eastAsia="Calibri"/>
              </w:rPr>
            </w:pPr>
          </w:p>
          <w:p w14:paraId="0BD0C372" w14:textId="371E40D4" w:rsidR="00194FFF" w:rsidRPr="00CF6040" w:rsidRDefault="004500DB" w:rsidP="00194FFF">
            <w:pPr>
              <w:tabs>
                <w:tab w:val="left" w:pos="709"/>
                <w:tab w:val="left" w:pos="851"/>
                <w:tab w:val="left" w:pos="993"/>
              </w:tabs>
              <w:rPr>
                <w:color w:val="000000" w:themeColor="text1"/>
              </w:rPr>
            </w:pPr>
            <w:r w:rsidRPr="00323E77">
              <w:rPr>
                <w:rFonts w:eastAsia="Calibri"/>
              </w:rPr>
              <w:t>Užraktas</w:t>
            </w:r>
          </w:p>
        </w:tc>
        <w:tc>
          <w:tcPr>
            <w:tcW w:w="3828" w:type="dxa"/>
          </w:tcPr>
          <w:p w14:paraId="15D3CA9F" w14:textId="77777777" w:rsidR="004500DB" w:rsidRPr="00323E77" w:rsidRDefault="004500DB" w:rsidP="004500DB">
            <w:pPr>
              <w:autoSpaceDE w:val="0"/>
            </w:pPr>
            <w:r w:rsidRPr="00323E77">
              <w:rPr>
                <w:rFonts w:eastAsia="Calibri"/>
              </w:rPr>
              <w:t>Centrinis visų durelių užraktas su nuotoliniu valdymu</w:t>
            </w:r>
            <w:r>
              <w:rPr>
                <w:rFonts w:eastAsia="Calibri"/>
              </w:rPr>
              <w:t>.</w:t>
            </w:r>
          </w:p>
          <w:p w14:paraId="62E697DF" w14:textId="7910E39D" w:rsidR="00194FFF" w:rsidRPr="00532E60" w:rsidRDefault="004500DB" w:rsidP="004500DB">
            <w:pPr>
              <w:jc w:val="both"/>
            </w:pPr>
            <w:r w:rsidRPr="00323E77">
              <w:rPr>
                <w:rFonts w:eastAsia="Calibri"/>
              </w:rPr>
              <w:t>Gamyklinė signalizacija</w:t>
            </w:r>
            <w:r>
              <w:rPr>
                <w:rFonts w:eastAsia="Calibri"/>
              </w:rPr>
              <w:t>.</w:t>
            </w:r>
          </w:p>
        </w:tc>
        <w:tc>
          <w:tcPr>
            <w:tcW w:w="2727" w:type="dxa"/>
          </w:tcPr>
          <w:p w14:paraId="435D2D57" w14:textId="77777777" w:rsidR="00194FFF" w:rsidRPr="00532E60" w:rsidRDefault="00194FFF" w:rsidP="00194FFF"/>
        </w:tc>
      </w:tr>
      <w:tr w:rsidR="00194FFF" w:rsidRPr="00532E60" w14:paraId="32C5EC5B" w14:textId="77777777" w:rsidTr="004500DB">
        <w:trPr>
          <w:trHeight w:val="699"/>
        </w:trPr>
        <w:tc>
          <w:tcPr>
            <w:tcW w:w="709" w:type="dxa"/>
            <w:vAlign w:val="center"/>
          </w:tcPr>
          <w:p w14:paraId="71B13BD6" w14:textId="683EDEC3" w:rsidR="00194FFF" w:rsidRPr="00386EE6" w:rsidRDefault="004500DB" w:rsidP="00194FFF">
            <w:pPr>
              <w:jc w:val="center"/>
              <w:rPr>
                <w:b/>
              </w:rPr>
            </w:pPr>
            <w:r>
              <w:rPr>
                <w:b/>
              </w:rPr>
              <w:lastRenderedPageBreak/>
              <w:t>18.</w:t>
            </w:r>
          </w:p>
        </w:tc>
        <w:tc>
          <w:tcPr>
            <w:tcW w:w="2688" w:type="dxa"/>
          </w:tcPr>
          <w:p w14:paraId="66AEBF97" w14:textId="77777777" w:rsidR="004500DB" w:rsidRDefault="004500DB" w:rsidP="00194FFF">
            <w:pPr>
              <w:tabs>
                <w:tab w:val="left" w:pos="709"/>
                <w:tab w:val="left" w:pos="851"/>
                <w:tab w:val="left" w:pos="993"/>
              </w:tabs>
            </w:pPr>
          </w:p>
          <w:p w14:paraId="3751642C" w14:textId="24623598" w:rsidR="00194FFF" w:rsidRPr="00CF6040" w:rsidRDefault="004500DB" w:rsidP="00194FFF">
            <w:pPr>
              <w:tabs>
                <w:tab w:val="left" w:pos="709"/>
                <w:tab w:val="left" w:pos="851"/>
                <w:tab w:val="left" w:pos="993"/>
              </w:tabs>
              <w:rPr>
                <w:color w:val="000000" w:themeColor="text1"/>
              </w:rPr>
            </w:pPr>
            <w:r w:rsidRPr="001641C4">
              <w:t>Matavimo SI sistema</w:t>
            </w:r>
          </w:p>
        </w:tc>
        <w:tc>
          <w:tcPr>
            <w:tcW w:w="3828" w:type="dxa"/>
          </w:tcPr>
          <w:p w14:paraId="487CC752" w14:textId="17E6C140" w:rsidR="00194FFF" w:rsidRPr="00532E60" w:rsidRDefault="004500DB" w:rsidP="00194FFF">
            <w:pPr>
              <w:jc w:val="both"/>
            </w:pPr>
            <w:r w:rsidRPr="001641C4">
              <w:t>Automobilio matavimo prietaisų skalės turi būti išpildyti metrinėje matavimo sistemoje</w:t>
            </w:r>
            <w:r>
              <w:t>.</w:t>
            </w:r>
          </w:p>
        </w:tc>
        <w:tc>
          <w:tcPr>
            <w:tcW w:w="2727" w:type="dxa"/>
          </w:tcPr>
          <w:p w14:paraId="75F77EBC" w14:textId="77777777" w:rsidR="00194FFF" w:rsidRPr="00532E60" w:rsidRDefault="00194FFF" w:rsidP="00194FFF"/>
        </w:tc>
      </w:tr>
      <w:tr w:rsidR="004500DB" w:rsidRPr="00532E60" w14:paraId="3139B0DD" w14:textId="77777777" w:rsidTr="004500DB">
        <w:trPr>
          <w:trHeight w:val="1136"/>
        </w:trPr>
        <w:tc>
          <w:tcPr>
            <w:tcW w:w="709" w:type="dxa"/>
            <w:vAlign w:val="center"/>
          </w:tcPr>
          <w:p w14:paraId="554FE83D" w14:textId="21FD59D6" w:rsidR="004500DB" w:rsidRPr="00386EE6" w:rsidRDefault="004500DB" w:rsidP="004500DB">
            <w:pPr>
              <w:jc w:val="center"/>
              <w:rPr>
                <w:b/>
              </w:rPr>
            </w:pPr>
            <w:r>
              <w:rPr>
                <w:b/>
              </w:rPr>
              <w:t>19.</w:t>
            </w:r>
          </w:p>
        </w:tc>
        <w:tc>
          <w:tcPr>
            <w:tcW w:w="2688" w:type="dxa"/>
            <w:vAlign w:val="center"/>
          </w:tcPr>
          <w:p w14:paraId="758D4EB0" w14:textId="43CD457D" w:rsidR="004500DB" w:rsidRPr="00CF6040" w:rsidRDefault="004500DB" w:rsidP="004500DB">
            <w:pPr>
              <w:tabs>
                <w:tab w:val="left" w:pos="709"/>
                <w:tab w:val="left" w:pos="851"/>
                <w:tab w:val="left" w:pos="993"/>
              </w:tabs>
              <w:rPr>
                <w:color w:val="000000" w:themeColor="text1"/>
              </w:rPr>
            </w:pPr>
            <w:r w:rsidRPr="00323E77">
              <w:rPr>
                <w:rFonts w:eastAsia="Calibri"/>
              </w:rPr>
              <w:t>Minimalūs aplinkos apsaugos kriterijai</w:t>
            </w:r>
          </w:p>
        </w:tc>
        <w:tc>
          <w:tcPr>
            <w:tcW w:w="3828" w:type="dxa"/>
          </w:tcPr>
          <w:p w14:paraId="4910B0AB" w14:textId="10C777E6" w:rsidR="004500DB" w:rsidRPr="00532E60" w:rsidRDefault="004500DB" w:rsidP="004500DB">
            <w:pPr>
              <w:jc w:val="both"/>
            </w:pPr>
            <w:r w:rsidRPr="00323E77">
              <w:rPr>
                <w:rFonts w:eastAsia="Calibri"/>
              </w:rPr>
              <w:t>Transporto priemonė turi</w:t>
            </w:r>
            <w:r>
              <w:rPr>
                <w:rFonts w:eastAsia="Calibri"/>
              </w:rPr>
              <w:t xml:space="preserve"> atitikti ne žemesnį kaip EURO 6</w:t>
            </w:r>
            <w:r w:rsidRPr="00323E77">
              <w:rPr>
                <w:rFonts w:eastAsia="Calibri"/>
              </w:rPr>
              <w:t xml:space="preserve"> standartą</w:t>
            </w:r>
            <w:r>
              <w:rPr>
                <w:rFonts w:eastAsia="Calibri"/>
              </w:rPr>
              <w:t>.</w:t>
            </w:r>
          </w:p>
        </w:tc>
        <w:tc>
          <w:tcPr>
            <w:tcW w:w="2727" w:type="dxa"/>
          </w:tcPr>
          <w:p w14:paraId="20567E58" w14:textId="77777777" w:rsidR="004500DB" w:rsidRPr="00532E60" w:rsidRDefault="004500DB" w:rsidP="004500DB"/>
        </w:tc>
      </w:tr>
      <w:tr w:rsidR="004500DB" w:rsidRPr="00532E60" w14:paraId="6E0AD949" w14:textId="77777777" w:rsidTr="004500DB">
        <w:trPr>
          <w:trHeight w:val="414"/>
        </w:trPr>
        <w:tc>
          <w:tcPr>
            <w:tcW w:w="709" w:type="dxa"/>
            <w:vAlign w:val="center"/>
          </w:tcPr>
          <w:p w14:paraId="1560D8EF" w14:textId="24E4B927" w:rsidR="004500DB" w:rsidRPr="00386EE6" w:rsidRDefault="004500DB" w:rsidP="004500DB">
            <w:pPr>
              <w:jc w:val="center"/>
              <w:rPr>
                <w:b/>
              </w:rPr>
            </w:pPr>
            <w:r>
              <w:rPr>
                <w:b/>
              </w:rPr>
              <w:t>20.</w:t>
            </w:r>
          </w:p>
        </w:tc>
        <w:tc>
          <w:tcPr>
            <w:tcW w:w="2688" w:type="dxa"/>
          </w:tcPr>
          <w:p w14:paraId="6C6480E5" w14:textId="77777777" w:rsidR="009137B8" w:rsidRDefault="009137B8" w:rsidP="004500DB">
            <w:pPr>
              <w:tabs>
                <w:tab w:val="left" w:pos="709"/>
                <w:tab w:val="left" w:pos="851"/>
                <w:tab w:val="left" w:pos="993"/>
              </w:tabs>
            </w:pPr>
          </w:p>
          <w:p w14:paraId="3F6F16FA" w14:textId="4A9FB80C" w:rsidR="004500DB" w:rsidRPr="00CF6040" w:rsidRDefault="004500DB" w:rsidP="004500DB">
            <w:pPr>
              <w:tabs>
                <w:tab w:val="left" w:pos="709"/>
                <w:tab w:val="left" w:pos="851"/>
                <w:tab w:val="left" w:pos="993"/>
              </w:tabs>
              <w:rPr>
                <w:color w:val="000000" w:themeColor="text1"/>
              </w:rPr>
            </w:pPr>
            <w:r w:rsidRPr="001641C4">
              <w:t>Paruošimas žiemai</w:t>
            </w:r>
          </w:p>
        </w:tc>
        <w:tc>
          <w:tcPr>
            <w:tcW w:w="3828" w:type="dxa"/>
          </w:tcPr>
          <w:p w14:paraId="23D1399B" w14:textId="0AA9EAC7" w:rsidR="004500DB" w:rsidRPr="00532E60" w:rsidRDefault="004500DB" w:rsidP="004500DB">
            <w:pPr>
              <w:jc w:val="both"/>
            </w:pPr>
            <w:r w:rsidRPr="001641C4">
              <w:t>Automobilis privalo būti parengtas eksploatacijai žiemos periodui, esant iki –29˚C temperatūrai.</w:t>
            </w:r>
          </w:p>
        </w:tc>
        <w:tc>
          <w:tcPr>
            <w:tcW w:w="2727" w:type="dxa"/>
          </w:tcPr>
          <w:p w14:paraId="2C9BBF69" w14:textId="77777777" w:rsidR="004500DB" w:rsidRPr="00532E60" w:rsidRDefault="004500DB" w:rsidP="004500DB"/>
        </w:tc>
      </w:tr>
      <w:tr w:rsidR="004500DB" w:rsidRPr="00532E60" w14:paraId="7DCFDD21" w14:textId="77777777" w:rsidTr="009137B8">
        <w:trPr>
          <w:trHeight w:val="568"/>
        </w:trPr>
        <w:tc>
          <w:tcPr>
            <w:tcW w:w="709" w:type="dxa"/>
            <w:vAlign w:val="center"/>
          </w:tcPr>
          <w:p w14:paraId="67E592BA" w14:textId="20F013BD" w:rsidR="004500DB" w:rsidRPr="00386EE6" w:rsidRDefault="009137B8" w:rsidP="004500DB">
            <w:pPr>
              <w:jc w:val="center"/>
              <w:rPr>
                <w:b/>
              </w:rPr>
            </w:pPr>
            <w:r>
              <w:rPr>
                <w:b/>
              </w:rPr>
              <w:t>21.</w:t>
            </w:r>
          </w:p>
        </w:tc>
        <w:tc>
          <w:tcPr>
            <w:tcW w:w="2688" w:type="dxa"/>
          </w:tcPr>
          <w:p w14:paraId="6D3AE427" w14:textId="3DFB7B2D" w:rsidR="004500DB" w:rsidRPr="00CF6040" w:rsidRDefault="009137B8" w:rsidP="004500DB">
            <w:pPr>
              <w:tabs>
                <w:tab w:val="left" w:pos="709"/>
                <w:tab w:val="left" w:pos="851"/>
                <w:tab w:val="left" w:pos="993"/>
              </w:tabs>
              <w:rPr>
                <w:color w:val="000000" w:themeColor="text1"/>
              </w:rPr>
            </w:pPr>
            <w:r w:rsidRPr="00323E77">
              <w:rPr>
                <w:rFonts w:eastAsia="Calibri"/>
              </w:rPr>
              <w:t>Automobilio komplektacija</w:t>
            </w:r>
          </w:p>
        </w:tc>
        <w:tc>
          <w:tcPr>
            <w:tcW w:w="3828" w:type="dxa"/>
          </w:tcPr>
          <w:p w14:paraId="074F8C4E" w14:textId="69AE44C2" w:rsidR="004500DB" w:rsidRPr="00532E60" w:rsidRDefault="009137B8" w:rsidP="004500DB">
            <w:pPr>
              <w:jc w:val="both"/>
            </w:pPr>
            <w:r w:rsidRPr="00323E77">
              <w:rPr>
                <w:rFonts w:eastAsia="Calibri"/>
              </w:rPr>
              <w:t>Automobilis privalo būti taip sukomplektuotas, kad jį būtų galima be papildomų priemonių eksploatuoti. Kartu su automobiliu turi būti pateikiamas teisės aktais nustatytus reikalavimus atitinkantis gesintuvas, pirmosios pagalbos rinkinys, avarinio sustojimo ženklas, liemenė su šv</w:t>
            </w:r>
            <w:r>
              <w:rPr>
                <w:rFonts w:eastAsia="Calibri"/>
              </w:rPr>
              <w:t xml:space="preserve">iesą atspindinčiais elementais, atsarginis </w:t>
            </w:r>
            <w:r w:rsidRPr="00323E77">
              <w:rPr>
                <w:rFonts w:eastAsia="Calibri"/>
              </w:rPr>
              <w:t>ratas, keltuvas ir ratų raktas</w:t>
            </w:r>
          </w:p>
        </w:tc>
        <w:tc>
          <w:tcPr>
            <w:tcW w:w="2727" w:type="dxa"/>
          </w:tcPr>
          <w:p w14:paraId="11C6419D" w14:textId="77777777" w:rsidR="004500DB" w:rsidRPr="00532E60" w:rsidRDefault="004500DB" w:rsidP="004500DB"/>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lastRenderedPageBreak/>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0BB2F" w14:textId="77777777" w:rsidR="00D57BEA" w:rsidRDefault="00D57BEA" w:rsidP="00C0552B">
      <w:r>
        <w:separator/>
      </w:r>
    </w:p>
  </w:endnote>
  <w:endnote w:type="continuationSeparator" w:id="0">
    <w:p w14:paraId="7DB07A0B" w14:textId="77777777" w:rsidR="00D57BEA" w:rsidRDefault="00D57BEA"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222F27A5"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9137B8">
      <w:rPr>
        <w:rFonts w:ascii="Arial" w:hAnsi="Arial" w:cs="Arial"/>
        <w:noProof/>
        <w:sz w:val="22"/>
        <w:szCs w:val="22"/>
      </w:rPr>
      <w:t>6</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84644" w14:textId="77777777" w:rsidR="00D57BEA" w:rsidRDefault="00D57BEA" w:rsidP="00C0552B">
      <w:r>
        <w:separator/>
      </w:r>
    </w:p>
  </w:footnote>
  <w:footnote w:type="continuationSeparator" w:id="0">
    <w:p w14:paraId="666EB331" w14:textId="77777777" w:rsidR="00D57BEA" w:rsidRDefault="00D57BEA"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117053"/>
    <w:rsid w:val="001206A5"/>
    <w:rsid w:val="00122225"/>
    <w:rsid w:val="0012605A"/>
    <w:rsid w:val="001305D2"/>
    <w:rsid w:val="00140BFD"/>
    <w:rsid w:val="0015374C"/>
    <w:rsid w:val="001573D3"/>
    <w:rsid w:val="001932F7"/>
    <w:rsid w:val="00194FFF"/>
    <w:rsid w:val="001A6F98"/>
    <w:rsid w:val="001C276F"/>
    <w:rsid w:val="001D075D"/>
    <w:rsid w:val="001D31AB"/>
    <w:rsid w:val="001E0499"/>
    <w:rsid w:val="00220252"/>
    <w:rsid w:val="00234AF3"/>
    <w:rsid w:val="00237A5B"/>
    <w:rsid w:val="00254EE9"/>
    <w:rsid w:val="00277590"/>
    <w:rsid w:val="002B32FE"/>
    <w:rsid w:val="002B5DAF"/>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24FC9"/>
    <w:rsid w:val="004500DB"/>
    <w:rsid w:val="00451B33"/>
    <w:rsid w:val="00463841"/>
    <w:rsid w:val="00473DAB"/>
    <w:rsid w:val="00481266"/>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72B3F"/>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B3CFE"/>
    <w:rsid w:val="007C2B8E"/>
    <w:rsid w:val="007D3C6C"/>
    <w:rsid w:val="00800955"/>
    <w:rsid w:val="00804CDD"/>
    <w:rsid w:val="0081147C"/>
    <w:rsid w:val="008207C2"/>
    <w:rsid w:val="00835E99"/>
    <w:rsid w:val="00865954"/>
    <w:rsid w:val="008758E5"/>
    <w:rsid w:val="008D5371"/>
    <w:rsid w:val="008E3501"/>
    <w:rsid w:val="008E3E2E"/>
    <w:rsid w:val="008F14BC"/>
    <w:rsid w:val="009137B8"/>
    <w:rsid w:val="009150F0"/>
    <w:rsid w:val="00923C73"/>
    <w:rsid w:val="00925900"/>
    <w:rsid w:val="00927F2F"/>
    <w:rsid w:val="00932B9A"/>
    <w:rsid w:val="00936041"/>
    <w:rsid w:val="00972719"/>
    <w:rsid w:val="00974A9E"/>
    <w:rsid w:val="00987B91"/>
    <w:rsid w:val="009917B2"/>
    <w:rsid w:val="009C08C0"/>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A4BBD"/>
    <w:rsid w:val="00CB4456"/>
    <w:rsid w:val="00CC66B9"/>
    <w:rsid w:val="00CE226A"/>
    <w:rsid w:val="00CF6040"/>
    <w:rsid w:val="00D03EEF"/>
    <w:rsid w:val="00D128BB"/>
    <w:rsid w:val="00D25ACE"/>
    <w:rsid w:val="00D27F60"/>
    <w:rsid w:val="00D42AC5"/>
    <w:rsid w:val="00D43BCF"/>
    <w:rsid w:val="00D5037D"/>
    <w:rsid w:val="00D539E0"/>
    <w:rsid w:val="00D56CE3"/>
    <w:rsid w:val="00D57BEA"/>
    <w:rsid w:val="00D6023B"/>
    <w:rsid w:val="00D7141B"/>
    <w:rsid w:val="00DA50A7"/>
    <w:rsid w:val="00DD3A2D"/>
    <w:rsid w:val="00E05693"/>
    <w:rsid w:val="00E201CA"/>
    <w:rsid w:val="00E26CEB"/>
    <w:rsid w:val="00E33439"/>
    <w:rsid w:val="00E370ED"/>
    <w:rsid w:val="00E77213"/>
    <w:rsid w:val="00EA5DCC"/>
    <w:rsid w:val="00EC49F3"/>
    <w:rsid w:val="00EF769F"/>
    <w:rsid w:val="00F0369D"/>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97087-74C2-42F1-B5D6-94681CB8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165</cp:revision>
  <dcterms:created xsi:type="dcterms:W3CDTF">2023-12-12T13:07:00Z</dcterms:created>
  <dcterms:modified xsi:type="dcterms:W3CDTF">2025-03-25T07:06:00Z</dcterms:modified>
</cp:coreProperties>
</file>