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6134D21C" w14:textId="579DAB38" w:rsidR="007D4954" w:rsidRPr="00142A3C" w:rsidRDefault="007D4954" w:rsidP="00FB0E21">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w:t>
          </w:r>
          <w:r w:rsidR="00FB0E21" w:rsidRPr="00FB0E21">
            <w:rPr>
              <w:rFonts w:ascii="Times New Roman" w:hAnsi="Times New Roman" w:cs="Times New Roman"/>
              <w:b/>
              <w:bCs/>
              <w:caps/>
              <w:sz w:val="24"/>
              <w:szCs w:val="24"/>
            </w:rPr>
            <w:t>Ariogalos m. Jovarų g. (12A22)</w:t>
          </w:r>
          <w:r w:rsidR="00FB0E21">
            <w:rPr>
              <w:rFonts w:ascii="Times New Roman" w:hAnsi="Times New Roman" w:cs="Times New Roman"/>
              <w:b/>
              <w:bCs/>
              <w:caps/>
              <w:sz w:val="24"/>
              <w:szCs w:val="24"/>
            </w:rPr>
            <w:t xml:space="preserve"> </w:t>
          </w:r>
          <w:r w:rsidR="00FB0E21" w:rsidRPr="00FB0E21">
            <w:rPr>
              <w:rFonts w:ascii="Times New Roman" w:hAnsi="Times New Roman" w:cs="Times New Roman"/>
              <w:b/>
              <w:bCs/>
              <w:caps/>
              <w:sz w:val="24"/>
              <w:szCs w:val="24"/>
            </w:rPr>
            <w:t>kapitalinio remonto</w:t>
          </w:r>
          <w:r w:rsidR="00FB0E21">
            <w:rPr>
              <w:rFonts w:ascii="Times New Roman" w:hAnsi="Times New Roman" w:cs="Times New Roman"/>
              <w:b/>
              <w:bCs/>
              <w:caps/>
              <w:sz w:val="24"/>
              <w:szCs w:val="24"/>
            </w:rPr>
            <w:t xml:space="preserve"> </w:t>
          </w:r>
          <w:r w:rsidR="00FB0E21" w:rsidRPr="00FB0E21">
            <w:rPr>
              <w:rFonts w:ascii="Times New Roman" w:hAnsi="Times New Roman" w:cs="Times New Roman"/>
              <w:b/>
              <w:bCs/>
              <w:caps/>
              <w:sz w:val="24"/>
              <w:szCs w:val="24"/>
            </w:rPr>
            <w:t>technini</w:t>
          </w:r>
          <w:r w:rsidR="00FB0E21">
            <w:rPr>
              <w:rFonts w:ascii="Times New Roman" w:hAnsi="Times New Roman" w:cs="Times New Roman"/>
              <w:b/>
              <w:bCs/>
              <w:caps/>
              <w:sz w:val="24"/>
              <w:szCs w:val="24"/>
            </w:rPr>
            <w:t>o</w:t>
          </w:r>
          <w:r w:rsidR="00FB0E21" w:rsidRPr="00FB0E21">
            <w:rPr>
              <w:rFonts w:ascii="Times New Roman" w:hAnsi="Times New Roman" w:cs="Times New Roman"/>
              <w:b/>
              <w:bCs/>
              <w:caps/>
              <w:sz w:val="24"/>
              <w:szCs w:val="24"/>
            </w:rPr>
            <w:t xml:space="preserve"> darbo projekt</w:t>
          </w:r>
          <w:r w:rsidR="00FB0E21">
            <w:rPr>
              <w:rFonts w:ascii="Times New Roman" w:hAnsi="Times New Roman" w:cs="Times New Roman"/>
              <w:b/>
              <w:bCs/>
              <w:caps/>
              <w:sz w:val="24"/>
              <w:szCs w:val="24"/>
            </w:rPr>
            <w:t>o</w:t>
          </w:r>
          <w:r w:rsidR="00C47D40">
            <w:rPr>
              <w:rFonts w:ascii="Times New Roman" w:hAnsi="Times New Roman" w:cs="Times New Roman"/>
              <w:b/>
              <w:bCs/>
              <w:caps/>
              <w:sz w:val="24"/>
              <w:szCs w:val="24"/>
            </w:rPr>
            <w:t xml:space="preserve"> </w:t>
          </w:r>
          <w:r w:rsidR="00C04112" w:rsidRPr="000F557C">
            <w:rPr>
              <w:rFonts w:ascii="Times New Roman" w:hAnsi="Times New Roman" w:cs="Times New Roman"/>
              <w:b/>
              <w:bCs/>
              <w:caps/>
              <w:sz w:val="24"/>
              <w:szCs w:val="24"/>
            </w:rPr>
            <w:t>ekspertizės paslauga</w:t>
          </w:r>
          <w:r w:rsidRPr="000F557C">
            <w:rPr>
              <w:rFonts w:ascii="Times New Roman" w:hAnsi="Times New Roman" w:cs="Times New Roman"/>
              <w:b/>
              <w:bCs/>
              <w:caps/>
              <w:sz w:val="24"/>
              <w:szCs w:val="24"/>
            </w:rPr>
            <w:t>“</w:t>
          </w:r>
          <w:r w:rsidR="00142A3C">
            <w:rPr>
              <w:rFonts w:ascii="Times New Roman" w:hAnsi="Times New Roman" w:cs="Times New Roman"/>
              <w:b/>
              <w:bCs/>
              <w:sz w:val="24"/>
              <w:szCs w:val="24"/>
            </w:rPr>
            <w:t xml:space="preserve"> </w:t>
          </w:r>
          <w:r w:rsidR="00FB0E21">
            <w:rPr>
              <w:rFonts w:ascii="Times New Roman" w:hAnsi="Times New Roman" w:cs="Times New Roman"/>
              <w:b/>
              <w:bCs/>
              <w:sz w:val="24"/>
              <w:szCs w:val="24"/>
            </w:rPr>
            <w:t xml:space="preserve"> S</w:t>
          </w:r>
          <w:r w:rsidRPr="007D4954">
            <w:rPr>
              <w:rFonts w:ascii="Times New Roman" w:hAnsi="Times New Roman" w:cs="Times New Roman"/>
              <w:b/>
              <w:bCs/>
              <w:sz w:val="24"/>
              <w:szCs w:val="24"/>
            </w:rPr>
            <w:t>KELBIAMOS APKLAUSOS</w:t>
          </w:r>
          <w:r w:rsidR="00FB0E21">
            <w:rPr>
              <w:rFonts w:ascii="Times New Roman" w:hAnsi="Times New Roman" w:cs="Times New Roman"/>
              <w:b/>
              <w:bCs/>
              <w:sz w:val="24"/>
              <w:szCs w:val="24"/>
            </w:rPr>
            <w:t xml:space="preserve"> </w:t>
          </w:r>
          <w:r w:rsidRPr="007D4954">
            <w:rPr>
              <w:rFonts w:ascii="Times New Roman" w:hAnsi="Times New Roman" w:cs="Times New Roman"/>
              <w:b/>
              <w:bCs/>
              <w:sz w:val="24"/>
              <w:szCs w:val="24"/>
            </w:rPr>
            <w:t>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0B54F4" w:rsidRDefault="007D4954" w:rsidP="007D4954">
              <w:pPr>
                <w:keepNext/>
                <w:keepLines/>
                <w:pBdr>
                  <w:bottom w:val="single" w:sz="4" w:space="2" w:color="ED7D31" w:themeColor="accent2"/>
                </w:pBdr>
                <w:spacing w:after="120" w:line="360" w:lineRule="auto"/>
                <w:ind w:left="432" w:hanging="432"/>
                <w:contextualSpacing/>
                <w:jc w:val="left"/>
                <w:rPr>
                  <w:rFonts w:eastAsiaTheme="majorEastAsia" w:cstheme="minorHAnsi"/>
                  <w:color w:val="262626" w:themeColor="text1" w:themeTint="D9"/>
                  <w:sz w:val="40"/>
                  <w:szCs w:val="40"/>
                </w:rPr>
              </w:pPr>
              <w:r w:rsidRPr="007D4954">
                <w:rPr>
                  <w:rFonts w:eastAsiaTheme="majorEastAsia" w:cstheme="minorHAnsi"/>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007D4954" w:rsidRPr="007D4954">
                  <w:rPr>
                    <w:rFonts w:ascii="Times New Roman" w:hAnsi="Times New Roman" w:cs="Times New Roman"/>
                    <w:noProof/>
                    <w:sz w:val="24"/>
                    <w:szCs w:val="24"/>
                  </w:rPr>
                  <w:t>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Bendrosios nuostatos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007D4954" w:rsidRPr="007D4954">
                  <w:rPr>
                    <w:rFonts w:ascii="Times New Roman" w:hAnsi="Times New Roman" w:cs="Times New Roman"/>
                    <w:noProof/>
                    <w:webHidden/>
                    <w:sz w:val="24"/>
                    <w:szCs w:val="24"/>
                  </w:rPr>
                  <w:fldChar w:fldCharType="end"/>
                </w:r>
              </w:hyperlink>
            </w:p>
            <w:p w14:paraId="75A057B0"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007D4954" w:rsidRPr="007D4954">
                  <w:rPr>
                    <w:rFonts w:ascii="Times New Roman" w:hAnsi="Times New Roman" w:cs="Times New Roman"/>
                    <w:noProof/>
                    <w:sz w:val="24"/>
                    <w:szCs w:val="24"/>
                  </w:rPr>
                  <w:t>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objektas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2350E1AB"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007D4954" w:rsidRPr="007D4954">
                  <w:rPr>
                    <w:rFonts w:ascii="Times New Roman" w:hAnsi="Times New Roman" w:cs="Times New Roman"/>
                    <w:noProof/>
                    <w:sz w:val="24"/>
                    <w:szCs w:val="24"/>
                  </w:rPr>
                  <w:t>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Perkančiosios organizacijos ir tiekėjų bendravimo ir keitimosi informacija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70EE11CB"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007D4954" w:rsidRPr="007D4954">
                  <w:rPr>
                    <w:rFonts w:ascii="Times New Roman" w:hAnsi="Times New Roman" w:cs="Times New Roman"/>
                    <w:noProof/>
                    <w:sz w:val="24"/>
                    <w:szCs w:val="24"/>
                  </w:rPr>
                  <w:t>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dokumentų paaiškinimai ir patikslinimai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007D4954" w:rsidRPr="007D4954">
                  <w:rPr>
                    <w:rFonts w:ascii="Times New Roman" w:hAnsi="Times New Roman" w:cs="Times New Roman"/>
                    <w:noProof/>
                    <w:webHidden/>
                    <w:sz w:val="24"/>
                    <w:szCs w:val="24"/>
                  </w:rPr>
                  <w:fldChar w:fldCharType="end"/>
                </w:r>
              </w:hyperlink>
            </w:p>
            <w:p w14:paraId="782D8D2E"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007D4954" w:rsidRPr="007D4954">
                  <w:rPr>
                    <w:rFonts w:ascii="Times New Roman" w:hAnsi="Times New Roman" w:cs="Times New Roman"/>
                    <w:noProof/>
                    <w:sz w:val="24"/>
                    <w:szCs w:val="24"/>
                  </w:rPr>
                  <w:t>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068E2868"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007D4954" w:rsidRPr="007D4954">
                  <w:rPr>
                    <w:rFonts w:ascii="Times New Roman" w:hAnsi="Times New Roman" w:cs="Times New Roman"/>
                    <w:noProof/>
                    <w:sz w:val="24"/>
                    <w:szCs w:val="24"/>
                  </w:rPr>
                  <w:t>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EBVPD arba laisvos formos deklaracijos pateikimo tvarka ir pateikiamos informacijos patvirtinimo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16B0D9A7"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007D4954" w:rsidRPr="007D4954">
                  <w:rPr>
                    <w:rFonts w:ascii="Times New Roman" w:hAnsi="Times New Roman" w:cs="Times New Roman"/>
                    <w:noProof/>
                    <w:sz w:val="24"/>
                    <w:szCs w:val="24"/>
                  </w:rPr>
                  <w:t>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Rėmimasis ūkio subjektų pajėgumais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007D4954" w:rsidRPr="007D4954">
                  <w:rPr>
                    <w:rFonts w:ascii="Times New Roman" w:hAnsi="Times New Roman" w:cs="Times New Roman"/>
                    <w:noProof/>
                    <w:webHidden/>
                    <w:sz w:val="24"/>
                    <w:szCs w:val="24"/>
                  </w:rPr>
                  <w:fldChar w:fldCharType="end"/>
                </w:r>
              </w:hyperlink>
            </w:p>
            <w:p w14:paraId="199A942B"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007D4954" w:rsidRPr="007D4954">
                  <w:rPr>
                    <w:rFonts w:ascii="Times New Roman" w:hAnsi="Times New Roman" w:cs="Times New Roman"/>
                    <w:noProof/>
                    <w:sz w:val="24"/>
                    <w:szCs w:val="24"/>
                  </w:rPr>
                  <w:t>9.</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Subtiekėjų pasitelkimas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_Toc134703657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5A32E772"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007D4954" w:rsidRPr="007D4954">
                  <w:rPr>
                    <w:rFonts w:ascii="Times New Roman" w:hAnsi="Times New Roman" w:cs="Times New Roman"/>
                    <w:noProof/>
                    <w:sz w:val="24"/>
                    <w:szCs w:val="24"/>
                  </w:rPr>
                  <w:t>10.</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grupės dalyvavimas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_Toc134703658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6DE5F899"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007D4954" w:rsidRPr="007D4954">
                  <w:rPr>
                    <w:rFonts w:ascii="Times New Roman" w:hAnsi="Times New Roman" w:cs="Times New Roman"/>
                    <w:noProof/>
                    <w:sz w:val="24"/>
                    <w:szCs w:val="24"/>
                  </w:rPr>
                  <w:t>11.</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Reikalavimai pasiūlymų rengimui ir pateikimui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_Toc134703659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2A7EECE9"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007D4954" w:rsidRPr="007D4954">
                  <w:rPr>
                    <w:rFonts w:ascii="Times New Roman" w:hAnsi="Times New Roman" w:cs="Times New Roman"/>
                    <w:noProof/>
                    <w:sz w:val="24"/>
                    <w:szCs w:val="24"/>
                  </w:rPr>
                  <w:t>12.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Susipažinimas su pasiūlymais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007D4954" w:rsidRPr="007D4954">
                  <w:rPr>
                    <w:rFonts w:ascii="Times New Roman" w:hAnsi="Times New Roman" w:cs="Times New Roman"/>
                    <w:noProof/>
                    <w:webHidden/>
                    <w:sz w:val="24"/>
                    <w:szCs w:val="24"/>
                  </w:rPr>
                  <w:fldChar w:fldCharType="end"/>
                </w:r>
              </w:hyperlink>
            </w:p>
            <w:p w14:paraId="62536CB3"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007D4954" w:rsidRPr="007D4954">
                  <w:rPr>
                    <w:rFonts w:ascii="Times New Roman" w:hAnsi="Times New Roman" w:cs="Times New Roman"/>
                    <w:noProof/>
                    <w:sz w:val="24"/>
                    <w:szCs w:val="24"/>
                  </w:rPr>
                  <w:t>13.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vertinimas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007D4954" w:rsidRPr="007D4954">
                  <w:rPr>
                    <w:rFonts w:ascii="Times New Roman" w:hAnsi="Times New Roman" w:cs="Times New Roman"/>
                    <w:noProof/>
                    <w:webHidden/>
                    <w:sz w:val="24"/>
                    <w:szCs w:val="24"/>
                  </w:rPr>
                  <w:fldChar w:fldCharType="end"/>
                </w:r>
              </w:hyperlink>
            </w:p>
            <w:p w14:paraId="357E08DD"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007D4954" w:rsidRPr="007D4954">
                  <w:rPr>
                    <w:rFonts w:ascii="Times New Roman" w:hAnsi="Times New Roman" w:cs="Times New Roman"/>
                    <w:noProof/>
                    <w:sz w:val="24"/>
                    <w:szCs w:val="24"/>
                  </w:rPr>
                  <w:t>14.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atmetimo pagrindai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007D4954" w:rsidRPr="007D4954">
                  <w:rPr>
                    <w:rFonts w:ascii="Times New Roman" w:hAnsi="Times New Roman" w:cs="Times New Roman"/>
                    <w:noProof/>
                    <w:webHidden/>
                    <w:sz w:val="24"/>
                    <w:szCs w:val="24"/>
                  </w:rPr>
                  <w:fldChar w:fldCharType="end"/>
                </w:r>
              </w:hyperlink>
            </w:p>
            <w:p w14:paraId="3F26C719"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007D4954" w:rsidRPr="007D4954">
                  <w:rPr>
                    <w:rFonts w:ascii="Times New Roman" w:hAnsi="Times New Roman" w:cs="Times New Roman"/>
                    <w:noProof/>
                    <w:sz w:val="24"/>
                    <w:szCs w:val="24"/>
                  </w:rPr>
                  <w:t>15.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eilė ir laimėtojo nustatymas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4DB0E87E"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007D4954" w:rsidRPr="007D4954">
                  <w:rPr>
                    <w:rFonts w:ascii="Times New Roman" w:hAnsi="Times New Roman" w:cs="Times New Roman"/>
                    <w:noProof/>
                    <w:sz w:val="24"/>
                    <w:szCs w:val="24"/>
                  </w:rPr>
                  <w:t>16.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Informavimas apie pirkimo procedūrų rezultatus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16D3FE85"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007D4954" w:rsidRPr="007D4954">
                  <w:rPr>
                    <w:rFonts w:ascii="Times New Roman" w:hAnsi="Times New Roman" w:cs="Times New Roman"/>
                    <w:noProof/>
                    <w:sz w:val="24"/>
                    <w:szCs w:val="24"/>
                  </w:rPr>
                  <w:t>17.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Sutarties sudarymas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5DD7F880" w14:textId="77777777" w:rsidR="007D4954" w:rsidRPr="007D4954" w:rsidRDefault="0038240B"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007D4954" w:rsidRPr="007D4954">
                  <w:rPr>
                    <w:rFonts w:ascii="Times New Roman" w:hAnsi="Times New Roman" w:cs="Times New Roman"/>
                    <w:noProof/>
                    <w:sz w:val="24"/>
                    <w:szCs w:val="24"/>
                  </w:rPr>
                  <w:t>18.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Teisė ginčyti perkančiosios organizacijos veiksmus ar priimtus sprendimus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007D4954"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0" w:name="_Toc134703649"/>
          <w:bookmarkStart w:id="1" w:name="_Toc335201954"/>
          <w:r w:rsidRPr="007D4954">
            <w:rPr>
              <w:rFonts w:ascii="Times New Roman" w:eastAsiaTheme="majorEastAsia" w:hAnsi="Times New Roman" w:cs="Times New Roman"/>
              <w:b/>
              <w:bCs/>
              <w:color w:val="000000" w:themeColor="text1"/>
              <w:sz w:val="24"/>
              <w:szCs w:val="24"/>
            </w:rPr>
            <w:lastRenderedPageBreak/>
            <w:t>Sąvokos ir sutrumpinimai</w:t>
          </w:r>
          <w:bookmarkEnd w:id="0"/>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2" w:name="_Hlk189557278"/>
          <w:r w:rsidRPr="000F557C">
            <w:rPr>
              <w:rFonts w:ascii="Times New Roman" w:hAnsi="Times New Roman" w:cs="Times New Roman"/>
              <w:sz w:val="24"/>
              <w:szCs w:val="24"/>
            </w:rPr>
            <w:t xml:space="preserve">perkančiosios organizacijos </w:t>
          </w:r>
          <w:bookmarkEnd w:id="2"/>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pajėgumais remiamasi </w:t>
          </w:r>
          <w:r w:rsidRPr="007D4954">
            <w:rPr>
              <w:rFonts w:ascii="Times New Roman" w:hAnsi="Times New Roman" w:cs="Times New Roman"/>
              <w:sz w:val="24"/>
              <w:szCs w:val="24"/>
            </w:rPr>
            <w:t xml:space="preserve">– fizinis ar juridinis asmuo, kurio </w:t>
          </w:r>
          <w:r w:rsidRPr="007D495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Kvazisubtiekėjas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3" w:name="_Toc134703650"/>
          <w:bookmarkEnd w:id="1"/>
          <w:r w:rsidRPr="007D4954">
            <w:rPr>
              <w:rFonts w:ascii="Times New Roman" w:eastAsiaTheme="majorEastAsia" w:hAnsi="Times New Roman" w:cs="Times New Roman"/>
              <w:b/>
              <w:bCs/>
              <w:color w:val="000000" w:themeColor="text1"/>
              <w:sz w:val="24"/>
              <w:szCs w:val="24"/>
            </w:rPr>
            <w:t>Bendrosios nuostatos</w:t>
          </w:r>
          <w:bookmarkEnd w:id="3"/>
        </w:p>
        <w:p w14:paraId="0DD690F0" w14:textId="47A143F2"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EE29F4">
            <w:rPr>
              <w:rFonts w:ascii="Times New Roman" w:eastAsia="Calibri" w:hAnsi="Times New Roman" w:cs="Times New Roman"/>
              <w:sz w:val="24"/>
              <w:szCs w:val="24"/>
            </w:rPr>
            <w:t>„</w:t>
          </w:r>
          <w:r w:rsidR="00384F4D" w:rsidRPr="00384F4D">
            <w:rPr>
              <w:rFonts w:ascii="Times New Roman" w:hAnsi="Times New Roman" w:cs="Times New Roman"/>
              <w:caps/>
              <w:sz w:val="24"/>
              <w:szCs w:val="24"/>
            </w:rPr>
            <w:t xml:space="preserve">ARIOGALOS M. JOVARŲ G. (12A22) </w:t>
          </w:r>
          <w:r w:rsidR="00C47D40" w:rsidRPr="00C47D40">
            <w:rPr>
              <w:rFonts w:ascii="Times New Roman" w:hAnsi="Times New Roman" w:cs="Times New Roman"/>
              <w:caps/>
              <w:sz w:val="24"/>
              <w:szCs w:val="24"/>
            </w:rPr>
            <w:t>kapitalinio remonto techninio darbo projekto 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lastRenderedPageBreak/>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patikslina pirkimo dokumentus, naujesni pakeitimai turi pirmenybę prieš ankstesnius pakeitimus. Tiekėjai turi vadovautis naujausia paskelbta pirkimo dokumentų versija ir naujausiais pirkimo dokumentų paaiškinimais bei patikslinimais.</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4" w:name="_Ref39426332"/>
          <w:bookmarkStart w:id="5" w:name="_Ref39426338"/>
          <w:bookmarkStart w:id="6" w:name="_Toc134703651"/>
          <w:r w:rsidRPr="007D4954">
            <w:rPr>
              <w:rFonts w:ascii="Times New Roman" w:eastAsiaTheme="majorEastAsia" w:hAnsi="Times New Roman" w:cs="Times New Roman"/>
              <w:b/>
              <w:bCs/>
              <w:color w:val="000000" w:themeColor="text1"/>
              <w:sz w:val="24"/>
              <w:szCs w:val="24"/>
            </w:rPr>
            <w:t>Pirkimo objektas</w:t>
          </w:r>
          <w:bookmarkEnd w:id="4"/>
          <w:bookmarkEnd w:id="5"/>
          <w:bookmarkEnd w:id="6"/>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7" w:name="_Ref38446847"/>
          <w:bookmarkStart w:id="8" w:name="_Ref38446850"/>
          <w:bookmarkStart w:id="9"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7"/>
          <w:bookmarkEnd w:id="8"/>
          <w:bookmarkEnd w:id="9"/>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neteikia tiekėjams pirkimo dokumentų popierinio varianto. Tiekėjai turi atidžiai stebėti CVP IS talpinamus pirkimo dokumentų paaiškinimus bei papildymus,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0" w:name="_Hlk189557578"/>
          <w:r w:rsidRPr="000F557C">
            <w:rPr>
              <w:rFonts w:ascii="Times New Roman" w:hAnsi="Times New Roman" w:cs="Times New Roman"/>
              <w:sz w:val="24"/>
              <w:szCs w:val="24"/>
            </w:rPr>
            <w:t>Perkančio</w:t>
          </w:r>
          <w:r>
            <w:rPr>
              <w:rFonts w:ascii="Times New Roman" w:hAnsi="Times New Roman" w:cs="Times New Roman"/>
              <w:sz w:val="24"/>
              <w:szCs w:val="24"/>
            </w:rPr>
            <w:t xml:space="preserve">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0"/>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1" w:name="_Ref38446835"/>
          <w:bookmarkStart w:id="12"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1"/>
          <w:bookmarkEnd w:id="12"/>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3"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3"/>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4"/>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lastRenderedPageBreak/>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7D4954">
            <w:rPr>
              <w:rFonts w:ascii="Times New Roman" w:eastAsiaTheme="majorEastAsia" w:hAnsi="Times New Roman" w:cs="Times New Roman"/>
              <w:b/>
              <w:bCs/>
              <w:color w:val="000000" w:themeColor="text1"/>
              <w:sz w:val="24"/>
              <w:szCs w:val="24"/>
            </w:rPr>
            <w:t>Tiekėjų pašalinimo pagrindai</w:t>
          </w:r>
          <w:bookmarkEnd w:id="15"/>
          <w:bookmarkEnd w:id="16"/>
          <w:bookmarkEnd w:id="17"/>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8"/>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ūkio subjektų, kurių pajėgumais tiekėjas remiasi</w:t>
          </w:r>
          <w:r w:rsidRPr="007D4954">
            <w:rPr>
              <w:rFonts w:ascii="Times New Roman" w:eastAsiaTheme="minorHAnsi" w:hAnsi="Times New Roman" w:cs="Times New Roman"/>
              <w:sz w:val="24"/>
              <w:szCs w:val="24"/>
            </w:rPr>
            <w:t xml:space="preserve"> ir, jei taikoma, </w:t>
          </w:r>
          <w:bookmarkStart w:id="19"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19"/>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pajėgumais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w:t>
          </w:r>
          <w:r w:rsidRPr="007D4954">
            <w:rPr>
              <w:rFonts w:ascii="Times New Roman" w:hAnsi="Times New Roman" w:cs="Times New Roman"/>
              <w:color w:val="000000" w:themeColor="text1"/>
              <w:sz w:val="24"/>
              <w:szCs w:val="24"/>
            </w:rPr>
            <w:lastRenderedPageBreak/>
            <w:t xml:space="preserve">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7D4954">
            <w:rPr>
              <w:rFonts w:ascii="Times New Roman" w:hAnsi="Times New Roman" w:cs="Times New Roman"/>
              <w:i/>
              <w:iCs/>
              <w:sz w:val="24"/>
              <w:szCs w:val="24"/>
            </w:rPr>
            <w:t>Apostille</w:t>
          </w:r>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D4954">
            <w:rPr>
              <w:rFonts w:ascii="Times New Roman" w:hAnsi="Times New Roman" w:cs="Times New Roman"/>
              <w:i/>
              <w:iCs/>
              <w:sz w:val="24"/>
              <w:szCs w:val="24"/>
            </w:rPr>
            <w:t>Apostille</w:t>
          </w:r>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5" w:name="_Toc134703656"/>
          <w:r w:rsidRPr="007D4954">
            <w:rPr>
              <w:rFonts w:ascii="Times New Roman" w:eastAsiaTheme="majorEastAsia" w:hAnsi="Times New Roman" w:cs="Times New Roman"/>
              <w:b/>
              <w:bCs/>
              <w:color w:val="000000" w:themeColor="text1"/>
              <w:sz w:val="24"/>
              <w:szCs w:val="24"/>
            </w:rPr>
            <w:t>Rėmimasis ūkio subjektų pajėgumais</w:t>
          </w:r>
          <w:bookmarkEnd w:id="25"/>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(kvazisubtiekėjai).</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26" w:name="_Hlk86173359"/>
          <w:r w:rsidRPr="007D4954">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26"/>
          <w:r w:rsidRPr="007D4954">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S</w:t>
          </w:r>
          <w:r w:rsidRPr="007D495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7" w:name="_Toc134703657"/>
          <w:r w:rsidRPr="007D4954">
            <w:rPr>
              <w:rFonts w:ascii="Times New Roman" w:eastAsiaTheme="majorEastAsia" w:hAnsi="Times New Roman" w:cs="Times New Roman"/>
              <w:b/>
              <w:bCs/>
              <w:color w:val="000000" w:themeColor="text1"/>
              <w:sz w:val="24"/>
              <w:szCs w:val="24"/>
            </w:rPr>
            <w:t>Subtiekėjų pasitelkimas</w:t>
          </w:r>
          <w:bookmarkEnd w:id="27"/>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8" w:name="_Ref39668380"/>
          <w:bookmarkStart w:id="29" w:name="_Ref39668383"/>
          <w:bookmarkStart w:id="30" w:name="_Toc134703658"/>
          <w:r w:rsidRPr="007D4954">
            <w:rPr>
              <w:rFonts w:ascii="Times New Roman" w:eastAsiaTheme="majorEastAsia" w:hAnsi="Times New Roman" w:cs="Times New Roman"/>
              <w:b/>
              <w:bCs/>
              <w:color w:val="000000" w:themeColor="text1"/>
              <w:sz w:val="24"/>
              <w:szCs w:val="24"/>
            </w:rPr>
            <w:t>Tiekėjų grupės dalyvavimas</w:t>
          </w:r>
          <w:bookmarkEnd w:id="28"/>
          <w:bookmarkEnd w:id="29"/>
          <w:bookmarkEnd w:id="30"/>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1" w:name="_Toc85698576"/>
          <w:bookmarkStart w:id="32" w:name="_Toc86176527"/>
          <w:bookmarkStart w:id="33"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1"/>
          <w:bookmarkEnd w:id="32"/>
          <w:bookmarkEnd w:id="33"/>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 xml:space="preserve">Pasiūlymas turi būti pateiktas iki skelbime nurodyto pasiūlymo pateikimo termino pabaigos. Pasiūlymas turi būti parengtas ir pateiktas pagal pirkimo sąlygų reikalavimus, užpildant pasiūlymo formą. Jeigu </w:t>
          </w:r>
          <w:r w:rsidRPr="007D4954">
            <w:rPr>
              <w:rFonts w:ascii="Times New Roman" w:hAnsi="Times New Roman" w:cs="Times New Roman"/>
              <w:sz w:val="24"/>
              <w:szCs w:val="24"/>
            </w:rPr>
            <w:lastRenderedPageBreak/>
            <w:t>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lastRenderedPageBreak/>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4" w:name="_Toc134703660"/>
          <w:r w:rsidRPr="007D4954">
            <w:rPr>
              <w:rFonts w:ascii="Times New Roman" w:eastAsiaTheme="majorEastAsia" w:hAnsi="Times New Roman" w:cs="Times New Roman"/>
              <w:b/>
              <w:bCs/>
              <w:color w:val="000000" w:themeColor="text1"/>
              <w:sz w:val="24"/>
              <w:szCs w:val="24"/>
            </w:rPr>
            <w:t>Susipažinimas su pasiūlymais</w:t>
          </w:r>
          <w:bookmarkEnd w:id="34"/>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w:t>
          </w:r>
          <w:r w:rsidRPr="007D4954">
            <w:rPr>
              <w:rFonts w:ascii="Times New Roman" w:hAnsi="Times New Roman" w:cs="Times New Roman"/>
              <w:b/>
              <w:sz w:val="24"/>
              <w:szCs w:val="24"/>
            </w:rPr>
            <w:lastRenderedPageBreak/>
            <w:t xml:space="preserve">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5"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5"/>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6" w:name="_GALUTINIŲ_PASIŪLYMŲ_VERTINIMAS"/>
          <w:bookmarkStart w:id="37" w:name="_Toc85698580"/>
          <w:bookmarkStart w:id="38" w:name="_Toc86176531"/>
          <w:bookmarkStart w:id="39" w:name="_Toc134703661"/>
          <w:bookmarkEnd w:id="36"/>
          <w:r w:rsidRPr="007D4954">
            <w:rPr>
              <w:rFonts w:ascii="Times New Roman" w:eastAsiaTheme="majorEastAsia" w:hAnsi="Times New Roman" w:cs="Times New Roman"/>
              <w:b/>
              <w:bCs/>
              <w:color w:val="000000" w:themeColor="text1"/>
              <w:sz w:val="24"/>
              <w:szCs w:val="24"/>
            </w:rPr>
            <w:t>Pasiūlymų vertinimas</w:t>
          </w:r>
          <w:bookmarkEnd w:id="37"/>
          <w:bookmarkEnd w:id="38"/>
          <w:bookmarkEnd w:id="39"/>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0"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1" w:name="_Toc85698581"/>
          <w:bookmarkStart w:id="42" w:name="_Toc86176532"/>
          <w:bookmarkStart w:id="43" w:name="_Toc134703662"/>
          <w:r w:rsidRPr="007D4954">
            <w:rPr>
              <w:rFonts w:ascii="Times New Roman" w:eastAsiaTheme="majorEastAsia" w:hAnsi="Times New Roman" w:cs="Times New Roman"/>
              <w:b/>
              <w:bCs/>
              <w:color w:val="000000" w:themeColor="text1"/>
              <w:sz w:val="24"/>
              <w:szCs w:val="24"/>
            </w:rPr>
            <w:t xml:space="preserve">Pasiūlymų atmetimo </w:t>
          </w:r>
          <w:bookmarkEnd w:id="40"/>
          <w:bookmarkEnd w:id="41"/>
          <w:bookmarkEnd w:id="42"/>
          <w:r w:rsidRPr="007D4954">
            <w:rPr>
              <w:rFonts w:ascii="Times New Roman" w:eastAsiaTheme="majorEastAsia" w:hAnsi="Times New Roman" w:cs="Times New Roman"/>
              <w:b/>
              <w:bCs/>
              <w:color w:val="000000" w:themeColor="text1"/>
              <w:sz w:val="24"/>
              <w:szCs w:val="24"/>
            </w:rPr>
            <w:t>pagrindai</w:t>
          </w:r>
          <w:bookmarkEnd w:id="43"/>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lastRenderedPageBreak/>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4"/>
          <w:bookmarkEnd w:id="45"/>
          <w:bookmarkEnd w:id="46"/>
          <w:bookmarkEnd w:id="47"/>
          <w:bookmarkEnd w:id="48"/>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9" w:name="_Ref40443308"/>
          <w:bookmarkStart w:id="50" w:name="_Toc48053181"/>
          <w:bookmarkStart w:id="51" w:name="_Toc85698583"/>
          <w:bookmarkStart w:id="52" w:name="_Toc86176534"/>
          <w:bookmarkStart w:id="53"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4"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5" w:name="_Toc85698584"/>
          <w:bookmarkStart w:id="56" w:name="_Toc86176535"/>
          <w:bookmarkStart w:id="57" w:name="_Toc124749448"/>
          <w:bookmarkStart w:id="58" w:name="_Toc134703665"/>
          <w:r w:rsidRPr="007D4954">
            <w:rPr>
              <w:rFonts w:ascii="Times New Roman" w:eastAsiaTheme="majorEastAsia" w:hAnsi="Times New Roman" w:cs="Times New Roman"/>
              <w:b/>
              <w:bCs/>
              <w:color w:val="000000" w:themeColor="text1"/>
              <w:sz w:val="24"/>
              <w:szCs w:val="24"/>
            </w:rPr>
            <w:t>Sutarties sudarymas</w:t>
          </w:r>
          <w:bookmarkEnd w:id="54"/>
          <w:bookmarkEnd w:id="55"/>
          <w:bookmarkEnd w:id="56"/>
          <w:bookmarkEnd w:id="57"/>
          <w:bookmarkEnd w:id="58"/>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lastRenderedPageBreak/>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59" w:name="_Toc85698585"/>
          <w:bookmarkStart w:id="60" w:name="_Toc86176536"/>
          <w:bookmarkStart w:id="61" w:name="_Toc124749449"/>
          <w:bookmarkStart w:id="62"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59"/>
          <w:bookmarkEnd w:id="60"/>
          <w:bookmarkEnd w:id="61"/>
          <w:bookmarkEnd w:id="62"/>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18ACC6AD" w14:textId="124820D0" w:rsidR="00D526C8" w:rsidRPr="004E4E1A" w:rsidRDefault="00C006CB" w:rsidP="00FB0E21">
          <w:pPr>
            <w:pStyle w:val="Body2"/>
            <w:spacing w:line="480" w:lineRule="auto"/>
            <w:jc w:val="center"/>
            <w:rPr>
              <w:rFonts w:cs="Times New Roman"/>
              <w:b/>
              <w:bCs/>
              <w:sz w:val="24"/>
              <w:szCs w:val="24"/>
            </w:rPr>
          </w:pPr>
          <w:bookmarkStart w:id="63"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FB0E21" w:rsidRPr="00FB0E21">
            <w:rPr>
              <w:rFonts w:cs="Times New Roman"/>
              <w:b/>
              <w:bCs/>
              <w:caps/>
              <w:sz w:val="24"/>
              <w:szCs w:val="24"/>
            </w:rPr>
            <w:t>Ariogalos m. Jovarų g. (12A22)</w:t>
          </w:r>
          <w:r w:rsidR="00FB0E21">
            <w:rPr>
              <w:rFonts w:cs="Times New Roman"/>
              <w:b/>
              <w:bCs/>
              <w:caps/>
              <w:sz w:val="24"/>
              <w:szCs w:val="24"/>
            </w:rPr>
            <w:t xml:space="preserve"> </w:t>
          </w:r>
          <w:r w:rsidR="00E6606B" w:rsidRPr="00E6606B">
            <w:rPr>
              <w:rFonts w:cs="Times New Roman"/>
              <w:b/>
              <w:bCs/>
              <w:caps/>
              <w:sz w:val="24"/>
              <w:szCs w:val="24"/>
            </w:rPr>
            <w:t>kapitalinio remonto techninio darbo projekto ekspertizės paslauga</w:t>
          </w:r>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 APKLAUSOS</w:t>
          </w:r>
          <w:r w:rsidR="00D526C8" w:rsidRPr="004E4E1A">
            <w:rPr>
              <w:rFonts w:cs="Times New Roman"/>
              <w:b/>
              <w:bCs/>
              <w:sz w:val="24"/>
              <w:szCs w:val="24"/>
            </w:rPr>
            <w:t xml:space="preserve"> </w:t>
          </w:r>
          <w:r w:rsidR="00E861F5" w:rsidRPr="004E4E1A">
            <w:rPr>
              <w:rFonts w:cs="Times New Roman"/>
              <w:b/>
              <w:bCs/>
              <w:sz w:val="24"/>
              <w:szCs w:val="24"/>
            </w:rPr>
            <w:t xml:space="preserve">SPECIALIOSIOS </w:t>
          </w:r>
          <w:r w:rsidR="00D526C8" w:rsidRPr="004E4E1A">
            <w:rPr>
              <w:rFonts w:cs="Times New Roman"/>
              <w:b/>
              <w:bCs/>
              <w:sz w:val="24"/>
              <w:szCs w:val="24"/>
            </w:rPr>
            <w:t>SĄLYGOS</w:t>
          </w:r>
          <w:bookmarkEnd w:id="63"/>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38240B">
              <w:pPr>
                <w:pStyle w:val="Turinys1"/>
                <w:rPr>
                  <w:rFonts w:ascii="Times New Roman" w:hAnsi="Times New Roman" w:cs="Times New Roman"/>
                  <w:noProof/>
                  <w:sz w:val="24"/>
                  <w:szCs w:val="24"/>
                  <w:lang w:val="en-US" w:eastAsia="en-US"/>
                </w:rPr>
              </w:pPr>
              <w:hyperlink w:anchor="_Toc137194948" w:history="1">
                <w:r w:rsidR="00E76E1F" w:rsidRPr="004E4E1A">
                  <w:rPr>
                    <w:rStyle w:val="Hipersaitas"/>
                    <w:rFonts w:ascii="Times New Roman" w:eastAsia="Calibri" w:hAnsi="Times New Roman" w:cs="Times New Roman"/>
                    <w:noProof/>
                    <w:sz w:val="24"/>
                    <w:szCs w:val="24"/>
                  </w:rPr>
                  <w:t>2.</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Pirkimo objektas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_Toc137194948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00E76E1F" w:rsidRPr="004E4E1A">
                  <w:rPr>
                    <w:rFonts w:ascii="Times New Roman" w:hAnsi="Times New Roman" w:cs="Times New Roman"/>
                    <w:noProof/>
                    <w:webHidden/>
                    <w:sz w:val="24"/>
                    <w:szCs w:val="24"/>
                  </w:rPr>
                  <w:fldChar w:fldCharType="end"/>
                </w:r>
              </w:hyperlink>
            </w:p>
            <w:p w14:paraId="3B364848" w14:textId="414CEFE5" w:rsidR="00E76E1F" w:rsidRPr="004E4E1A" w:rsidRDefault="0038240B">
              <w:pPr>
                <w:pStyle w:val="Turinys1"/>
                <w:rPr>
                  <w:rFonts w:ascii="Times New Roman" w:hAnsi="Times New Roman" w:cs="Times New Roman"/>
                  <w:noProof/>
                  <w:sz w:val="24"/>
                  <w:szCs w:val="24"/>
                  <w:lang w:val="en-US" w:eastAsia="en-US"/>
                </w:rPr>
              </w:pPr>
              <w:hyperlink w:anchor="_Toc137194949" w:history="1">
                <w:r w:rsidR="00E76E1F" w:rsidRPr="004E4E1A">
                  <w:rPr>
                    <w:rStyle w:val="Hipersaitas"/>
                    <w:rFonts w:ascii="Times New Roman" w:eastAsia="Calibri" w:hAnsi="Times New Roman" w:cs="Times New Roman"/>
                    <w:noProof/>
                    <w:sz w:val="24"/>
                    <w:szCs w:val="24"/>
                  </w:rPr>
                  <w:t>3.</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_Toc137194949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2C7FBD3C" w14:textId="00C3156F" w:rsidR="00E76E1F" w:rsidRPr="004E4E1A" w:rsidRDefault="0038240B">
              <w:pPr>
                <w:pStyle w:val="Turinys1"/>
                <w:rPr>
                  <w:rFonts w:ascii="Times New Roman" w:hAnsi="Times New Roman" w:cs="Times New Roman"/>
                  <w:noProof/>
                  <w:sz w:val="24"/>
                  <w:szCs w:val="24"/>
                  <w:lang w:val="en-US" w:eastAsia="en-US"/>
                </w:rPr>
              </w:pPr>
              <w:hyperlink w:anchor="_Toc137194950" w:history="1">
                <w:r w:rsidR="00E76E1F" w:rsidRPr="004E4E1A">
                  <w:rPr>
                    <w:rStyle w:val="Hipersaitas"/>
                    <w:rFonts w:ascii="Times New Roman" w:eastAsia="Calibri" w:hAnsi="Times New Roman" w:cs="Times New Roman"/>
                    <w:noProof/>
                    <w:sz w:val="24"/>
                    <w:szCs w:val="24"/>
                  </w:rPr>
                  <w:t>4.</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Reikalavimai, susiję su nacionaliniu saugumu</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_Toc137194950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3B8B80C9" w14:textId="381608A5" w:rsidR="00E76E1F" w:rsidRPr="004E4E1A" w:rsidRDefault="0038240B">
              <w:pPr>
                <w:pStyle w:val="Turinys1"/>
                <w:rPr>
                  <w:rFonts w:ascii="Times New Roman" w:hAnsi="Times New Roman" w:cs="Times New Roman"/>
                  <w:noProof/>
                  <w:sz w:val="24"/>
                  <w:szCs w:val="24"/>
                  <w:lang w:val="en-US" w:eastAsia="en-US"/>
                </w:rPr>
              </w:pPr>
              <w:hyperlink w:anchor="_Toc137194951" w:history="1">
                <w:r w:rsidR="00E76E1F" w:rsidRPr="004E4E1A">
                  <w:rPr>
                    <w:rStyle w:val="Hipersaitas"/>
                    <w:rFonts w:ascii="Times New Roman" w:eastAsia="Calibri" w:hAnsi="Times New Roman" w:cs="Times New Roman"/>
                    <w:noProof/>
                    <w:sz w:val="24"/>
                    <w:szCs w:val="24"/>
                  </w:rPr>
                  <w:t>5.</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Specialieji reikalavimai pasiūlymų rengimui ir pateikimui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_Toc137194951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71D87EA0" w14:textId="67654B2D" w:rsidR="00E76E1F" w:rsidRPr="004E4E1A" w:rsidRDefault="0038240B">
              <w:pPr>
                <w:pStyle w:val="Turinys1"/>
                <w:rPr>
                  <w:rFonts w:ascii="Times New Roman" w:hAnsi="Times New Roman" w:cs="Times New Roman"/>
                  <w:noProof/>
                  <w:sz w:val="24"/>
                  <w:szCs w:val="24"/>
                  <w:lang w:val="en-US" w:eastAsia="en-US"/>
                </w:rPr>
              </w:pPr>
              <w:hyperlink w:anchor="_Toc137194952" w:history="1">
                <w:r w:rsidR="00E76E1F" w:rsidRPr="004E4E1A">
                  <w:rPr>
                    <w:rStyle w:val="Hipersaitas"/>
                    <w:rFonts w:ascii="Times New Roman" w:hAnsi="Times New Roman" w:cs="Times New Roman"/>
                    <w:noProof/>
                    <w:sz w:val="24"/>
                    <w:szCs w:val="24"/>
                  </w:rPr>
                  <w:t>6.    Pasiūlymo galiojimo užtikrinimas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_Toc137194952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7EB7A3" w14:textId="5DD375B4" w:rsidR="00E76E1F" w:rsidRPr="004E4E1A" w:rsidRDefault="0038240B">
              <w:pPr>
                <w:pStyle w:val="Turinys1"/>
                <w:rPr>
                  <w:rFonts w:ascii="Times New Roman" w:hAnsi="Times New Roman" w:cs="Times New Roman"/>
                  <w:noProof/>
                  <w:sz w:val="24"/>
                  <w:szCs w:val="24"/>
                  <w:lang w:val="en-US" w:eastAsia="en-US"/>
                </w:rPr>
              </w:pPr>
              <w:hyperlink w:anchor="_Toc137194953" w:history="1">
                <w:r w:rsidR="00E76E1F" w:rsidRPr="004E4E1A">
                  <w:rPr>
                    <w:rStyle w:val="Hipersaitas"/>
                    <w:rFonts w:ascii="Times New Roman" w:hAnsi="Times New Roman" w:cs="Times New Roman"/>
                    <w:noProof/>
                    <w:sz w:val="24"/>
                    <w:szCs w:val="24"/>
                  </w:rPr>
                  <w:t>7.</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Pasiūlymų vertinimas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_Toc137194953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2D57B744" w14:textId="4A4F2891" w:rsidR="00E76E1F" w:rsidRPr="004E4E1A" w:rsidRDefault="0038240B">
              <w:pPr>
                <w:pStyle w:val="Turinys1"/>
                <w:rPr>
                  <w:rFonts w:ascii="Times New Roman" w:hAnsi="Times New Roman" w:cs="Times New Roman"/>
                  <w:noProof/>
                  <w:sz w:val="24"/>
                  <w:szCs w:val="24"/>
                  <w:lang w:val="en-US" w:eastAsia="en-US"/>
                </w:rPr>
              </w:pPr>
              <w:hyperlink w:anchor="_Toc137194954" w:history="1">
                <w:r w:rsidR="00E76E1F"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Sutarties sudarymas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_Toc137194954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1E7762" w14:textId="3C4DA37C" w:rsidR="00E76E1F" w:rsidRPr="004E4E1A" w:rsidRDefault="0038240B">
              <w:pPr>
                <w:pStyle w:val="Turinys1"/>
                <w:rPr>
                  <w:rFonts w:ascii="Times New Roman" w:hAnsi="Times New Roman" w:cs="Times New Roman"/>
                  <w:noProof/>
                  <w:sz w:val="24"/>
                  <w:szCs w:val="24"/>
                  <w:lang w:val="en-US" w:eastAsia="en-US"/>
                </w:rPr>
              </w:pPr>
              <w:hyperlink w:anchor="_Toc137194955" w:history="1">
                <w:r w:rsidR="00E76E1F"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Kitos sąlygos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_Toc137194955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4" w:name="_Hlk149306588"/>
          <w:r w:rsidRPr="00A14DFD">
            <w:rPr>
              <w:rFonts w:ascii="Times New Roman" w:hAnsi="Times New Roman" w:cs="Times New Roman"/>
              <w:sz w:val="24"/>
              <w:szCs w:val="24"/>
            </w:rPr>
            <w:t xml:space="preserve">Specialiųjų pirkimo </w:t>
          </w:r>
          <w:bookmarkEnd w:id="64"/>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38240B" w:rsidP="00840073">
          <w:pPr>
            <w:spacing w:after="120"/>
            <w:ind w:firstLine="0"/>
            <w:contextualSpacing/>
            <w:rPr>
              <w:rFonts w:ascii="Arial" w:hAnsi="Arial" w:cs="Arial"/>
            </w:rPr>
          </w:pPr>
        </w:p>
      </w:sdtContent>
    </w:sdt>
    <w:bookmarkStart w:id="65" w:name="part_472a163f4f844a9297cdf9e29b7fb942" w:displacedByCustomXml="prev"/>
    <w:bookmarkEnd w:id="65" w:displacedByCustomXml="prev"/>
    <w:bookmarkStart w:id="66" w:name="part_b3f278cdbcbe467a8b3f1d6ea4ea85f8" w:displacedByCustomXml="prev"/>
    <w:bookmarkEnd w:id="66" w:displacedByCustomXml="prev"/>
    <w:bookmarkStart w:id="67" w:name="part_2d694ec0bf4747a2ace8bc3a118ff44f" w:displacedByCustomXml="prev"/>
    <w:bookmarkEnd w:id="67" w:displacedByCustomXml="prev"/>
    <w:bookmarkStart w:id="68" w:name="part_da460e3efffa45688cb920cd281c7959" w:displacedByCustomXml="prev"/>
    <w:bookmarkEnd w:id="68" w:displacedByCustomXml="prev"/>
    <w:bookmarkStart w:id="69" w:name="part_c8889be5d523482e81bb176e6fe56cd2" w:displacedByCustomXml="prev"/>
    <w:bookmarkEnd w:id="69" w:displacedByCustomXml="prev"/>
    <w:bookmarkStart w:id="70"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1" w:name="_Ref39666794"/>
      <w:bookmarkStart w:id="72" w:name="_Ref39666796"/>
      <w:bookmarkStart w:id="73" w:name="_Toc48053171"/>
      <w:r w:rsidRPr="006B5120">
        <w:rPr>
          <w:rFonts w:ascii="Times New Roman" w:hAnsi="Times New Roman" w:cs="Times New Roman"/>
          <w:b/>
          <w:bCs/>
          <w:color w:val="auto"/>
          <w:sz w:val="24"/>
          <w:szCs w:val="24"/>
        </w:rPr>
        <w:lastRenderedPageBreak/>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4"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4"/>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5" w:name="_Toc137194948"/>
      <w:r w:rsidRPr="006B5120">
        <w:rPr>
          <w:rFonts w:ascii="Times New Roman" w:hAnsi="Times New Roman" w:cs="Times New Roman"/>
          <w:b/>
          <w:bCs/>
          <w:color w:val="auto"/>
          <w:sz w:val="24"/>
          <w:szCs w:val="24"/>
        </w:rPr>
        <w:t>Pirkimo objektas</w:t>
      </w:r>
      <w:bookmarkEnd w:id="75"/>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3F846605"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r w:rsidR="0031045D" w:rsidRPr="0031045D">
        <w:rPr>
          <w:rFonts w:ascii="Times New Roman" w:hAnsi="Times New Roman" w:cs="Times New Roman"/>
          <w:b/>
          <w:bCs/>
          <w:sz w:val="24"/>
          <w:szCs w:val="24"/>
        </w:rPr>
        <w:t>Ariogalos m. Jovarų g. (12A22)</w:t>
      </w:r>
      <w:r w:rsidR="0031045D">
        <w:rPr>
          <w:rFonts w:ascii="Times New Roman" w:hAnsi="Times New Roman" w:cs="Times New Roman"/>
          <w:b/>
          <w:bCs/>
          <w:sz w:val="24"/>
          <w:szCs w:val="24"/>
        </w:rPr>
        <w:t xml:space="preserve"> </w:t>
      </w:r>
      <w:r w:rsidR="00E6606B">
        <w:rPr>
          <w:rFonts w:ascii="Times New Roman" w:hAnsi="Times New Roman" w:cs="Times New Roman"/>
          <w:b/>
          <w:bCs/>
          <w:sz w:val="24"/>
          <w:szCs w:val="24"/>
        </w:rPr>
        <w:t>k</w:t>
      </w:r>
      <w:r w:rsidR="00E6606B" w:rsidRPr="00E6606B">
        <w:rPr>
          <w:rFonts w:ascii="Times New Roman" w:hAnsi="Times New Roman" w:cs="Times New Roman"/>
          <w:b/>
          <w:bCs/>
          <w:sz w:val="24"/>
          <w:szCs w:val="24"/>
        </w:rPr>
        <w:t>apitalinio remonto techninio darbo projekto ekspertizės paslaug</w:t>
      </w:r>
      <w:r w:rsidR="00E6606B">
        <w:rPr>
          <w:rFonts w:ascii="Times New Roman" w:hAnsi="Times New Roman" w:cs="Times New Roman"/>
          <w:b/>
          <w:bCs/>
          <w:sz w:val="24"/>
          <w:szCs w:val="24"/>
        </w:rPr>
        <w:t>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4B5E75DC"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 xml:space="preserve">Bendrosios projekto ekspertizės aktą (arba tarpinį aktą) pateikti ne vėliau kaip per </w:t>
      </w:r>
      <w:r w:rsidR="0069239C">
        <w:rPr>
          <w:rFonts w:ascii="Times New Roman" w:hAnsi="Times New Roman" w:cs="Times New Roman"/>
          <w:sz w:val="24"/>
          <w:szCs w:val="24"/>
        </w:rPr>
        <w:t>8</w:t>
      </w:r>
      <w:r w:rsidR="00942484" w:rsidRPr="00942484">
        <w:rPr>
          <w:rFonts w:ascii="Times New Roman" w:hAnsi="Times New Roman" w:cs="Times New Roman"/>
          <w:sz w:val="24"/>
          <w:szCs w:val="24"/>
        </w:rPr>
        <w:t xml:space="preserve">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06D8FD6E"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E6606B">
        <w:rPr>
          <w:rFonts w:ascii="Times New Roman" w:hAnsi="Times New Roman" w:cs="Times New Roman"/>
          <w:sz w:val="24"/>
          <w:szCs w:val="24"/>
        </w:rPr>
        <w:t>2</w:t>
      </w:r>
      <w:r w:rsidR="00080B16">
        <w:rPr>
          <w:rFonts w:ascii="Times New Roman" w:hAnsi="Times New Roman" w:cs="Times New Roman"/>
          <w:sz w:val="24"/>
          <w:szCs w:val="24"/>
        </w:rPr>
        <w:t>000</w:t>
      </w:r>
      <w:r w:rsidR="001913B9">
        <w:rPr>
          <w:rFonts w:ascii="Times New Roman" w:hAnsi="Times New Roman" w:cs="Times New Roman"/>
          <w:sz w:val="24"/>
          <w:szCs w:val="24"/>
        </w:rPr>
        <w:t>,00</w:t>
      </w:r>
      <w:r w:rsidRPr="006B5120">
        <w:rPr>
          <w:rFonts w:ascii="Times New Roman" w:hAnsi="Times New Roman" w:cs="Times New Roman"/>
          <w:sz w:val="24"/>
          <w:szCs w:val="24"/>
        </w:rPr>
        <w:t xml:space="preserve"> </w:t>
      </w:r>
      <w:r w:rsidR="00080B16">
        <w:rPr>
          <w:rFonts w:ascii="Times New Roman" w:hAnsi="Times New Roman" w:cs="Times New Roman"/>
          <w:sz w:val="24"/>
          <w:szCs w:val="24"/>
        </w:rPr>
        <w:t>su</w:t>
      </w:r>
      <w:r w:rsidR="001913B9" w:rsidRPr="006B5120">
        <w:rPr>
          <w:rFonts w:ascii="Times New Roman" w:hAnsi="Times New Roman" w:cs="Times New Roman"/>
          <w:sz w:val="24"/>
          <w:szCs w:val="24"/>
        </w:rPr>
        <w:t xml:space="preserve"> </w:t>
      </w:r>
      <w:r w:rsidRPr="006B5120">
        <w:rPr>
          <w:rFonts w:ascii="Times New Roman" w:hAnsi="Times New Roman" w:cs="Times New Roman"/>
          <w:sz w:val="24"/>
          <w:szCs w:val="24"/>
        </w:rPr>
        <w:t>PVM</w:t>
      </w:r>
      <w:r>
        <w:rPr>
          <w:rFonts w:ascii="Times New Roman" w:hAnsi="Times New Roman" w:cs="Times New Roman"/>
          <w:sz w:val="24"/>
          <w:szCs w:val="24"/>
        </w:rPr>
        <w:t>.</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14DFD">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6"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6"/>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7"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7"/>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8" w:name="_Toc137194951"/>
      <w:r w:rsidRPr="006B5120">
        <w:rPr>
          <w:rFonts w:ascii="Times New Roman" w:hAnsi="Times New Roman" w:cs="Times New Roman"/>
          <w:b/>
          <w:bCs/>
          <w:color w:val="auto"/>
          <w:sz w:val="24"/>
          <w:szCs w:val="24"/>
        </w:rPr>
        <w:t>Specialieji reikalavimai pasiūlymų rengimui ir pateikimui</w:t>
      </w:r>
      <w:bookmarkEnd w:id="71"/>
      <w:bookmarkEnd w:id="72"/>
      <w:bookmarkEnd w:id="73"/>
      <w:bookmarkEnd w:id="78"/>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79"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79"/>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0" w:name="_Toc15392775"/>
      <w:bookmarkStart w:id="81" w:name="_Toc137194953"/>
      <w:r w:rsidRPr="000D6E9F">
        <w:rPr>
          <w:rFonts w:ascii="Times New Roman" w:hAnsi="Times New Roman" w:cs="Times New Roman"/>
          <w:b/>
          <w:bCs/>
          <w:color w:val="auto"/>
          <w:sz w:val="24"/>
          <w:szCs w:val="24"/>
        </w:rPr>
        <w:t>P</w:t>
      </w:r>
      <w:bookmarkEnd w:id="80"/>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1"/>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2" w:name="_Hlk161154184"/>
      <w:r w:rsidRPr="001160A4">
        <w:rPr>
          <w:rFonts w:ascii="Times New Roman" w:hAnsi="Times New Roman"/>
          <w:sz w:val="24"/>
          <w:szCs w:val="24"/>
        </w:rPr>
        <w:t xml:space="preserve">ekonomiškai naudingiausią Pasiūlymą išrenka pagal </w:t>
      </w:r>
      <w:bookmarkEnd w:id="82"/>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pajėgumais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3" w:name="_Ref39425999"/>
      <w:bookmarkStart w:id="84" w:name="_Ref39426005"/>
      <w:bookmarkStart w:id="85" w:name="_Toc126333937"/>
      <w:bookmarkStart w:id="86"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3"/>
      <w:bookmarkEnd w:id="84"/>
      <w:bookmarkEnd w:id="85"/>
      <w:bookmarkEnd w:id="86"/>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7" w:name="_Toc137194955"/>
      <w:r w:rsidRPr="00E8267A">
        <w:rPr>
          <w:rFonts w:ascii="Times New Roman" w:eastAsiaTheme="majorEastAsia" w:hAnsi="Times New Roman" w:cs="Times New Roman"/>
          <w:b/>
          <w:bCs/>
          <w:sz w:val="24"/>
          <w:szCs w:val="24"/>
        </w:rPr>
        <w:lastRenderedPageBreak/>
        <w:t>9. Kitos sąlygos</w:t>
      </w:r>
      <w:bookmarkEnd w:id="87"/>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atsako dalyviui, ar jis sutinka 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t>7</w:t>
            </w:r>
          </w:p>
        </w:tc>
        <w:tc>
          <w:tcPr>
            <w:tcW w:w="2551" w:type="dxa"/>
          </w:tcPr>
          <w:p w14:paraId="47C2C88C" w14:textId="77777777" w:rsidR="000D6E9F" w:rsidRPr="000D6E9F" w:rsidRDefault="000D6E9F" w:rsidP="000D6E9F">
            <w:pPr>
              <w:rPr>
                <w:sz w:val="24"/>
                <w:szCs w:val="24"/>
              </w:rPr>
            </w:pPr>
            <w:r w:rsidRPr="000D6E9F">
              <w:rPr>
                <w:sz w:val="24"/>
                <w:szCs w:val="24"/>
              </w:rPr>
              <w:t xml:space="preserve">Pasiūlymo galiojimo užtikrinimas pirkimo dalyviui grąžinamas </w:t>
            </w:r>
            <w:r w:rsidRPr="000D6E9F">
              <w:rPr>
                <w:sz w:val="24"/>
                <w:szCs w:val="24"/>
              </w:rPr>
              <w:lastRenderedPageBreak/>
              <w:t>(arba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lastRenderedPageBreak/>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 xml:space="preserve">Netaikoma jei neprašoma pateikti pasiūlymo galiojimo </w:t>
            </w:r>
            <w:r w:rsidRPr="000D6E9F">
              <w:rPr>
                <w:color w:val="000000" w:themeColor="text1"/>
                <w:sz w:val="24"/>
                <w:szCs w:val="24"/>
              </w:rPr>
              <w:lastRenderedPageBreak/>
              <w:t>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lastRenderedPageBreak/>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w:t>
            </w:r>
            <w:r w:rsidRPr="000D6E9F">
              <w:rPr>
                <w:sz w:val="24"/>
                <w:szCs w:val="24"/>
              </w:rPr>
              <w:lastRenderedPageBreak/>
              <w:t xml:space="preserve">pateiktos pretenzijos, 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lastRenderedPageBreak/>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1E72EE9E" w14:textId="77777777" w:rsidR="00080B16" w:rsidRDefault="00080B16" w:rsidP="00112F92">
      <w:pPr>
        <w:spacing w:line="240" w:lineRule="auto"/>
        <w:ind w:left="7314" w:firstLine="0"/>
        <w:rPr>
          <w:rFonts w:cstheme="minorHAnsi"/>
        </w:rPr>
      </w:pPr>
    </w:p>
    <w:p w14:paraId="3671E92E" w14:textId="77777777" w:rsidR="00080B16" w:rsidRDefault="00080B16" w:rsidP="00112F92">
      <w:pPr>
        <w:spacing w:line="240" w:lineRule="auto"/>
        <w:ind w:left="7314" w:firstLine="0"/>
        <w:rPr>
          <w:rFonts w:cstheme="minorHAnsi"/>
        </w:rPr>
      </w:pPr>
    </w:p>
    <w:p w14:paraId="0C8FC593" w14:textId="77777777" w:rsidR="00080B16" w:rsidRDefault="00080B16" w:rsidP="00112F92">
      <w:pPr>
        <w:spacing w:line="240" w:lineRule="auto"/>
        <w:ind w:left="7314" w:firstLine="0"/>
        <w:rPr>
          <w:rFonts w:cstheme="minorHAnsi"/>
        </w:rPr>
      </w:pPr>
    </w:p>
    <w:p w14:paraId="1A9849F7" w14:textId="77777777" w:rsidR="00080B16" w:rsidRDefault="00080B16" w:rsidP="00112F92">
      <w:pPr>
        <w:spacing w:line="240" w:lineRule="auto"/>
        <w:ind w:left="7314" w:firstLine="0"/>
        <w:rPr>
          <w:rFonts w:cstheme="minorHAnsi"/>
        </w:rPr>
      </w:pPr>
    </w:p>
    <w:p w14:paraId="255CD391" w14:textId="77777777" w:rsidR="00080B16" w:rsidRDefault="00080B16"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4E29AD77" w14:textId="77777777" w:rsidR="007F187D" w:rsidRDefault="007F187D" w:rsidP="00E8267A">
      <w:pPr>
        <w:rPr>
          <w:rFonts w:ascii="Times New Roman" w:hAnsi="Times New Roman"/>
          <w:sz w:val="24"/>
          <w:szCs w:val="24"/>
        </w:rPr>
      </w:pPr>
    </w:p>
    <w:p w14:paraId="5F9EA9E3" w14:textId="77777777" w:rsidR="00384F4D" w:rsidRDefault="00384F4D" w:rsidP="00E8267A">
      <w:pPr>
        <w:rPr>
          <w:rFonts w:ascii="Times New Roman" w:hAnsi="Times New Roman"/>
          <w:sz w:val="24"/>
          <w:szCs w:val="24"/>
        </w:rPr>
      </w:pPr>
    </w:p>
    <w:p w14:paraId="412AEDD0" w14:textId="77777777" w:rsidR="00384F4D" w:rsidRDefault="00384F4D" w:rsidP="00E8267A">
      <w:pPr>
        <w:rPr>
          <w:rFonts w:ascii="Times New Roman" w:hAnsi="Times New Roman"/>
          <w:sz w:val="24"/>
          <w:szCs w:val="24"/>
        </w:rPr>
      </w:pPr>
    </w:p>
    <w:p w14:paraId="32261FD9" w14:textId="77777777" w:rsidR="00384F4D" w:rsidRDefault="00384F4D" w:rsidP="00E8267A">
      <w:pPr>
        <w:rPr>
          <w:rFonts w:ascii="Times New Roman" w:hAnsi="Times New Roman"/>
          <w:sz w:val="24"/>
          <w:szCs w:val="24"/>
        </w:rPr>
      </w:pPr>
    </w:p>
    <w:p w14:paraId="5C3ED6F7" w14:textId="77777777" w:rsidR="00384F4D" w:rsidRDefault="00384F4D" w:rsidP="00E8267A">
      <w:pPr>
        <w:rPr>
          <w:rFonts w:ascii="Times New Roman" w:hAnsi="Times New Roman"/>
          <w:sz w:val="24"/>
          <w:szCs w:val="24"/>
        </w:rPr>
      </w:pPr>
    </w:p>
    <w:p w14:paraId="6136611E" w14:textId="77777777" w:rsidR="00384F4D" w:rsidRDefault="00384F4D" w:rsidP="00E8267A">
      <w:pPr>
        <w:rPr>
          <w:rFonts w:ascii="Times New Roman" w:hAnsi="Times New Roman"/>
          <w:sz w:val="24"/>
          <w:szCs w:val="24"/>
        </w:rPr>
      </w:pPr>
    </w:p>
    <w:p w14:paraId="6122084A" w14:textId="77777777" w:rsidR="00384F4D" w:rsidRDefault="00384F4D" w:rsidP="00E8267A">
      <w:pPr>
        <w:rPr>
          <w:rFonts w:ascii="Times New Roman" w:hAnsi="Times New Roman"/>
          <w:sz w:val="24"/>
          <w:szCs w:val="24"/>
        </w:rPr>
      </w:pPr>
    </w:p>
    <w:p w14:paraId="5DC46FBD" w14:textId="77777777" w:rsidR="00384F4D" w:rsidRDefault="00384F4D" w:rsidP="00E8267A">
      <w:pPr>
        <w:rPr>
          <w:rFonts w:ascii="Times New Roman" w:hAnsi="Times New Roman"/>
          <w:sz w:val="24"/>
          <w:szCs w:val="24"/>
        </w:rPr>
      </w:pPr>
    </w:p>
    <w:p w14:paraId="0C551CF8" w14:textId="77777777" w:rsidR="00384F4D" w:rsidRDefault="00384F4D" w:rsidP="00E8267A">
      <w:pPr>
        <w:rPr>
          <w:rFonts w:ascii="Times New Roman" w:hAnsi="Times New Roman"/>
          <w:sz w:val="24"/>
          <w:szCs w:val="24"/>
        </w:rPr>
      </w:pPr>
    </w:p>
    <w:p w14:paraId="4A95C2D5" w14:textId="77777777" w:rsidR="00384F4D" w:rsidRDefault="00384F4D" w:rsidP="00E8267A">
      <w:pPr>
        <w:rPr>
          <w:rFonts w:ascii="Times New Roman" w:hAnsi="Times New Roman"/>
          <w:sz w:val="24"/>
          <w:szCs w:val="24"/>
        </w:rPr>
      </w:pPr>
    </w:p>
    <w:p w14:paraId="7EB38A03" w14:textId="77777777" w:rsidR="00384F4D" w:rsidRDefault="00384F4D" w:rsidP="00E8267A">
      <w:pPr>
        <w:rPr>
          <w:rFonts w:ascii="Times New Roman" w:hAnsi="Times New Roman"/>
          <w:sz w:val="24"/>
          <w:szCs w:val="24"/>
        </w:rPr>
      </w:pPr>
    </w:p>
    <w:p w14:paraId="69344F07" w14:textId="77777777" w:rsidR="00384F4D" w:rsidRDefault="00384F4D" w:rsidP="00E8267A">
      <w:pPr>
        <w:rPr>
          <w:rFonts w:ascii="Times New Roman" w:hAnsi="Times New Roman"/>
          <w:sz w:val="24"/>
          <w:szCs w:val="24"/>
        </w:rPr>
      </w:pPr>
    </w:p>
    <w:p w14:paraId="2E28F74B" w14:textId="77777777" w:rsidR="00384F4D" w:rsidRDefault="00384F4D" w:rsidP="00E8267A">
      <w:pPr>
        <w:rPr>
          <w:rFonts w:ascii="Times New Roman" w:hAnsi="Times New Roman"/>
          <w:sz w:val="24"/>
          <w:szCs w:val="24"/>
        </w:rPr>
      </w:pPr>
    </w:p>
    <w:p w14:paraId="49DF5D43" w14:textId="77777777" w:rsidR="00384F4D" w:rsidRDefault="00384F4D" w:rsidP="00E8267A">
      <w:pPr>
        <w:rPr>
          <w:rFonts w:ascii="Times New Roman" w:hAnsi="Times New Roman"/>
          <w:sz w:val="24"/>
          <w:szCs w:val="24"/>
        </w:rPr>
      </w:pPr>
    </w:p>
    <w:p w14:paraId="22DE140A" w14:textId="77777777" w:rsidR="00384F4D" w:rsidRDefault="00384F4D" w:rsidP="00E8267A">
      <w:pPr>
        <w:rPr>
          <w:rFonts w:ascii="Times New Roman" w:hAnsi="Times New Roman"/>
          <w:sz w:val="24"/>
          <w:szCs w:val="24"/>
        </w:rPr>
      </w:pPr>
    </w:p>
    <w:p w14:paraId="50D84633" w14:textId="77777777" w:rsidR="00384F4D" w:rsidRDefault="00384F4D" w:rsidP="00E8267A">
      <w:pPr>
        <w:rPr>
          <w:rFonts w:ascii="Times New Roman" w:hAnsi="Times New Roman"/>
          <w:sz w:val="24"/>
          <w:szCs w:val="24"/>
        </w:rPr>
      </w:pPr>
    </w:p>
    <w:p w14:paraId="5B61A7F5" w14:textId="77777777" w:rsidR="00384F4D" w:rsidRDefault="00384F4D" w:rsidP="00E8267A">
      <w:pPr>
        <w:rPr>
          <w:rFonts w:ascii="Times New Roman" w:hAnsi="Times New Roman"/>
          <w:sz w:val="24"/>
          <w:szCs w:val="24"/>
        </w:rPr>
      </w:pPr>
    </w:p>
    <w:p w14:paraId="4AF842F2" w14:textId="77777777" w:rsidR="00384F4D" w:rsidRDefault="00384F4D" w:rsidP="00E8267A">
      <w:pPr>
        <w:rPr>
          <w:rFonts w:ascii="Times New Roman" w:hAnsi="Times New Roman"/>
          <w:sz w:val="24"/>
          <w:szCs w:val="24"/>
        </w:rPr>
      </w:pPr>
    </w:p>
    <w:p w14:paraId="2D3C7306" w14:textId="77777777" w:rsidR="00384F4D" w:rsidRDefault="00384F4D" w:rsidP="00E8267A">
      <w:pPr>
        <w:rPr>
          <w:rFonts w:ascii="Times New Roman" w:hAnsi="Times New Roman"/>
          <w:sz w:val="24"/>
          <w:szCs w:val="24"/>
        </w:rPr>
      </w:pPr>
    </w:p>
    <w:p w14:paraId="69BBF593" w14:textId="77777777" w:rsidR="00384F4D" w:rsidRDefault="00384F4D" w:rsidP="00E8267A">
      <w:pPr>
        <w:rPr>
          <w:rFonts w:ascii="Times New Roman" w:hAnsi="Times New Roman"/>
          <w:sz w:val="24"/>
          <w:szCs w:val="24"/>
        </w:rPr>
      </w:pPr>
    </w:p>
    <w:p w14:paraId="6EBBB2C3" w14:textId="77777777" w:rsidR="00B42EAC" w:rsidRDefault="00B42EAC" w:rsidP="00E8267A">
      <w:pPr>
        <w:rPr>
          <w:rFonts w:ascii="Times New Roman" w:hAnsi="Times New Roman"/>
          <w:sz w:val="24"/>
          <w:szCs w:val="24"/>
        </w:rPr>
      </w:pPr>
    </w:p>
    <w:p w14:paraId="0ABEA722" w14:textId="77777777" w:rsidR="00B42EAC" w:rsidRDefault="00B42EAC" w:rsidP="00E8267A">
      <w:pPr>
        <w:rPr>
          <w:rFonts w:ascii="Times New Roman" w:hAnsi="Times New Roman"/>
          <w:sz w:val="24"/>
          <w:szCs w:val="24"/>
        </w:rPr>
      </w:pPr>
    </w:p>
    <w:p w14:paraId="5ECA144C" w14:textId="77777777" w:rsidR="00B42EAC" w:rsidRDefault="00B42EAC" w:rsidP="00E8267A">
      <w:pPr>
        <w:rPr>
          <w:rFonts w:ascii="Times New Roman" w:hAnsi="Times New Roman"/>
          <w:sz w:val="24"/>
          <w:szCs w:val="24"/>
        </w:rPr>
      </w:pPr>
    </w:p>
    <w:p w14:paraId="193C1E5A" w14:textId="77777777" w:rsidR="00B42EAC" w:rsidRDefault="00B42EAC" w:rsidP="00E8267A">
      <w:pPr>
        <w:rPr>
          <w:rFonts w:ascii="Times New Roman" w:hAnsi="Times New Roman"/>
          <w:sz w:val="24"/>
          <w:szCs w:val="24"/>
        </w:rPr>
      </w:pPr>
    </w:p>
    <w:p w14:paraId="6D1E6FFD" w14:textId="77777777" w:rsidR="00B42EAC" w:rsidRDefault="00B42EAC" w:rsidP="00E8267A">
      <w:pPr>
        <w:rPr>
          <w:rFonts w:ascii="Times New Roman" w:hAnsi="Times New Roman"/>
          <w:sz w:val="24"/>
          <w:szCs w:val="24"/>
        </w:rPr>
      </w:pPr>
    </w:p>
    <w:p w14:paraId="7D4A5F90" w14:textId="77777777" w:rsidR="00B42EAC" w:rsidRDefault="00B42EAC" w:rsidP="00E8267A">
      <w:pPr>
        <w:rPr>
          <w:rFonts w:ascii="Times New Roman" w:hAnsi="Times New Roman"/>
          <w:sz w:val="24"/>
          <w:szCs w:val="24"/>
        </w:rPr>
      </w:pPr>
    </w:p>
    <w:p w14:paraId="403B9FC5" w14:textId="77777777" w:rsidR="00B42EAC" w:rsidRDefault="00B42EAC" w:rsidP="00E8267A">
      <w:pPr>
        <w:rPr>
          <w:rFonts w:ascii="Times New Roman" w:hAnsi="Times New Roman"/>
          <w:sz w:val="24"/>
          <w:szCs w:val="24"/>
        </w:rPr>
      </w:pPr>
    </w:p>
    <w:p w14:paraId="54D403B9" w14:textId="77777777" w:rsidR="00B42EAC" w:rsidRDefault="00B42EAC" w:rsidP="00E8267A">
      <w:pPr>
        <w:rPr>
          <w:rFonts w:ascii="Times New Roman" w:hAnsi="Times New Roman"/>
          <w:sz w:val="24"/>
          <w:szCs w:val="24"/>
        </w:rPr>
      </w:pPr>
    </w:p>
    <w:p w14:paraId="5EE921E6" w14:textId="77777777" w:rsidR="00B42EAC" w:rsidRDefault="00B42EAC" w:rsidP="00E8267A">
      <w:pPr>
        <w:rPr>
          <w:rFonts w:ascii="Times New Roman" w:hAnsi="Times New Roman"/>
          <w:sz w:val="24"/>
          <w:szCs w:val="24"/>
        </w:rPr>
      </w:pPr>
    </w:p>
    <w:p w14:paraId="427DED14" w14:textId="77777777" w:rsidR="00B42EAC" w:rsidRDefault="00B42EAC" w:rsidP="00E8267A">
      <w:pPr>
        <w:rPr>
          <w:rFonts w:ascii="Times New Roman" w:hAnsi="Times New Roman"/>
          <w:sz w:val="24"/>
          <w:szCs w:val="24"/>
        </w:rPr>
      </w:pPr>
    </w:p>
    <w:p w14:paraId="4B481750" w14:textId="77777777" w:rsidR="00B42EAC" w:rsidRDefault="00B42EAC" w:rsidP="00E8267A">
      <w:pPr>
        <w:rPr>
          <w:rFonts w:ascii="Times New Roman" w:hAnsi="Times New Roman"/>
          <w:sz w:val="24"/>
          <w:szCs w:val="24"/>
        </w:rPr>
      </w:pPr>
    </w:p>
    <w:p w14:paraId="23CA1759" w14:textId="77777777" w:rsidR="00B42EAC" w:rsidRDefault="00B42EAC" w:rsidP="00E8267A">
      <w:pPr>
        <w:rPr>
          <w:rFonts w:ascii="Times New Roman" w:hAnsi="Times New Roman"/>
          <w:sz w:val="24"/>
          <w:szCs w:val="24"/>
        </w:rPr>
      </w:pPr>
    </w:p>
    <w:p w14:paraId="46E8E782" w14:textId="77777777" w:rsidR="00B42EAC" w:rsidRDefault="00B42EAC" w:rsidP="00E8267A">
      <w:pPr>
        <w:rPr>
          <w:rFonts w:ascii="Times New Roman" w:hAnsi="Times New Roman"/>
          <w:sz w:val="24"/>
          <w:szCs w:val="24"/>
        </w:rPr>
      </w:pPr>
    </w:p>
    <w:p w14:paraId="3BF410EA" w14:textId="77777777" w:rsidR="00B42EAC" w:rsidRDefault="00B42EAC"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475CC686"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bookmarkStart w:id="88" w:name="_Hlk195261118"/>
      <w:r w:rsidR="00260EC4" w:rsidRPr="00260EC4">
        <w:rPr>
          <w:rFonts w:ascii="Times New Roman" w:hAnsi="Times New Roman" w:cs="Times New Roman"/>
          <w:b/>
          <w:bCs/>
          <w:caps/>
          <w:sz w:val="24"/>
          <w:szCs w:val="24"/>
        </w:rPr>
        <w:t xml:space="preserve">ARIOGALOS M. JOVARŲ G. (12A22) </w:t>
      </w:r>
      <w:bookmarkEnd w:id="88"/>
      <w:r w:rsidR="005C6724" w:rsidRPr="00E6606B">
        <w:rPr>
          <w:rFonts w:ascii="Times New Roman" w:hAnsi="Times New Roman" w:cs="Times New Roman"/>
          <w:b/>
          <w:bCs/>
          <w:caps/>
          <w:sz w:val="24"/>
          <w:szCs w:val="24"/>
        </w:rPr>
        <w:t>kapitalinio remonto techninio darbo projekto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(kvazisubtiekėjus)***:</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Kvazisubtiekėjas</w:t>
      </w:r>
      <w:r w:rsidRPr="00E8267A">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2) kituose pirkimo dokumentuose (jų paaiškinimuose, papildymuose).</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Eeil.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142A3C">
        <w:trPr>
          <w:trHeight w:val="253"/>
          <w:jc w:val="center"/>
        </w:trPr>
        <w:tc>
          <w:tcPr>
            <w:tcW w:w="567" w:type="dxa"/>
            <w:tcBorders>
              <w:top w:val="single" w:sz="4" w:space="0" w:color="auto"/>
              <w:left w:val="single" w:sz="4" w:space="0" w:color="auto"/>
              <w:bottom w:val="single" w:sz="4" w:space="0" w:color="auto"/>
              <w:right w:val="single" w:sz="4" w:space="0" w:color="auto"/>
            </w:tcBorders>
            <w:hideMark/>
          </w:tcPr>
          <w:p w14:paraId="7F9F6468" w14:textId="0F27FBE2" w:rsidR="00581595" w:rsidRDefault="00142A3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t>11</w:t>
            </w:r>
          </w:p>
        </w:tc>
        <w:tc>
          <w:tcPr>
            <w:tcW w:w="5238" w:type="dxa"/>
            <w:tcBorders>
              <w:top w:val="single" w:sz="4" w:space="0" w:color="auto"/>
              <w:left w:val="single" w:sz="4" w:space="0" w:color="auto"/>
              <w:bottom w:val="single" w:sz="4" w:space="0" w:color="auto"/>
              <w:right w:val="single" w:sz="4" w:space="0" w:color="auto"/>
            </w:tcBorders>
            <w:hideMark/>
          </w:tcPr>
          <w:p w14:paraId="1680DA3C" w14:textId="77777777" w:rsidR="00142A3C" w:rsidRDefault="00142A3C">
            <w:pPr>
              <w:tabs>
                <w:tab w:val="left" w:leader="underscore" w:pos="6293"/>
                <w:tab w:val="left" w:leader="underscore" w:pos="8453"/>
              </w:tabs>
              <w:jc w:val="center"/>
              <w:rPr>
                <w:rFonts w:hAnsi="Times New Roman"/>
                <w:b/>
                <w:bCs/>
                <w:i/>
                <w:lang w:eastAsia="en-GB"/>
              </w:rPr>
            </w:pPr>
          </w:p>
          <w:p w14:paraId="20DBF48D" w14:textId="3D9BA11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hideMark/>
          </w:tcPr>
          <w:p w14:paraId="204CB8B6" w14:textId="77777777" w:rsidR="00142A3C" w:rsidRDefault="00142A3C">
            <w:pPr>
              <w:tabs>
                <w:tab w:val="left" w:leader="underscore" w:pos="6293"/>
                <w:tab w:val="left" w:leader="underscore" w:pos="8453"/>
              </w:tabs>
              <w:jc w:val="center"/>
              <w:rPr>
                <w:rFonts w:hAnsi="Times New Roman"/>
                <w:b/>
                <w:bCs/>
                <w:i/>
                <w:lang w:eastAsia="en-GB"/>
              </w:rPr>
            </w:pPr>
          </w:p>
          <w:p w14:paraId="314187FC" w14:textId="6840FD92"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hideMark/>
          </w:tcPr>
          <w:p w14:paraId="31545324" w14:textId="77777777" w:rsidR="00142A3C" w:rsidRDefault="00142A3C">
            <w:pPr>
              <w:tabs>
                <w:tab w:val="left" w:leader="underscore" w:pos="6293"/>
                <w:tab w:val="left" w:leader="underscore" w:pos="8453"/>
              </w:tabs>
              <w:jc w:val="center"/>
              <w:rPr>
                <w:rFonts w:hAnsi="Times New Roman"/>
                <w:b/>
                <w:bCs/>
                <w:i/>
                <w:lang w:eastAsia="en-GB"/>
              </w:rPr>
            </w:pPr>
          </w:p>
          <w:p w14:paraId="3A0AA251" w14:textId="3A56DC75"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hideMark/>
          </w:tcPr>
          <w:p w14:paraId="0C1F80F9" w14:textId="77777777" w:rsidR="00142A3C" w:rsidRDefault="00142A3C">
            <w:pPr>
              <w:tabs>
                <w:tab w:val="left" w:leader="underscore" w:pos="6293"/>
                <w:tab w:val="left" w:leader="underscore" w:pos="8453"/>
              </w:tabs>
              <w:jc w:val="center"/>
              <w:rPr>
                <w:rFonts w:hAnsi="Times New Roman"/>
                <w:b/>
                <w:bCs/>
                <w:i/>
                <w:lang w:eastAsia="en-GB"/>
              </w:rPr>
            </w:pPr>
          </w:p>
          <w:p w14:paraId="4501DA1D" w14:textId="0B064F5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lastRenderedPageBreak/>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2EFC49F6" w:rsidR="00581595" w:rsidRPr="008A68CC" w:rsidRDefault="00155C67" w:rsidP="00581595">
            <w:pPr>
              <w:tabs>
                <w:tab w:val="left" w:leader="underscore" w:pos="6293"/>
                <w:tab w:val="left" w:leader="underscore" w:pos="8453"/>
              </w:tabs>
              <w:ind w:firstLine="0"/>
              <w:rPr>
                <w:rFonts w:hAnsi="Times New Roman"/>
                <w:sz w:val="24"/>
                <w:szCs w:val="24"/>
                <w:lang w:eastAsia="en-GB"/>
              </w:rPr>
            </w:pPr>
            <w:r w:rsidRPr="00155C67">
              <w:rPr>
                <w:rFonts w:hAnsi="Times New Roman" w:cs="Times New Roman"/>
                <w:sz w:val="24"/>
                <w:szCs w:val="24"/>
              </w:rPr>
              <w:t>Ariogalos m. Jovarų g. (12</w:t>
            </w:r>
            <w:r>
              <w:rPr>
                <w:rFonts w:hAnsi="Times New Roman" w:cs="Times New Roman"/>
                <w:sz w:val="24"/>
                <w:szCs w:val="24"/>
              </w:rPr>
              <w:t>A</w:t>
            </w:r>
            <w:r w:rsidRPr="00155C67">
              <w:rPr>
                <w:rFonts w:hAnsi="Times New Roman" w:cs="Times New Roman"/>
                <w:sz w:val="24"/>
                <w:szCs w:val="24"/>
              </w:rPr>
              <w:t>22)</w:t>
            </w:r>
            <w:r w:rsidRPr="00260EC4">
              <w:rPr>
                <w:rFonts w:hAnsi="Times New Roman" w:cs="Times New Roman"/>
                <w:b/>
                <w:bCs/>
                <w:caps/>
                <w:sz w:val="24"/>
                <w:szCs w:val="24"/>
              </w:rPr>
              <w:t xml:space="preserve"> </w:t>
            </w:r>
            <w:r w:rsidR="008A68CC">
              <w:rPr>
                <w:rFonts w:hAnsi="Times New Roman" w:cs="Times New Roman"/>
                <w:sz w:val="24"/>
                <w:szCs w:val="24"/>
              </w:rPr>
              <w:t>k</w:t>
            </w:r>
            <w:r w:rsidR="008A68CC" w:rsidRPr="008A68CC">
              <w:rPr>
                <w:rFonts w:hAnsi="Times New Roman" w:cs="Times New Roman"/>
                <w:sz w:val="24"/>
                <w:szCs w:val="24"/>
              </w:rPr>
              <w:t>apitalinio remonto techninio darbo projekto ekspertizės paslauga</w:t>
            </w:r>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4014D54E" w14:textId="77777777" w:rsidR="003D7E28" w:rsidRDefault="003D7E28" w:rsidP="00112F92">
      <w:pPr>
        <w:spacing w:line="240" w:lineRule="auto"/>
        <w:ind w:left="7314" w:firstLine="0"/>
        <w:rPr>
          <w:rFonts w:cstheme="minorHAnsi"/>
        </w:rPr>
      </w:pPr>
    </w:p>
    <w:p w14:paraId="3224A565" w14:textId="77777777" w:rsidR="003D7E28" w:rsidRDefault="003D7E28" w:rsidP="00112F92">
      <w:pPr>
        <w:spacing w:line="240" w:lineRule="auto"/>
        <w:ind w:left="7314" w:firstLine="0"/>
        <w:rPr>
          <w:rFonts w:cstheme="minorHAnsi"/>
        </w:rPr>
      </w:pPr>
    </w:p>
    <w:p w14:paraId="20D7A846" w14:textId="77777777" w:rsidR="003D7E28" w:rsidRDefault="003D7E28"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lastRenderedPageBreak/>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(kvazisubtiekėjai)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(kvazisubtiekėjai),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lastRenderedPageBreak/>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lastRenderedPageBreak/>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lastRenderedPageBreak/>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(-os) (atstovaujamo (-os))_______________________________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(-ios)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E77F4">
              <w:rPr>
                <w:rFonts w:ascii="Times New Roman" w:eastAsia="Arial"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7E77F4">
              <w:rPr>
                <w:rFonts w:ascii="Times New Roman" w:eastAsia="Arial"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17E0DC6F" w14:textId="217CECA9" w:rsidR="007D46E3" w:rsidRDefault="00795A51" w:rsidP="007D46E3">
            <w:pPr>
              <w:rPr>
                <w:rFonts w:ascii="Times New Roman" w:hAnsi="Times New Roman" w:cs="Times New Roman"/>
                <w:color w:val="000000" w:themeColor="text1"/>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w:t>
            </w:r>
            <w:r w:rsidR="007D46E3">
              <w:rPr>
                <w:rFonts w:ascii="Times New Roman" w:hAnsi="Times New Roman" w:cs="Times New Roman"/>
                <w:sz w:val="24"/>
                <w:szCs w:val="24"/>
                <w:lang w:eastAsia="en-US"/>
              </w:rPr>
              <w:t>lyvauti viešuosiuose pirkimuose</w:t>
            </w:r>
            <w:r w:rsidR="007D46E3" w:rsidRPr="00FC538D">
              <w:rPr>
                <w:rFonts w:ascii="Times New Roman" w:hAnsi="Times New Roman" w:cs="Times New Roman"/>
                <w:color w:val="000000" w:themeColor="text1"/>
                <w:sz w:val="24"/>
                <w:szCs w:val="24"/>
              </w:rPr>
              <w:t xml:space="preserve"> </w:t>
            </w:r>
            <w:r w:rsidR="007D46E3" w:rsidRPr="00FC538D">
              <w:rPr>
                <w:rFonts w:ascii="Times New Roman" w:hAnsi="Times New Roman" w:cs="Times New Roman"/>
                <w:color w:val="000000" w:themeColor="text1"/>
                <w:sz w:val="24"/>
                <w:szCs w:val="24"/>
              </w:rPr>
              <w:t>(VPĮ 46 straipsnio 2</w:t>
            </w:r>
            <w:r w:rsidR="007D46E3" w:rsidRPr="00FC538D">
              <w:rPr>
                <w:rFonts w:ascii="Times New Roman" w:hAnsi="Times New Roman" w:cs="Times New Roman"/>
                <w:color w:val="000000" w:themeColor="text1"/>
                <w:sz w:val="24"/>
                <w:szCs w:val="24"/>
                <w:vertAlign w:val="superscript"/>
              </w:rPr>
              <w:t xml:space="preserve">1  </w:t>
            </w:r>
            <w:r w:rsidR="007D46E3" w:rsidRPr="00FC538D">
              <w:rPr>
                <w:rFonts w:ascii="Times New Roman" w:hAnsi="Times New Roman" w:cs="Times New Roman"/>
                <w:color w:val="000000" w:themeColor="text1"/>
                <w:sz w:val="24"/>
                <w:szCs w:val="24"/>
              </w:rPr>
              <w:t>dalies 2 punktas)“.</w:t>
            </w:r>
          </w:p>
          <w:p w14:paraId="508FE483" w14:textId="77777777" w:rsidR="007D46E3" w:rsidRPr="00FC538D" w:rsidRDefault="007D46E3" w:rsidP="007D46E3">
            <w:pPr>
              <w:rPr>
                <w:rFonts w:ascii="Times New Roman" w:hAnsi="Times New Roman" w:cs="Times New Roman"/>
                <w:color w:val="000000" w:themeColor="text1"/>
                <w:sz w:val="24"/>
                <w:szCs w:val="24"/>
              </w:rPr>
            </w:pPr>
          </w:p>
          <w:p w14:paraId="22EC41DE" w14:textId="2875538F" w:rsidR="00795A51" w:rsidRPr="00FD0063" w:rsidRDefault="007D46E3" w:rsidP="007D46E3">
            <w:pPr>
              <w:ind w:firstLine="0"/>
              <w:rPr>
                <w:rFonts w:ascii="Times New Roman" w:hAnsi="Times New Roman" w:cs="Times New Roman"/>
                <w:sz w:val="24"/>
                <w:szCs w:val="24"/>
              </w:rPr>
            </w:pPr>
            <w:r w:rsidRPr="00FC538D">
              <w:rPr>
                <w:rFonts w:ascii="Times New Roman" w:hAnsi="Times New Roman" w:cs="Times New Roman"/>
                <w:b/>
                <w:i/>
                <w:iCs/>
                <w:color w:val="000000" w:themeColor="text1"/>
                <w:sz w:val="24"/>
                <w:szCs w:val="24"/>
                <w:u w:val="single"/>
              </w:rPr>
              <w:t>Pastaba</w:t>
            </w:r>
            <w:r w:rsidRPr="00FC538D">
              <w:rPr>
                <w:rFonts w:ascii="Times New Roman" w:hAnsi="Times New Roman" w:cs="Times New Roman"/>
                <w:b/>
                <w:i/>
                <w:iCs/>
                <w:color w:val="000000" w:themeColor="text1"/>
                <w:sz w:val="24"/>
                <w:szCs w:val="24"/>
              </w:rPr>
              <w:t>:</w:t>
            </w:r>
            <w:r w:rsidRPr="00FC538D">
              <w:rPr>
                <w:rFonts w:ascii="Times New Roman" w:hAnsi="Times New Roman" w:cs="Times New Roman"/>
                <w:i/>
                <w:iCs/>
                <w:color w:val="000000" w:themeColor="text1"/>
                <w:sz w:val="24"/>
                <w:szCs w:val="24"/>
              </w:rPr>
              <w:t xml:space="preserve"> jei tiekėjui nebuvo paskirta tokia baudžiamojo poveikio priemonė arba jis ją jau atliko, turi žymėti „ne“, jei tiekėjui buvo paskirta tokia baudžiamojo poveikio priemonė ir jos neatliko, turi žymėti „taip“.</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7E77F4">
      <w:pPr>
        <w:pStyle w:val="Betarp"/>
        <w:numPr>
          <w:ilvl w:val="0"/>
          <w:numId w:val="11"/>
        </w:numPr>
        <w:tabs>
          <w:tab w:val="left" w:pos="630"/>
        </w:tabs>
        <w:ind w:hanging="1080"/>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7E77F4">
      <w:pPr>
        <w:pStyle w:val="Betarp"/>
        <w:tabs>
          <w:tab w:val="left" w:pos="630"/>
          <w:tab w:val="num" w:pos="1350"/>
        </w:tabs>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77777777" w:rsidR="007E77F4" w:rsidRPr="007E77F4" w:rsidRDefault="007E77F4" w:rsidP="007E77F4">
      <w:pPr>
        <w:pStyle w:val="Sraopastraipa"/>
        <w:tabs>
          <w:tab w:val="left" w:pos="567"/>
        </w:tabs>
        <w:snapToGrid w:val="0"/>
        <w:spacing w:line="360" w:lineRule="auto"/>
        <w:ind w:left="0" w:right="-1"/>
        <w:rPr>
          <w:rFonts w:ascii="Times New Roman" w:hAnsi="Times New Roman" w:cs="Times New Roman"/>
          <w:sz w:val="24"/>
          <w:szCs w:val="24"/>
        </w:rPr>
      </w:pPr>
      <w:r w:rsidRPr="007E77F4">
        <w:rPr>
          <w:rFonts w:ascii="Times New Roman" w:hAnsi="Times New Roman" w:cs="Times New Roman"/>
          <w:spacing w:val="-2"/>
          <w:sz w:val="24"/>
          <w:szCs w:val="24"/>
        </w:rPr>
        <w:tab/>
        <w:t>3. Tiekėjas</w:t>
      </w:r>
      <w:r w:rsidRPr="007E77F4">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7E77F4">
      <w:pPr>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22FBFCCA" w14:textId="381D9C89" w:rsidR="00E8267A" w:rsidRDefault="00E8267A" w:rsidP="007D46E3">
      <w:pPr>
        <w:spacing w:line="240" w:lineRule="auto"/>
        <w:ind w:firstLine="0"/>
        <w:rPr>
          <w:rFonts w:cstheme="minorHAnsi"/>
        </w:rPr>
      </w:pPr>
    </w:p>
    <w:p w14:paraId="761823F4" w14:textId="77777777" w:rsidR="00A5654F" w:rsidRDefault="00A5654F" w:rsidP="007D46E3">
      <w:pPr>
        <w:spacing w:line="240" w:lineRule="auto"/>
        <w:ind w:firstLine="0"/>
        <w:rPr>
          <w:rFonts w:cstheme="minorHAnsi"/>
        </w:rPr>
      </w:pPr>
      <w:bookmarkStart w:id="89" w:name="_GoBack"/>
      <w:bookmarkEnd w:id="89"/>
    </w:p>
    <w:p w14:paraId="630B14BA" w14:textId="3B26FF0F" w:rsidR="00E8267A" w:rsidRDefault="00E8267A"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77777777"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Pirkimo sutartis Nr. 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3CE5A3F8"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r w:rsidR="00AF5D36">
        <w:rPr>
          <w:rFonts w:ascii="Times New Roman" w:hAnsi="Times New Roman" w:cs="Times New Roman"/>
          <w:b/>
          <w:bCs/>
          <w:sz w:val="24"/>
          <w:szCs w:val="24"/>
        </w:rPr>
        <w:t>A</w:t>
      </w:r>
      <w:r w:rsidR="00AF5D36" w:rsidRPr="00AF5D36">
        <w:rPr>
          <w:rFonts w:ascii="Times New Roman" w:hAnsi="Times New Roman" w:cs="Times New Roman"/>
          <w:b/>
          <w:bCs/>
          <w:sz w:val="24"/>
          <w:szCs w:val="24"/>
        </w:rPr>
        <w:t xml:space="preserve">riogalos m. Jovarų g. (12A22) </w:t>
      </w:r>
      <w:r w:rsidR="00CB6C26">
        <w:rPr>
          <w:rFonts w:ascii="Times New Roman" w:hAnsi="Times New Roman" w:cs="Times New Roman"/>
          <w:b/>
          <w:bCs/>
          <w:sz w:val="24"/>
          <w:szCs w:val="24"/>
        </w:rPr>
        <w:t>k</w:t>
      </w:r>
      <w:r w:rsidR="00CB6C26" w:rsidRPr="00E6606B">
        <w:rPr>
          <w:rFonts w:ascii="Times New Roman" w:hAnsi="Times New Roman" w:cs="Times New Roman"/>
          <w:b/>
          <w:bCs/>
          <w:sz w:val="24"/>
          <w:szCs w:val="24"/>
        </w:rPr>
        <w:t xml:space="preserve">apitalinio remonto techninio darbo projekto ekspertizės </w:t>
      </w:r>
      <w:r w:rsidRPr="00EA4C45">
        <w:rPr>
          <w:rFonts w:ascii="Times New Roman" w:eastAsia="Calibri" w:hAnsi="Times New Roman" w:cs="Arial"/>
          <w:b/>
          <w:iCs/>
          <w:sz w:val="24"/>
          <w:szCs w:val="24"/>
        </w:rPr>
        <w:t xml:space="preserve">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3.3.1. reikalauti,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3.3.7. sustabdyti mokėjimus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(-us) subtiekėją (-us)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539695A0" w14:textId="77777777" w:rsidR="00E62A50" w:rsidRDefault="00E62A50" w:rsidP="00EA4C45">
      <w:pPr>
        <w:spacing w:line="276" w:lineRule="auto"/>
        <w:ind w:firstLine="0"/>
        <w:rPr>
          <w:rFonts w:ascii="Times New Roman" w:eastAsia="Calibri" w:hAnsi="Times New Roman" w:cs="Times New Roman"/>
          <w:sz w:val="24"/>
          <w:szCs w:val="24"/>
        </w:rPr>
      </w:pPr>
    </w:p>
    <w:p w14:paraId="52F6F770" w14:textId="77777777" w:rsidR="00E62A50" w:rsidRDefault="00E62A50" w:rsidP="00EA4C45">
      <w:pPr>
        <w:spacing w:line="276" w:lineRule="auto"/>
        <w:ind w:firstLine="0"/>
        <w:rPr>
          <w:rFonts w:ascii="Times New Roman" w:eastAsia="Calibri" w:hAnsi="Times New Roman" w:cs="Times New Roman"/>
          <w:sz w:val="24"/>
          <w:szCs w:val="24"/>
        </w:rPr>
      </w:pP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4.6.1. 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 70 (septyniasdešimt) proc. Pirkimo sutarties kainos, nurodytos priede Nr. 1;</w:t>
      </w:r>
    </w:p>
    <w:p w14:paraId="677F5522" w14:textId="77777777" w:rsidR="00E62A50" w:rsidRDefault="00E62A50" w:rsidP="00EA4C45">
      <w:pPr>
        <w:spacing w:line="276" w:lineRule="auto"/>
        <w:ind w:firstLine="0"/>
        <w:rPr>
          <w:rFonts w:ascii="Times New Roman" w:eastAsia="Calibri" w:hAnsi="Times New Roman" w:cs="Times New Roman"/>
          <w:sz w:val="24"/>
          <w:szCs w:val="24"/>
        </w:rPr>
      </w:pPr>
    </w:p>
    <w:p w14:paraId="1AF1E434" w14:textId="77777777" w:rsidR="00E62A50" w:rsidRDefault="00E62A50" w:rsidP="00EA4C45">
      <w:pPr>
        <w:spacing w:line="276" w:lineRule="auto"/>
        <w:ind w:firstLine="0"/>
        <w:rPr>
          <w:rFonts w:ascii="Times New Roman" w:eastAsia="Calibri" w:hAnsi="Times New Roman" w:cs="Times New Roman"/>
          <w:sz w:val="24"/>
          <w:szCs w:val="24"/>
        </w:rPr>
      </w:pPr>
    </w:p>
    <w:p w14:paraId="4CCC531D" w14:textId="77777777" w:rsidR="00E62A50" w:rsidRDefault="00E62A50" w:rsidP="00EA4C45">
      <w:pPr>
        <w:spacing w:line="276" w:lineRule="auto"/>
        <w:ind w:firstLine="0"/>
        <w:rPr>
          <w:rFonts w:ascii="Times New Roman" w:eastAsia="Calibri" w:hAnsi="Times New Roman" w:cs="Times New Roman"/>
          <w:sz w:val="24"/>
          <w:szCs w:val="24"/>
        </w:rPr>
      </w:pP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058F4F9" w14:textId="77777777" w:rsidR="00E62A50" w:rsidRDefault="00E62A50" w:rsidP="00EA4C45">
      <w:pPr>
        <w:spacing w:line="276" w:lineRule="auto"/>
        <w:ind w:firstLine="0"/>
        <w:rPr>
          <w:rFonts w:ascii="Times New Roman" w:eastAsia="Calibri" w:hAnsi="Times New Roman" w:cs="Times New Roman"/>
          <w:sz w:val="24"/>
          <w:szCs w:val="24"/>
        </w:rPr>
      </w:pP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485D922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5FBAB259" w14:textId="77777777" w:rsidR="00E62A50" w:rsidRDefault="00E62A50" w:rsidP="00EA4C45">
      <w:pPr>
        <w:spacing w:line="276" w:lineRule="auto"/>
        <w:ind w:firstLine="0"/>
        <w:rPr>
          <w:rFonts w:ascii="Times New Roman" w:eastAsia="Calibri" w:hAnsi="Times New Roman" w:cs="Times New Roman"/>
          <w:sz w:val="24"/>
          <w:szCs w:val="24"/>
        </w:rPr>
      </w:pP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10.5.3. Pirkimo sutartis buvo pakeista pažeidžiant VPĮ 89 str.;</w:t>
      </w:r>
    </w:p>
    <w:p w14:paraId="12D2AF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1858DB86" w14:textId="77777777" w:rsidR="00E62A50" w:rsidRDefault="00E62A50" w:rsidP="00EA4C45">
      <w:pPr>
        <w:spacing w:line="276" w:lineRule="auto"/>
        <w:ind w:firstLine="0"/>
        <w:rPr>
          <w:rFonts w:ascii="Times New Roman" w:eastAsia="Calibri" w:hAnsi="Times New Roman" w:cs="Times New Roman"/>
          <w:sz w:val="24"/>
          <w:szCs w:val="24"/>
        </w:rPr>
      </w:pP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624EC7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23EA5955" w14:textId="77777777" w:rsidR="00E62A50" w:rsidRDefault="00E62A50" w:rsidP="00EA4C45">
      <w:pPr>
        <w:spacing w:line="276" w:lineRule="auto"/>
        <w:ind w:firstLine="0"/>
        <w:rPr>
          <w:rFonts w:ascii="Times New Roman" w:eastAsia="Calibri" w:hAnsi="Times New Roman" w:cs="Times New Roman"/>
          <w:sz w:val="24"/>
          <w:szCs w:val="24"/>
        </w:rPr>
      </w:pP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11. Subtiekimas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Pirkimo sutarties vykdymui TIEKĖJAS pasitelkia Pirkimo pasiūlyme nurodytus subtiekėjus ir (ar) specialistus bei ūkio subjektus, kurių pajėgumais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Tiekėjas neturi teisės keisti Subtiekėjų ir (ar) specialistų, kurių pajėgumais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11.11. Trišalė sutartis turi būti sudaryta ne vėliau kaip iki pirmojo UŽSAKOVO atsiskaitymo su subtiekėju. Šioje sutartyje nurodoma TIEKĖJO teisė prieštarauti nepagrįstiems mokėjimams.</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31A80D9F" w14:textId="6D76241D" w:rsidR="00E432D3" w:rsidRPr="00EA4C45" w:rsidRDefault="00E432D3" w:rsidP="00EA4C45">
      <w:pPr>
        <w:spacing w:line="276" w:lineRule="auto"/>
        <w:ind w:firstLine="0"/>
        <w:rPr>
          <w:rFonts w:ascii="Times New Roman" w:eastAsia="Calibri" w:hAnsi="Times New Roman" w:cs="Times New Roman"/>
          <w:sz w:val="24"/>
          <w:szCs w:val="24"/>
        </w:rPr>
      </w:pPr>
      <w:r w:rsidRPr="00E432D3">
        <w:rPr>
          <w:rFonts w:ascii="Times New Roman" w:eastAsia="Calibri" w:hAnsi="Times New Roman" w:cs="Times New Roman"/>
          <w:sz w:val="24"/>
          <w:szCs w:val="24"/>
        </w:rPr>
        <w:t>19.2. Priedas Nr. 2 – Techninė specifikacija.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El. paštas: savivaldybe@raseiniai.lt</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...................@.................lt</w:t>
      </w:r>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Direktorius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7E07A68" w14:textId="77777777" w:rsidR="00F849DC" w:rsidRDefault="00F849DC"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6C28995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Objektas: </w:t>
      </w:r>
      <w:r w:rsidR="002A03ED" w:rsidRPr="002A03ED">
        <w:rPr>
          <w:rFonts w:ascii="Times New Roman" w:hAnsi="Times New Roman" w:cs="Times New Roman"/>
          <w:sz w:val="24"/>
          <w:szCs w:val="24"/>
        </w:rPr>
        <w:t>Ariogalos m. Jovarų g. (12A22)</w:t>
      </w:r>
      <w:r w:rsidR="002A03ED" w:rsidRPr="00AF5D36">
        <w:rPr>
          <w:rFonts w:ascii="Times New Roman" w:hAnsi="Times New Roman" w:cs="Times New Roman"/>
          <w:b/>
          <w:bCs/>
          <w:sz w:val="24"/>
          <w:szCs w:val="24"/>
        </w:rPr>
        <w:t xml:space="preserve"> </w:t>
      </w:r>
      <w:r w:rsidRPr="00EA4C45">
        <w:rPr>
          <w:rFonts w:ascii="Times New Roman" w:eastAsia="Calibri" w:hAnsi="Times New Roman" w:cs="Times New Roman"/>
          <w:sz w:val="24"/>
          <w:szCs w:val="24"/>
        </w:rPr>
        <w:t>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094ED057" w:rsidR="00EA4C45" w:rsidRPr="00162FB1" w:rsidRDefault="00162FB1" w:rsidP="00EA4C45">
            <w:pPr>
              <w:spacing w:line="240" w:lineRule="auto"/>
              <w:ind w:firstLine="0"/>
              <w:jc w:val="left"/>
              <w:rPr>
                <w:rFonts w:ascii="Times New Roman" w:eastAsia="Calibri" w:hAnsi="Times New Roman" w:cs="Times New Roman"/>
                <w:sz w:val="24"/>
                <w:szCs w:val="24"/>
              </w:rPr>
            </w:pPr>
            <w:r w:rsidRPr="00162FB1">
              <w:rPr>
                <w:rFonts w:ascii="Times New Roman" w:hAnsi="Times New Roman" w:cs="Times New Roman"/>
                <w:sz w:val="24"/>
                <w:szCs w:val="24"/>
              </w:rPr>
              <w:t xml:space="preserve">Ariogalos m. Jovarų g. (12A22) </w:t>
            </w:r>
            <w:r w:rsidR="009F79D5" w:rsidRPr="00162FB1">
              <w:rPr>
                <w:rFonts w:ascii="Times New Roman" w:hAnsi="Times New Roman" w:cs="Times New Roman"/>
                <w:sz w:val="24"/>
                <w:szCs w:val="24"/>
              </w:rPr>
              <w:t>Raseinių r. sav.</w:t>
            </w:r>
          </w:p>
        </w:tc>
        <w:tc>
          <w:tcPr>
            <w:tcW w:w="3543" w:type="dxa"/>
          </w:tcPr>
          <w:p w14:paraId="39770A24" w14:textId="737BB536" w:rsidR="00EA4C45" w:rsidRPr="00162FB1" w:rsidRDefault="00162FB1" w:rsidP="00EA4C45">
            <w:pPr>
              <w:spacing w:line="240" w:lineRule="auto"/>
              <w:ind w:firstLine="0"/>
              <w:jc w:val="left"/>
              <w:rPr>
                <w:rFonts w:ascii="Times New Roman" w:eastAsia="Calibri" w:hAnsi="Times New Roman" w:cs="Times New Roman"/>
                <w:sz w:val="24"/>
                <w:szCs w:val="24"/>
              </w:rPr>
            </w:pPr>
            <w:r w:rsidRPr="00162FB1">
              <w:rPr>
                <w:rFonts w:ascii="Times New Roman" w:hAnsi="Times New Roman" w:cs="Times New Roman"/>
                <w:sz w:val="24"/>
                <w:szCs w:val="24"/>
              </w:rPr>
              <w:t xml:space="preserve">Ariogalos m. Jovarų g. (12A22) </w:t>
            </w:r>
            <w:r w:rsidR="009F79D5" w:rsidRPr="00162FB1">
              <w:rPr>
                <w:rFonts w:ascii="Times New Roman" w:hAnsi="Times New Roman" w:cs="Times New Roman"/>
                <w:sz w:val="24"/>
                <w:szCs w:val="24"/>
              </w:rPr>
              <w:t>kapitalinio remonto techninio darbo projekto ekspertizės paslauga</w:t>
            </w:r>
          </w:p>
        </w:tc>
        <w:tc>
          <w:tcPr>
            <w:tcW w:w="2410" w:type="dxa"/>
            <w:vAlign w:val="center"/>
          </w:tcPr>
          <w:p w14:paraId="26CCD2D5"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0"/>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D66D2" w14:textId="77777777" w:rsidR="0038240B" w:rsidRDefault="0038240B" w:rsidP="00D05666">
      <w:r>
        <w:separator/>
      </w:r>
    </w:p>
  </w:endnote>
  <w:endnote w:type="continuationSeparator" w:id="0">
    <w:p w14:paraId="68B431A0" w14:textId="77777777" w:rsidR="0038240B" w:rsidRDefault="0038240B" w:rsidP="00D05666">
      <w:r>
        <w:continuationSeparator/>
      </w:r>
    </w:p>
  </w:endnote>
  <w:endnote w:type="continuationNotice" w:id="1">
    <w:p w14:paraId="3EF00E59" w14:textId="77777777" w:rsidR="0038240B" w:rsidRDefault="003824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sig w:usb0="00000005" w:usb1="00000000" w:usb2="00000000" w:usb3="00000000" w:csb0="00000080" w:csb1="00000000"/>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F2235" w14:paraId="6DB6132A" w14:textId="77777777" w:rsidTr="0B831528">
      <w:tc>
        <w:tcPr>
          <w:tcW w:w="3600" w:type="dxa"/>
        </w:tcPr>
        <w:p w14:paraId="3DD6CB26" w14:textId="184D4FE5" w:rsidR="003F2235" w:rsidRDefault="003F2235" w:rsidP="00EA4C45">
          <w:pPr>
            <w:pStyle w:val="Antrats"/>
            <w:tabs>
              <w:tab w:val="clear" w:pos="4513"/>
              <w:tab w:val="clear" w:pos="9026"/>
              <w:tab w:val="left" w:pos="1365"/>
            </w:tabs>
            <w:ind w:left="-115"/>
            <w:jc w:val="left"/>
          </w:pPr>
          <w:r>
            <w:tab/>
          </w:r>
        </w:p>
      </w:tc>
      <w:tc>
        <w:tcPr>
          <w:tcW w:w="3600" w:type="dxa"/>
        </w:tcPr>
        <w:p w14:paraId="0FFE1169" w14:textId="04D5F0EA" w:rsidR="003F2235" w:rsidRDefault="003F2235" w:rsidP="0B831528">
          <w:pPr>
            <w:pStyle w:val="Antrats"/>
            <w:jc w:val="center"/>
          </w:pPr>
        </w:p>
      </w:tc>
      <w:tc>
        <w:tcPr>
          <w:tcW w:w="3600" w:type="dxa"/>
        </w:tcPr>
        <w:p w14:paraId="637FC8A9" w14:textId="7FCE1B5E" w:rsidR="003F2235" w:rsidRDefault="003F2235" w:rsidP="0B831528">
          <w:pPr>
            <w:pStyle w:val="Antrats"/>
            <w:ind w:right="-115"/>
            <w:jc w:val="right"/>
          </w:pPr>
        </w:p>
      </w:tc>
    </w:tr>
  </w:tbl>
  <w:p w14:paraId="1418C709" w14:textId="2F0E40AA" w:rsidR="003F2235" w:rsidRDefault="003F2235"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F2235" w14:paraId="26379111" w14:textId="77777777" w:rsidTr="0B831528">
      <w:tc>
        <w:tcPr>
          <w:tcW w:w="3600" w:type="dxa"/>
        </w:tcPr>
        <w:p w14:paraId="47E711C1" w14:textId="19AB4DF1" w:rsidR="003F2235" w:rsidRDefault="003F2235" w:rsidP="0B831528">
          <w:pPr>
            <w:pStyle w:val="Antrats"/>
            <w:ind w:left="-115"/>
            <w:jc w:val="left"/>
          </w:pPr>
        </w:p>
      </w:tc>
      <w:tc>
        <w:tcPr>
          <w:tcW w:w="3600" w:type="dxa"/>
        </w:tcPr>
        <w:p w14:paraId="1A5949BA" w14:textId="5C596B32" w:rsidR="003F2235" w:rsidRDefault="003F2235" w:rsidP="0B831528">
          <w:pPr>
            <w:pStyle w:val="Antrats"/>
            <w:jc w:val="center"/>
          </w:pPr>
        </w:p>
      </w:tc>
      <w:tc>
        <w:tcPr>
          <w:tcW w:w="3600" w:type="dxa"/>
        </w:tcPr>
        <w:p w14:paraId="397999A9" w14:textId="74BE2DF9" w:rsidR="003F2235" w:rsidRDefault="003F2235" w:rsidP="0B831528">
          <w:pPr>
            <w:pStyle w:val="Antrats"/>
            <w:ind w:right="-115"/>
            <w:jc w:val="right"/>
          </w:pPr>
        </w:p>
      </w:tc>
    </w:tr>
  </w:tbl>
  <w:p w14:paraId="16BE47DF" w14:textId="0FE8012D" w:rsidR="003F2235" w:rsidRDefault="003F2235"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843C0" w14:textId="77777777" w:rsidR="0038240B" w:rsidRDefault="0038240B" w:rsidP="00D05666">
      <w:r>
        <w:separator/>
      </w:r>
    </w:p>
  </w:footnote>
  <w:footnote w:type="continuationSeparator" w:id="0">
    <w:p w14:paraId="156FDF2F" w14:textId="77777777" w:rsidR="0038240B" w:rsidRDefault="0038240B" w:rsidP="00D05666">
      <w:r>
        <w:continuationSeparator/>
      </w:r>
    </w:p>
  </w:footnote>
  <w:footnote w:type="continuationNotice" w:id="1">
    <w:p w14:paraId="2F651417" w14:textId="77777777" w:rsidR="0038240B" w:rsidRDefault="0038240B">
      <w:pPr>
        <w:spacing w:line="240" w:lineRule="auto"/>
      </w:pPr>
    </w:p>
  </w:footnote>
  <w:footnote w:id="2">
    <w:p w14:paraId="6DE320EC" w14:textId="77777777" w:rsidR="003F2235" w:rsidRPr="00E26C73" w:rsidRDefault="003F2235"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3F2235" w:rsidRPr="00E26C73" w:rsidRDefault="003F2235" w:rsidP="007D4954">
      <w:pPr>
        <w:pStyle w:val="Puslapioinaostekstas"/>
        <w:spacing w:line="240" w:lineRule="auto"/>
      </w:pPr>
      <w:r w:rsidRPr="00E26C73">
        <w:rPr>
          <w:rStyle w:val="Puslapioinaosnuoroda"/>
        </w:rPr>
        <w:footnoteRef/>
      </w:r>
      <w:r>
        <w:t xml:space="preserve"> „PowerPoint“ pateiktis</w:t>
      </w:r>
    </w:p>
  </w:footnote>
  <w:footnote w:id="4">
    <w:p w14:paraId="7B4902C3"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3F2235" w:rsidRDefault="003F2235">
        <w:pPr>
          <w:pStyle w:val="Antrats"/>
          <w:jc w:val="center"/>
        </w:pPr>
        <w:r>
          <w:fldChar w:fldCharType="begin"/>
        </w:r>
        <w:r>
          <w:instrText>PAGE   \* MERGEFORMAT</w:instrText>
        </w:r>
        <w:r>
          <w:fldChar w:fldCharType="separate"/>
        </w:r>
        <w:r w:rsidR="007D46E3">
          <w:rPr>
            <w:noProof/>
          </w:rPr>
          <w:t>41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3F2235" w:rsidRDefault="003F2235">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4"/>
  </w:num>
  <w:num w:numId="2">
    <w:abstractNumId w:val="25"/>
  </w:num>
  <w:num w:numId="3">
    <w:abstractNumId w:val="15"/>
  </w:num>
  <w:num w:numId="4">
    <w:abstractNumId w:val="34"/>
  </w:num>
  <w:num w:numId="5">
    <w:abstractNumId w:val="8"/>
  </w:num>
  <w:num w:numId="6">
    <w:abstractNumId w:val="3"/>
  </w:num>
  <w:num w:numId="7">
    <w:abstractNumId w:val="16"/>
  </w:num>
  <w:num w:numId="8">
    <w:abstractNumId w:val="22"/>
  </w:num>
  <w:num w:numId="9">
    <w:abstractNumId w:val="9"/>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14"/>
  </w:num>
  <w:num w:numId="15">
    <w:abstractNumId w:val="18"/>
  </w:num>
  <w:num w:numId="16">
    <w:abstractNumId w:val="0"/>
  </w:num>
  <w:num w:numId="17">
    <w:abstractNumId w:val="11"/>
  </w:num>
  <w:num w:numId="18">
    <w:abstractNumId w:val="35"/>
  </w:num>
  <w:num w:numId="19">
    <w:abstractNumId w:val="38"/>
  </w:num>
  <w:num w:numId="20">
    <w:abstractNumId w:val="36"/>
  </w:num>
  <w:num w:numId="21">
    <w:abstractNumId w:val="20"/>
  </w:num>
  <w:num w:numId="22">
    <w:abstractNumId w:val="26"/>
  </w:num>
  <w:num w:numId="23">
    <w:abstractNumId w:val="5"/>
  </w:num>
  <w:num w:numId="24">
    <w:abstractNumId w:val="33"/>
  </w:num>
  <w:num w:numId="25">
    <w:abstractNumId w:val="21"/>
  </w:num>
  <w:num w:numId="26">
    <w:abstractNumId w:val="32"/>
  </w:num>
  <w:num w:numId="27">
    <w:abstractNumId w:val="29"/>
  </w:num>
  <w:num w:numId="28">
    <w:abstractNumId w:val="7"/>
  </w:num>
  <w:num w:numId="29">
    <w:abstractNumId w:val="2"/>
  </w:num>
  <w:num w:numId="30">
    <w:abstractNumId w:val="6"/>
  </w:num>
  <w:num w:numId="31">
    <w:abstractNumId w:val="30"/>
  </w:num>
  <w:num w:numId="32">
    <w:abstractNumId w:val="37"/>
  </w:num>
  <w:num w:numId="33">
    <w:abstractNumId w:val="12"/>
  </w:num>
  <w:num w:numId="34">
    <w:abstractNumId w:val="17"/>
  </w:num>
  <w:num w:numId="35">
    <w:abstractNumId w:val="27"/>
  </w:num>
  <w:num w:numId="36">
    <w:abstractNumId w:val="13"/>
  </w:num>
  <w:num w:numId="37">
    <w:abstractNumId w:val="1"/>
  </w:num>
  <w:num w:numId="38">
    <w:abstractNumId w:val="28"/>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AD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1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54F4"/>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44FA"/>
    <w:rsid w:val="00155C67"/>
    <w:rsid w:val="00156AC9"/>
    <w:rsid w:val="001607EC"/>
    <w:rsid w:val="00162FB1"/>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875D3"/>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80"/>
    <w:rsid w:val="002601F1"/>
    <w:rsid w:val="002603C7"/>
    <w:rsid w:val="00260CEE"/>
    <w:rsid w:val="00260E03"/>
    <w:rsid w:val="00260EC4"/>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BF1"/>
    <w:rsid w:val="002970CF"/>
    <w:rsid w:val="00297490"/>
    <w:rsid w:val="002974D4"/>
    <w:rsid w:val="002A00F7"/>
    <w:rsid w:val="002A03ED"/>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45D"/>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2E7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0B"/>
    <w:rsid w:val="00382455"/>
    <w:rsid w:val="00382939"/>
    <w:rsid w:val="00382B76"/>
    <w:rsid w:val="003849A9"/>
    <w:rsid w:val="00384F4D"/>
    <w:rsid w:val="00384F5A"/>
    <w:rsid w:val="00386A7C"/>
    <w:rsid w:val="003878F0"/>
    <w:rsid w:val="0038790C"/>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E28"/>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148"/>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AA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B7"/>
    <w:rsid w:val="005357BB"/>
    <w:rsid w:val="00536E98"/>
    <w:rsid w:val="005377B5"/>
    <w:rsid w:val="005379E7"/>
    <w:rsid w:val="00540094"/>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24"/>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997"/>
    <w:rsid w:val="00687E47"/>
    <w:rsid w:val="0069058D"/>
    <w:rsid w:val="006912EA"/>
    <w:rsid w:val="0069239C"/>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6E3"/>
    <w:rsid w:val="007D4954"/>
    <w:rsid w:val="007D583F"/>
    <w:rsid w:val="007D5985"/>
    <w:rsid w:val="007D5C61"/>
    <w:rsid w:val="007D5F38"/>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5949"/>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8CC"/>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106"/>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9D5"/>
    <w:rsid w:val="009F7C63"/>
    <w:rsid w:val="009F7D62"/>
    <w:rsid w:val="009F7F79"/>
    <w:rsid w:val="00A000F5"/>
    <w:rsid w:val="00A00765"/>
    <w:rsid w:val="00A0136C"/>
    <w:rsid w:val="00A01B3A"/>
    <w:rsid w:val="00A02524"/>
    <w:rsid w:val="00A02D5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279"/>
    <w:rsid w:val="00A654D5"/>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5D36"/>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EA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3B73"/>
    <w:rsid w:val="00BE3C0E"/>
    <w:rsid w:val="00BE3EEA"/>
    <w:rsid w:val="00BE43A9"/>
    <w:rsid w:val="00BE4401"/>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112"/>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47D40"/>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6C26"/>
    <w:rsid w:val="00CB70A1"/>
    <w:rsid w:val="00CB748D"/>
    <w:rsid w:val="00CB7F9E"/>
    <w:rsid w:val="00CC045F"/>
    <w:rsid w:val="00CC0C98"/>
    <w:rsid w:val="00CC0E46"/>
    <w:rsid w:val="00CC1E27"/>
    <w:rsid w:val="00CC3014"/>
    <w:rsid w:val="00CC31F1"/>
    <w:rsid w:val="00CC3925"/>
    <w:rsid w:val="00CC41D0"/>
    <w:rsid w:val="00CC45EE"/>
    <w:rsid w:val="00CC4CB4"/>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2D3"/>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6C4"/>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6B"/>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9F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60C"/>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C"/>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0E21"/>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apdorotaspaminjimas7">
    <w:name w:val="Neapdorotas paminėjimas7"/>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sig w:usb0="00000005" w:usb1="00000000" w:usb2="00000000" w:usb3="00000000" w:csb0="00000080" w:csb1="00000000"/>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951FB"/>
    <w:rsid w:val="000E3D5E"/>
    <w:rsid w:val="000E62D1"/>
    <w:rsid w:val="001251FC"/>
    <w:rsid w:val="00127A9E"/>
    <w:rsid w:val="001869FC"/>
    <w:rsid w:val="001875D3"/>
    <w:rsid w:val="00196F30"/>
    <w:rsid w:val="00197EDC"/>
    <w:rsid w:val="001A6EE0"/>
    <w:rsid w:val="001E3B26"/>
    <w:rsid w:val="0020241D"/>
    <w:rsid w:val="00256A57"/>
    <w:rsid w:val="002876B4"/>
    <w:rsid w:val="00295EF8"/>
    <w:rsid w:val="002C1509"/>
    <w:rsid w:val="002C56F2"/>
    <w:rsid w:val="002D1C16"/>
    <w:rsid w:val="00322788"/>
    <w:rsid w:val="0034449F"/>
    <w:rsid w:val="00353335"/>
    <w:rsid w:val="003661A6"/>
    <w:rsid w:val="003736F9"/>
    <w:rsid w:val="004161F4"/>
    <w:rsid w:val="00430113"/>
    <w:rsid w:val="00431192"/>
    <w:rsid w:val="00460C76"/>
    <w:rsid w:val="0046126A"/>
    <w:rsid w:val="004674D6"/>
    <w:rsid w:val="004C214A"/>
    <w:rsid w:val="004D38E9"/>
    <w:rsid w:val="004E2749"/>
    <w:rsid w:val="005461AB"/>
    <w:rsid w:val="00565819"/>
    <w:rsid w:val="005B0FAF"/>
    <w:rsid w:val="006438FF"/>
    <w:rsid w:val="00652F79"/>
    <w:rsid w:val="006D77F5"/>
    <w:rsid w:val="0071109B"/>
    <w:rsid w:val="007260B3"/>
    <w:rsid w:val="00731487"/>
    <w:rsid w:val="00737C4C"/>
    <w:rsid w:val="0078514A"/>
    <w:rsid w:val="007C7D73"/>
    <w:rsid w:val="007D5F38"/>
    <w:rsid w:val="007D75B2"/>
    <w:rsid w:val="007F25D7"/>
    <w:rsid w:val="00810A25"/>
    <w:rsid w:val="00817B6D"/>
    <w:rsid w:val="00860AEC"/>
    <w:rsid w:val="00881536"/>
    <w:rsid w:val="00883B4F"/>
    <w:rsid w:val="008928CD"/>
    <w:rsid w:val="008D0054"/>
    <w:rsid w:val="008D6E2A"/>
    <w:rsid w:val="008F2409"/>
    <w:rsid w:val="00905C1E"/>
    <w:rsid w:val="00906FC8"/>
    <w:rsid w:val="00915219"/>
    <w:rsid w:val="00915DD0"/>
    <w:rsid w:val="00926BF1"/>
    <w:rsid w:val="009520DA"/>
    <w:rsid w:val="009759D5"/>
    <w:rsid w:val="00975C18"/>
    <w:rsid w:val="0097687E"/>
    <w:rsid w:val="00980141"/>
    <w:rsid w:val="009A37BB"/>
    <w:rsid w:val="009C5E39"/>
    <w:rsid w:val="009E6FBD"/>
    <w:rsid w:val="009F444E"/>
    <w:rsid w:val="00A02E8E"/>
    <w:rsid w:val="00A03CB8"/>
    <w:rsid w:val="00A447B7"/>
    <w:rsid w:val="00A55596"/>
    <w:rsid w:val="00A63B24"/>
    <w:rsid w:val="00A654D5"/>
    <w:rsid w:val="00A87851"/>
    <w:rsid w:val="00AC07D5"/>
    <w:rsid w:val="00AD09B5"/>
    <w:rsid w:val="00AD33B3"/>
    <w:rsid w:val="00AE4B5D"/>
    <w:rsid w:val="00B02DFF"/>
    <w:rsid w:val="00B031BD"/>
    <w:rsid w:val="00B14A38"/>
    <w:rsid w:val="00B604DE"/>
    <w:rsid w:val="00B70DD9"/>
    <w:rsid w:val="00C14611"/>
    <w:rsid w:val="00C2149D"/>
    <w:rsid w:val="00C64F5A"/>
    <w:rsid w:val="00C72C58"/>
    <w:rsid w:val="00C94D18"/>
    <w:rsid w:val="00CA01C8"/>
    <w:rsid w:val="00CD27B6"/>
    <w:rsid w:val="00CD58A3"/>
    <w:rsid w:val="00CF4CEB"/>
    <w:rsid w:val="00D1288B"/>
    <w:rsid w:val="00D94C60"/>
    <w:rsid w:val="00DE23D8"/>
    <w:rsid w:val="00DE4E32"/>
    <w:rsid w:val="00E1780C"/>
    <w:rsid w:val="00E464CE"/>
    <w:rsid w:val="00E616C4"/>
    <w:rsid w:val="00E672BD"/>
    <w:rsid w:val="00E706A7"/>
    <w:rsid w:val="00EC1F98"/>
    <w:rsid w:val="00ED7B52"/>
    <w:rsid w:val="00EF6792"/>
    <w:rsid w:val="00F27C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DCBE697E-579F-4D15-9502-481871DF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85015</Words>
  <Characters>48460</Characters>
  <Application>Microsoft Office Word</Application>
  <DocSecurity>0</DocSecurity>
  <Lines>403</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Vida Germanavičienė</cp:lastModifiedBy>
  <cp:revision>31</cp:revision>
  <cp:lastPrinted>2025-02-05T12:46:00Z</cp:lastPrinted>
  <dcterms:created xsi:type="dcterms:W3CDTF">2025-02-14T08:01:00Z</dcterms:created>
  <dcterms:modified xsi:type="dcterms:W3CDTF">2025-04-14T07:55:00Z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