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customXml/item1.xml" ContentType="application/xml"/>
  <Override PartName="/customXml/itemProps3.xml" ContentType="application/vnd.openxmlformats-officedocument.customXmlProperties+xml"/>
  <Override PartName="/customXml/itemProps1.xml" ContentType="application/vnd.openxmlformats-officedocument.customXmlProperties+xml"/>
  <Override PartName="/customXml/item2.xml" ContentType="application/xml"/>
  <Override PartName="/customXml/itemProps4.xml" ContentType="application/vnd.openxmlformats-officedocument.customXmlProperties+xml"/>
  <Override PartName="/customXml/itemProps2.xml" ContentType="application/vnd.openxmlformats-officedocument.customXmlProperties+xml"/>
  <Override PartName="/customXml/item3.xml" ContentType="application/xml"/>
  <Override PartName="/customXml/item4.xml" ContentType="application/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1296"/>
          <w:tab w:val="left" w:pos="5400" w:leader="none"/>
        </w:tabs>
        <w:ind w:firstLine="62"/>
        <w:textAlignment w:val="center"/>
        <w:rPr/>
      </w:pPr>
      <w:r>
        <w:rPr/>
      </w:r>
    </w:p>
    <w:p>
      <w:pPr>
        <w:pStyle w:val="Normal"/>
        <w:tabs>
          <w:tab w:val="clear" w:pos="1296"/>
          <w:tab w:val="left" w:pos="5400" w:leader="none"/>
        </w:tabs>
        <w:textAlignment w:val="center"/>
        <w:rPr>
          <w:szCs w:val="24"/>
        </w:rPr>
      </w:pPr>
      <w:r>
        <w:rPr>
          <w:szCs w:val="24"/>
        </w:rPr>
      </w:r>
    </w:p>
    <w:p>
      <w:pPr>
        <w:pStyle w:val="Normal"/>
        <w:widowControl w:val="false"/>
        <w:tabs>
          <w:tab w:val="clear" w:pos="1296"/>
          <w:tab w:val="left" w:pos="567" w:leader="none"/>
          <w:tab w:val="left" w:pos="851" w:leader="none"/>
        </w:tabs>
        <w:jc w:val="center"/>
        <w:rPr>
          <w:b/>
          <w:bCs/>
          <w:caps/>
          <w:szCs w:val="24"/>
        </w:rPr>
      </w:pPr>
      <w:r>
        <w:rPr>
          <w:b/>
          <w:bCs/>
          <w:caps/>
          <w:szCs w:val="24"/>
        </w:rPr>
        <w:t>paslaugų pirkimo-pardavimo sutarties Specialiosios sąlygos</w:t>
      </w:r>
    </w:p>
    <w:p>
      <w:pPr>
        <w:pStyle w:val="Normal"/>
        <w:widowControl w:val="false"/>
        <w:tabs>
          <w:tab w:val="clear" w:pos="1296"/>
          <w:tab w:val="left" w:pos="567" w:leader="none"/>
          <w:tab w:val="left" w:pos="851" w:leader="none"/>
        </w:tabs>
        <w:jc w:val="center"/>
        <w:rPr>
          <w:b/>
          <w:bCs/>
          <w:caps/>
          <w:szCs w:val="24"/>
        </w:rPr>
      </w:pPr>
      <w:r>
        <w:rPr>
          <w:b/>
          <w:bCs/>
          <w:caps/>
          <w:szCs w:val="24"/>
        </w:rPr>
      </w:r>
    </w:p>
    <w:p>
      <w:pPr>
        <w:pStyle w:val="Normal"/>
        <w:jc w:val="center"/>
        <w:rPr>
          <w:szCs w:val="24"/>
        </w:rPr>
      </w:pPr>
      <w:r>
        <w:rPr>
          <w:szCs w:val="24"/>
        </w:rPr>
      </w:r>
    </w:p>
    <w:tbl>
      <w:tblPr>
        <w:tblW w:w="9558"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2447"/>
        <w:gridCol w:w="2179"/>
        <w:gridCol w:w="2360"/>
        <w:gridCol w:w="2571"/>
      </w:tblGrid>
      <w:tr>
        <w:trPr/>
        <w:tc>
          <w:tcPr>
            <w:tcW w:w="2447" w:type="dxa"/>
            <w:tcBorders>
              <w:top w:val="single" w:sz="4" w:space="0" w:color="000000"/>
              <w:left w:val="single" w:sz="4" w:space="0" w:color="000000"/>
              <w:bottom w:val="single" w:sz="4" w:space="0" w:color="000000"/>
              <w:right w:val="single" w:sz="4" w:space="0" w:color="000000"/>
            </w:tcBorders>
          </w:tcPr>
          <w:p>
            <w:pPr>
              <w:pStyle w:val="Normal"/>
              <w:jc w:val="both"/>
              <w:rPr>
                <w:b/>
                <w:kern w:val="2"/>
                <w:szCs w:val="24"/>
              </w:rPr>
            </w:pPr>
            <w:r>
              <w:rPr>
                <w:b/>
                <w:kern w:val="2"/>
                <w:szCs w:val="24"/>
              </w:rPr>
              <w:t>Sutarties pavadinimas</w:t>
            </w:r>
          </w:p>
        </w:tc>
        <w:tc>
          <w:tcPr>
            <w:tcW w:w="7110" w:type="dxa"/>
            <w:gridSpan w:val="3"/>
            <w:tcBorders>
              <w:top w:val="single" w:sz="4" w:space="0" w:color="000000"/>
              <w:left w:val="single" w:sz="4" w:space="0" w:color="000000"/>
              <w:bottom w:val="single" w:sz="4" w:space="0" w:color="000000"/>
              <w:right w:val="single" w:sz="4" w:space="0" w:color="000000"/>
            </w:tcBorders>
          </w:tcPr>
          <w:p>
            <w:pPr>
              <w:pStyle w:val="Normal"/>
              <w:jc w:val="both"/>
              <w:rPr>
                <w:kern w:val="2"/>
                <w:szCs w:val="24"/>
              </w:rPr>
            </w:pPr>
            <w:r>
              <w:rPr/>
              <w:t>Mokymo Osle vedimo paslaugų (lituanistinio švietimo vykdytojams) pirkimo – pardavimo sutartis</w:t>
            </w:r>
          </w:p>
        </w:tc>
      </w:tr>
      <w:tr>
        <w:trPr/>
        <w:tc>
          <w:tcPr>
            <w:tcW w:w="2447" w:type="dxa"/>
            <w:tcBorders>
              <w:top w:val="single" w:sz="4" w:space="0" w:color="000000"/>
              <w:left w:val="single" w:sz="4" w:space="0" w:color="000000"/>
              <w:bottom w:val="single" w:sz="4" w:space="0" w:color="000000"/>
              <w:right w:val="single" w:sz="4" w:space="0" w:color="000000"/>
            </w:tcBorders>
          </w:tcPr>
          <w:p>
            <w:pPr>
              <w:pStyle w:val="Normal"/>
              <w:jc w:val="both"/>
              <w:rPr>
                <w:b/>
                <w:kern w:val="2"/>
                <w:szCs w:val="24"/>
              </w:rPr>
            </w:pPr>
            <w:r>
              <w:rPr>
                <w:b/>
                <w:kern w:val="2"/>
                <w:szCs w:val="24"/>
              </w:rPr>
              <w:t>Sutarties data</w:t>
            </w:r>
          </w:p>
        </w:tc>
        <w:tc>
          <w:tcPr>
            <w:tcW w:w="2179" w:type="dxa"/>
            <w:tcBorders>
              <w:top w:val="single" w:sz="4" w:space="0" w:color="000000"/>
              <w:left w:val="single" w:sz="4" w:space="0" w:color="000000"/>
              <w:bottom w:val="single" w:sz="4" w:space="0" w:color="000000"/>
              <w:right w:val="single" w:sz="4" w:space="0" w:color="000000"/>
            </w:tcBorders>
          </w:tcPr>
          <w:p>
            <w:pPr>
              <w:pStyle w:val="Normal"/>
              <w:jc w:val="both"/>
              <w:rPr>
                <w:kern w:val="2"/>
                <w:szCs w:val="24"/>
              </w:rPr>
            </w:pPr>
            <w:r>
              <w:rPr>
                <w:kern w:val="2"/>
                <w:szCs w:val="24"/>
              </w:rPr>
            </w:r>
          </w:p>
        </w:tc>
        <w:tc>
          <w:tcPr>
            <w:tcW w:w="2360" w:type="dxa"/>
            <w:tcBorders>
              <w:top w:val="single" w:sz="4" w:space="0" w:color="000000"/>
              <w:left w:val="single" w:sz="4" w:space="0" w:color="000000"/>
              <w:bottom w:val="single" w:sz="4" w:space="0" w:color="000000"/>
              <w:right w:val="single" w:sz="4" w:space="0" w:color="000000"/>
            </w:tcBorders>
          </w:tcPr>
          <w:p>
            <w:pPr>
              <w:pStyle w:val="Normal"/>
              <w:jc w:val="both"/>
              <w:rPr>
                <w:b/>
                <w:kern w:val="2"/>
                <w:szCs w:val="24"/>
              </w:rPr>
            </w:pPr>
            <w:r>
              <w:rPr>
                <w:b/>
                <w:kern w:val="2"/>
                <w:szCs w:val="24"/>
              </w:rPr>
              <w:t>Sutarties numeris</w:t>
            </w:r>
          </w:p>
        </w:tc>
        <w:tc>
          <w:tcPr>
            <w:tcW w:w="2571" w:type="dxa"/>
            <w:tcBorders>
              <w:top w:val="single" w:sz="4" w:space="0" w:color="000000"/>
              <w:left w:val="single" w:sz="4" w:space="0" w:color="000000"/>
              <w:bottom w:val="single" w:sz="4" w:space="0" w:color="000000"/>
              <w:right w:val="single" w:sz="4" w:space="0" w:color="000000"/>
            </w:tcBorders>
          </w:tcPr>
          <w:p>
            <w:pPr>
              <w:pStyle w:val="Normal"/>
              <w:jc w:val="both"/>
              <w:rPr>
                <w:kern w:val="2"/>
                <w:szCs w:val="24"/>
              </w:rPr>
            </w:pPr>
            <w:r>
              <w:rPr>
                <w:kern w:val="2"/>
                <w:szCs w:val="24"/>
              </w:rPr>
            </w:r>
          </w:p>
        </w:tc>
      </w:tr>
      <w:tr>
        <w:trPr/>
        <w:tc>
          <w:tcPr>
            <w:tcW w:w="2447" w:type="dxa"/>
            <w:tcBorders>
              <w:top w:val="single" w:sz="4" w:space="0" w:color="000000"/>
              <w:left w:val="single" w:sz="4" w:space="0" w:color="000000"/>
              <w:bottom w:val="single" w:sz="4" w:space="0" w:color="000000"/>
              <w:right w:val="single" w:sz="4" w:space="0" w:color="000000"/>
            </w:tcBorders>
          </w:tcPr>
          <w:p>
            <w:pPr>
              <w:pStyle w:val="Normal"/>
              <w:jc w:val="both"/>
              <w:rPr>
                <w:b/>
                <w:kern w:val="2"/>
                <w:szCs w:val="24"/>
              </w:rPr>
            </w:pPr>
            <w:r>
              <w:rPr>
                <w:b/>
                <w:kern w:val="2"/>
                <w:szCs w:val="24"/>
              </w:rPr>
              <w:t>BVPŽ kodas</w:t>
            </w:r>
          </w:p>
        </w:tc>
        <w:tc>
          <w:tcPr>
            <w:tcW w:w="2179" w:type="dxa"/>
            <w:tcBorders>
              <w:top w:val="single" w:sz="4" w:space="0" w:color="000000"/>
              <w:left w:val="single" w:sz="4" w:space="0" w:color="000000"/>
              <w:bottom w:val="single" w:sz="4" w:space="0" w:color="000000"/>
              <w:right w:val="single" w:sz="4" w:space="0" w:color="000000"/>
            </w:tcBorders>
          </w:tcPr>
          <w:p>
            <w:pPr>
              <w:pStyle w:val="Normal"/>
              <w:jc w:val="both"/>
              <w:rPr>
                <w:kern w:val="2"/>
                <w:szCs w:val="24"/>
              </w:rPr>
            </w:pPr>
            <w:r>
              <w:rPr>
                <w:kern w:val="2"/>
                <w:szCs w:val="24"/>
              </w:rPr>
            </w:r>
          </w:p>
        </w:tc>
        <w:tc>
          <w:tcPr>
            <w:tcW w:w="2360" w:type="dxa"/>
            <w:tcBorders>
              <w:top w:val="single" w:sz="4" w:space="0" w:color="000000"/>
              <w:left w:val="single" w:sz="4" w:space="0" w:color="000000"/>
              <w:bottom w:val="single" w:sz="4" w:space="0" w:color="000000"/>
              <w:right w:val="single" w:sz="4" w:space="0" w:color="000000"/>
            </w:tcBorders>
          </w:tcPr>
          <w:p>
            <w:pPr>
              <w:pStyle w:val="Normal"/>
              <w:jc w:val="both"/>
              <w:rPr>
                <w:b/>
                <w:kern w:val="2"/>
                <w:szCs w:val="24"/>
              </w:rPr>
            </w:pPr>
            <w:r>
              <w:rPr>
                <w:b/>
                <w:kern w:val="2"/>
                <w:szCs w:val="24"/>
              </w:rPr>
              <w:t>Pirkimo būdas</w:t>
            </w:r>
          </w:p>
        </w:tc>
        <w:tc>
          <w:tcPr>
            <w:tcW w:w="2571" w:type="dxa"/>
            <w:tcBorders>
              <w:top w:val="single" w:sz="4" w:space="0" w:color="000000"/>
              <w:left w:val="single" w:sz="4" w:space="0" w:color="000000"/>
              <w:bottom w:val="single" w:sz="4" w:space="0" w:color="000000"/>
              <w:right w:val="single" w:sz="4" w:space="0" w:color="000000"/>
            </w:tcBorders>
          </w:tcPr>
          <w:p>
            <w:pPr>
              <w:pStyle w:val="Normal"/>
              <w:jc w:val="both"/>
              <w:rPr>
                <w:kern w:val="2"/>
                <w:szCs w:val="24"/>
              </w:rPr>
            </w:pPr>
            <w:r>
              <w:rPr>
                <w:kern w:val="2"/>
                <w:szCs w:val="24"/>
              </w:rPr>
            </w:r>
          </w:p>
        </w:tc>
      </w:tr>
    </w:tbl>
    <w:p>
      <w:pPr>
        <w:pStyle w:val="Normal"/>
        <w:jc w:val="both"/>
        <w:rPr>
          <w:szCs w:val="24"/>
        </w:rPr>
      </w:pPr>
      <w:r>
        <w:rPr>
          <w:szCs w:val="24"/>
        </w:rPr>
      </w:r>
    </w:p>
    <w:tbl>
      <w:tblPr>
        <w:tblW w:w="9558"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2808"/>
        <w:gridCol w:w="3240"/>
        <w:gridCol w:w="3510"/>
      </w:tblGrid>
      <w:tr>
        <w:trPr/>
        <w:tc>
          <w:tcPr>
            <w:tcW w:w="9558" w:type="dxa"/>
            <w:gridSpan w:val="3"/>
            <w:tcBorders>
              <w:top w:val="single" w:sz="4" w:space="0" w:color="000000"/>
              <w:left w:val="single" w:sz="4" w:space="0" w:color="000000"/>
              <w:bottom w:val="single" w:sz="4" w:space="0" w:color="000000"/>
              <w:right w:val="single" w:sz="4" w:space="0" w:color="000000"/>
            </w:tcBorders>
          </w:tcPr>
          <w:p>
            <w:pPr>
              <w:pStyle w:val="Normal"/>
              <w:jc w:val="center"/>
              <w:rPr>
                <w:b/>
                <w:kern w:val="2"/>
                <w:szCs w:val="24"/>
              </w:rPr>
            </w:pPr>
            <w:r>
              <w:rPr>
                <w:b/>
                <w:kern w:val="2"/>
                <w:szCs w:val="24"/>
              </w:rPr>
              <w:t>1. SUTARTIES ŠALYS</w:t>
            </w:r>
          </w:p>
        </w:tc>
      </w:tr>
      <w:tr>
        <w:trPr/>
        <w:tc>
          <w:tcPr>
            <w:tcW w:w="2808" w:type="dxa"/>
            <w:vMerge w:val="restart"/>
            <w:tcBorders>
              <w:top w:val="single" w:sz="4" w:space="0" w:color="000000"/>
              <w:left w:val="single" w:sz="4" w:space="0" w:color="000000"/>
              <w:bottom w:val="single" w:sz="4" w:space="0" w:color="000000"/>
              <w:right w:val="single" w:sz="4" w:space="0" w:color="000000"/>
            </w:tcBorders>
          </w:tcPr>
          <w:p>
            <w:pPr>
              <w:pStyle w:val="Normal"/>
              <w:jc w:val="center"/>
              <w:rPr>
                <w:b/>
                <w:kern w:val="2"/>
                <w:szCs w:val="24"/>
              </w:rPr>
            </w:pPr>
            <w:r>
              <w:rPr>
                <w:b/>
                <w:kern w:val="2"/>
                <w:szCs w:val="24"/>
              </w:rPr>
            </w:r>
          </w:p>
          <w:p>
            <w:pPr>
              <w:pStyle w:val="Normal"/>
              <w:jc w:val="center"/>
              <w:rPr>
                <w:b/>
                <w:kern w:val="2"/>
                <w:szCs w:val="24"/>
              </w:rPr>
            </w:pPr>
            <w:r>
              <w:rPr>
                <w:b/>
                <w:kern w:val="2"/>
                <w:szCs w:val="24"/>
              </w:rPr>
            </w:r>
          </w:p>
          <w:p>
            <w:pPr>
              <w:pStyle w:val="Normal"/>
              <w:jc w:val="center"/>
              <w:rPr>
                <w:b/>
                <w:kern w:val="2"/>
                <w:szCs w:val="24"/>
              </w:rPr>
            </w:pPr>
            <w:r>
              <w:rPr>
                <w:b/>
                <w:kern w:val="2"/>
                <w:szCs w:val="24"/>
              </w:rPr>
            </w:r>
          </w:p>
          <w:p>
            <w:pPr>
              <w:pStyle w:val="Normal"/>
              <w:rPr>
                <w:b/>
                <w:kern w:val="2"/>
                <w:szCs w:val="24"/>
              </w:rPr>
            </w:pPr>
            <w:r>
              <w:rPr>
                <w:b/>
                <w:kern w:val="2"/>
                <w:szCs w:val="24"/>
              </w:rPr>
            </w:r>
          </w:p>
          <w:p>
            <w:pPr>
              <w:pStyle w:val="Normal"/>
              <w:rPr>
                <w:b/>
                <w:kern w:val="2"/>
                <w:szCs w:val="24"/>
              </w:rPr>
            </w:pPr>
            <w:r>
              <w:rPr>
                <w:b/>
                <w:kern w:val="2"/>
                <w:szCs w:val="24"/>
              </w:rPr>
              <w:t>1.1. Pirkėjas</w:t>
            </w:r>
          </w:p>
        </w:tc>
        <w:tc>
          <w:tcPr>
            <w:tcW w:w="3240" w:type="dxa"/>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t>1.1.1. Pavadinimas</w:t>
            </w:r>
          </w:p>
        </w:tc>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kern w:val="2"/>
                <w:szCs w:val="24"/>
              </w:rPr>
            </w:pPr>
            <w:r>
              <w:rPr/>
              <w:t>Nacionalinė švietimo agentūra</w:t>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t>1.1.2. Juridinio asmens kodas</w:t>
            </w:r>
          </w:p>
        </w:tc>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kern w:val="2"/>
                <w:szCs w:val="24"/>
              </w:rPr>
            </w:pPr>
            <w:r>
              <w:rPr/>
              <w:t>305238040</w:t>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t>1.1.3. Adresas</w:t>
            </w:r>
          </w:p>
        </w:tc>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kern w:val="2"/>
                <w:szCs w:val="24"/>
              </w:rPr>
            </w:pPr>
            <w:r>
              <w:rPr/>
              <w:t>K. Kalinausko g. 7, LT-03107 Vilnius</w:t>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t>1.1.4. PVM mokėtojo kodas</w:t>
            </w:r>
          </w:p>
        </w:tc>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kern w:val="2"/>
                <w:szCs w:val="24"/>
              </w:rPr>
            </w:pPr>
            <w:r>
              <w:rPr/>
              <w:t>-</w:t>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t>1.1.5. Atsiskaitomoji sąskaita</w:t>
            </w:r>
          </w:p>
        </w:tc>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kern w:val="2"/>
                <w:szCs w:val="24"/>
              </w:rPr>
            </w:pPr>
            <w:r>
              <w:rPr/>
              <w:t>a. s. LT694040063610001631</w:t>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t>1.1.6. Bankas, banko kodas</w:t>
            </w:r>
          </w:p>
        </w:tc>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kern w:val="2"/>
                <w:szCs w:val="24"/>
              </w:rPr>
            </w:pPr>
            <w:r>
              <w:rPr/>
              <w:t>Lietuvos Respublikos finansų ministerija</w:t>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t>1.1.7. Telefonas</w:t>
            </w:r>
          </w:p>
        </w:tc>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kern w:val="2"/>
                <w:szCs w:val="24"/>
              </w:rPr>
            </w:pPr>
            <w:r>
              <w:rPr/>
              <w:t>+370 658 18504</w:t>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t>1.1.8. El. paštas</w:t>
            </w:r>
          </w:p>
        </w:tc>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kern w:val="2"/>
                <w:szCs w:val="24"/>
              </w:rPr>
            </w:pPr>
            <w:r>
              <w:rPr/>
              <w:t>info@nsa.smm.lt</w:t>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t>1.1.9. Šalies atstovas</w:t>
            </w:r>
          </w:p>
        </w:tc>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kern w:val="2"/>
                <w:szCs w:val="24"/>
              </w:rPr>
            </w:pPr>
            <w:r>
              <w:rPr>
                <w:kern w:val="2"/>
                <w:szCs w:val="24"/>
              </w:rPr>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t>1.1.10. Atstovavimo pagrindas</w:t>
            </w:r>
          </w:p>
        </w:tc>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kern w:val="2"/>
                <w:szCs w:val="24"/>
              </w:rPr>
            </w:pPr>
            <w:r>
              <w:rPr/>
              <w:t>Nacionalinės švietimo agentūros nuostatai, patvirtinti Lietuvos Respublikos švietimo, mokslo ir sporto ministro 2023 m. balandžio 20 d. įsakymu Nr. V-573 „Dėl Nacionalinės švietimo agentūros nuostatų patvirtinimo</w:t>
            </w:r>
          </w:p>
        </w:tc>
      </w:tr>
      <w:tr>
        <w:trPr/>
        <w:tc>
          <w:tcPr>
            <w:tcW w:w="2808" w:type="dxa"/>
            <w:vMerge w:val="restart"/>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r>
          </w:p>
          <w:p>
            <w:pPr>
              <w:pStyle w:val="Normal"/>
              <w:rPr>
                <w:b/>
                <w:kern w:val="2"/>
                <w:szCs w:val="24"/>
              </w:rPr>
            </w:pPr>
            <w:r>
              <w:rPr>
                <w:b/>
                <w:kern w:val="2"/>
                <w:szCs w:val="24"/>
              </w:rPr>
            </w:r>
          </w:p>
          <w:p>
            <w:pPr>
              <w:pStyle w:val="Normal"/>
              <w:rPr>
                <w:b/>
                <w:kern w:val="2"/>
                <w:szCs w:val="24"/>
              </w:rPr>
            </w:pPr>
            <w:r>
              <w:rPr>
                <w:b/>
                <w:kern w:val="2"/>
                <w:szCs w:val="24"/>
              </w:rPr>
            </w:r>
          </w:p>
          <w:p>
            <w:pPr>
              <w:pStyle w:val="Normal"/>
              <w:rPr>
                <w:b/>
                <w:kern w:val="2"/>
                <w:szCs w:val="24"/>
              </w:rPr>
            </w:pPr>
            <w:r>
              <w:rPr>
                <w:b/>
                <w:kern w:val="2"/>
                <w:szCs w:val="24"/>
              </w:rPr>
              <w:t>1.2. Tiekėjas</w:t>
            </w:r>
          </w:p>
          <w:p>
            <w:pPr>
              <w:pStyle w:val="Normal"/>
              <w:rPr>
                <w:color w:val="4472C4"/>
                <w:kern w:val="2"/>
                <w:szCs w:val="24"/>
              </w:rPr>
            </w:pPr>
            <w:r>
              <w:rPr>
                <w:color w:val="4472C4"/>
                <w:kern w:val="2"/>
                <w:szCs w:val="24"/>
              </w:rPr>
              <w:t>(jei Tiekėjas yra fizinis asmuo, skiltys atitinkamai pakoreguojamos.</w:t>
            </w:r>
          </w:p>
          <w:p>
            <w:pPr>
              <w:pStyle w:val="Normal"/>
              <w:rPr>
                <w:color w:val="4472C4"/>
                <w:kern w:val="2"/>
                <w:szCs w:val="24"/>
              </w:rPr>
            </w:pPr>
            <w:r>
              <w:rPr>
                <w:color w:val="4472C4"/>
                <w:kern w:val="2"/>
                <w:szCs w:val="24"/>
              </w:rPr>
              <w:t>Jei Tiekėjas yra tiekėjų grupė, skiltys pildomos įterpiant kiekvieno grupės nario informaciją)</w:t>
            </w:r>
          </w:p>
          <w:p>
            <w:pPr>
              <w:pStyle w:val="Normal"/>
              <w:rPr>
                <w:b/>
                <w:kern w:val="2"/>
                <w:szCs w:val="24"/>
              </w:rPr>
            </w:pPr>
            <w:r>
              <w:rPr>
                <w:b/>
                <w:kern w:val="2"/>
                <w:szCs w:val="24"/>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t>1.2.1. Pavadinimas</w:t>
            </w:r>
          </w:p>
        </w:tc>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kern w:val="2"/>
                <w:szCs w:val="24"/>
              </w:rPr>
            </w:pPr>
            <w:r>
              <w:rPr>
                <w:kern w:val="2"/>
                <w:szCs w:val="24"/>
              </w:rPr>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t>1.2.2. Juridinio asmens kodas</w:t>
            </w:r>
          </w:p>
        </w:tc>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kern w:val="2"/>
                <w:szCs w:val="24"/>
              </w:rPr>
            </w:pPr>
            <w:r>
              <w:rPr>
                <w:kern w:val="2"/>
                <w:szCs w:val="24"/>
              </w:rPr>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t>1.2.3. Adresas</w:t>
            </w:r>
          </w:p>
        </w:tc>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kern w:val="2"/>
                <w:szCs w:val="24"/>
              </w:rPr>
            </w:pPr>
            <w:r>
              <w:rPr>
                <w:kern w:val="2"/>
                <w:szCs w:val="24"/>
              </w:rPr>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t>1.2.4. PVM mokėtojo kodas</w:t>
            </w:r>
          </w:p>
        </w:tc>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kern w:val="2"/>
                <w:szCs w:val="24"/>
              </w:rPr>
            </w:pPr>
            <w:r>
              <w:rPr>
                <w:kern w:val="2"/>
                <w:szCs w:val="24"/>
              </w:rPr>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t>1.2.5. Atsiskaitomoji sąskaita</w:t>
            </w:r>
          </w:p>
        </w:tc>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kern w:val="2"/>
                <w:szCs w:val="24"/>
              </w:rPr>
            </w:pPr>
            <w:r>
              <w:rPr>
                <w:kern w:val="2"/>
                <w:szCs w:val="24"/>
              </w:rPr>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t>1.2.6. Bankas, banko kodas</w:t>
            </w:r>
          </w:p>
        </w:tc>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kern w:val="2"/>
                <w:szCs w:val="24"/>
              </w:rPr>
            </w:pPr>
            <w:r>
              <w:rPr>
                <w:kern w:val="2"/>
                <w:szCs w:val="24"/>
              </w:rPr>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t>1.2.7. Telefonas</w:t>
            </w:r>
          </w:p>
        </w:tc>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kern w:val="2"/>
                <w:szCs w:val="24"/>
              </w:rPr>
            </w:pPr>
            <w:r>
              <w:rPr>
                <w:kern w:val="2"/>
                <w:szCs w:val="24"/>
              </w:rPr>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t>1.2.8. El. paštas</w:t>
            </w:r>
          </w:p>
        </w:tc>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kern w:val="2"/>
                <w:szCs w:val="24"/>
              </w:rPr>
            </w:pPr>
            <w:r>
              <w:rPr>
                <w:kern w:val="2"/>
                <w:szCs w:val="24"/>
              </w:rPr>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t>1.2.9. Šalies atstovas</w:t>
            </w:r>
          </w:p>
        </w:tc>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kern w:val="2"/>
                <w:szCs w:val="24"/>
              </w:rPr>
            </w:pPr>
            <w:r>
              <w:rPr>
                <w:kern w:val="2"/>
                <w:szCs w:val="24"/>
              </w:rPr>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t>1.2.10. Atstovavimo pagrindas</w:t>
            </w:r>
          </w:p>
        </w:tc>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kern w:val="2"/>
                <w:szCs w:val="24"/>
              </w:rPr>
            </w:pPr>
            <w:r>
              <w:rPr>
                <w:kern w:val="2"/>
                <w:szCs w:val="24"/>
              </w:rPr>
            </w:r>
          </w:p>
        </w:tc>
      </w:tr>
    </w:tbl>
    <w:p>
      <w:pPr>
        <w:pStyle w:val="Normal"/>
        <w:jc w:val="both"/>
        <w:rPr>
          <w:szCs w:val="24"/>
        </w:rPr>
      </w:pPr>
      <w:r>
        <w:rPr>
          <w:szCs w:val="24"/>
        </w:rPr>
      </w:r>
    </w:p>
    <w:tbl>
      <w:tblPr>
        <w:tblW w:w="9535"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3057"/>
        <w:gridCol w:w="38"/>
        <w:gridCol w:w="2130"/>
        <w:gridCol w:w="4309"/>
      </w:tblGrid>
      <w:tr>
        <w:trPr>
          <w:trHeight w:val="300" w:hRule="atLeast"/>
        </w:trPr>
        <w:tc>
          <w:tcPr>
            <w:tcW w:w="9534" w:type="dxa"/>
            <w:gridSpan w:val="4"/>
            <w:tcBorders>
              <w:top w:val="single" w:sz="4" w:space="0" w:color="000000"/>
              <w:left w:val="single" w:sz="4" w:space="0" w:color="000000"/>
              <w:bottom w:val="single" w:sz="4" w:space="0" w:color="000000"/>
              <w:right w:val="single" w:sz="4" w:space="0" w:color="000000"/>
            </w:tcBorders>
          </w:tcPr>
          <w:p>
            <w:pPr>
              <w:pStyle w:val="Normal"/>
              <w:jc w:val="center"/>
              <w:rPr>
                <w:b/>
                <w:kern w:val="2"/>
                <w:szCs w:val="24"/>
              </w:rPr>
            </w:pPr>
            <w:r>
              <w:rPr>
                <w:b/>
                <w:kern w:val="2"/>
                <w:szCs w:val="24"/>
              </w:rPr>
              <w:t>2. ATSAKINGI ASMENYS</w:t>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39" w:type="dxa"/>
            <w:gridSpan w:val="2"/>
            <w:tcBorders>
              <w:top w:val="single" w:sz="4" w:space="0" w:color="000000"/>
              <w:left w:val="single" w:sz="4" w:space="0" w:color="000000"/>
              <w:bottom w:val="single" w:sz="4" w:space="0" w:color="000000"/>
              <w:right w:val="single" w:sz="4" w:space="0" w:color="000000"/>
            </w:tcBorders>
          </w:tcPr>
          <w:p>
            <w:pPr>
              <w:pStyle w:val="Normal"/>
              <w:rPr>
                <w:color w:val="4472C4"/>
                <w:kern w:val="2"/>
                <w:szCs w:val="24"/>
              </w:rPr>
            </w:pPr>
            <w:r>
              <w:rPr>
                <w:color w:val="4472C4"/>
                <w:kern w:val="2"/>
                <w:szCs w:val="24"/>
              </w:rPr>
              <w:t>(nurodyti padalinį / skyrių, pareigas, vardą, pavardę, tel., el. paštą)</w:t>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t>2.2. Tiekėjo kontaktiniai asmenys, atsakingi už Sutarties vykdymą</w:t>
            </w:r>
          </w:p>
        </w:tc>
        <w:tc>
          <w:tcPr>
            <w:tcW w:w="6439" w:type="dxa"/>
            <w:gridSpan w:val="2"/>
            <w:tcBorders>
              <w:top w:val="single" w:sz="4" w:space="0" w:color="000000"/>
              <w:left w:val="single" w:sz="4" w:space="0" w:color="000000"/>
              <w:bottom w:val="single" w:sz="4" w:space="0" w:color="000000"/>
              <w:right w:val="single" w:sz="4" w:space="0" w:color="000000"/>
            </w:tcBorders>
          </w:tcPr>
          <w:p>
            <w:pPr>
              <w:pStyle w:val="Normal"/>
              <w:rPr>
                <w:color w:val="4472C4"/>
                <w:kern w:val="2"/>
                <w:szCs w:val="24"/>
              </w:rPr>
            </w:pPr>
            <w:r>
              <w:rPr>
                <w:color w:val="4472C4"/>
                <w:kern w:val="2"/>
                <w:szCs w:val="24"/>
              </w:rPr>
              <w:t>(nurodyti padalinį / skyrių, pareigas, vardą, pavardę, tel., el. paštą)</w:t>
            </w:r>
          </w:p>
        </w:tc>
      </w:tr>
      <w:tr>
        <w:trPr>
          <w:trHeight w:val="300" w:hRule="atLeast"/>
        </w:trPr>
        <w:tc>
          <w:tcPr>
            <w:tcW w:w="9534" w:type="dxa"/>
            <w:gridSpan w:val="4"/>
            <w:tcBorders>
              <w:top w:val="single" w:sz="4" w:space="0" w:color="000000"/>
              <w:left w:val="single" w:sz="4" w:space="0" w:color="000000"/>
              <w:bottom w:val="single" w:sz="4" w:space="0" w:color="000000"/>
              <w:right w:val="single" w:sz="4" w:space="0" w:color="000000"/>
            </w:tcBorders>
          </w:tcPr>
          <w:p>
            <w:pPr>
              <w:pStyle w:val="Normal"/>
              <w:jc w:val="center"/>
              <w:rPr>
                <w:b/>
                <w:kern w:val="2"/>
                <w:szCs w:val="24"/>
              </w:rPr>
            </w:pPr>
            <w:r>
              <w:rPr>
                <w:b/>
                <w:kern w:val="2"/>
                <w:szCs w:val="24"/>
              </w:rPr>
              <w:t>3. SUTARTIES DALYKAS</w:t>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t>3.1. Sutarties dalykas</w:t>
            </w:r>
          </w:p>
        </w:tc>
        <w:tc>
          <w:tcPr>
            <w:tcW w:w="6439" w:type="dxa"/>
            <w:gridSpan w:val="2"/>
            <w:tcBorders>
              <w:top w:val="single" w:sz="4" w:space="0" w:color="000000"/>
              <w:left w:val="single" w:sz="4" w:space="0" w:color="000000"/>
              <w:bottom w:val="single" w:sz="4" w:space="0" w:color="000000"/>
              <w:right w:val="single" w:sz="4" w:space="0" w:color="000000"/>
            </w:tcBorders>
          </w:tcPr>
          <w:p>
            <w:pPr>
              <w:pStyle w:val="Standard"/>
              <w:jc w:val="both"/>
              <w:rPr>
                <w:lang w:val="lt-LT"/>
              </w:rPr>
            </w:pPr>
            <w:r>
              <w:rPr/>
              <w:t>Tiekėjas įsipareigoja Sutartyje numatytomis sąlygomis suteikti</w:t>
            </w:r>
            <w:r>
              <w:rPr>
                <w:lang w:val="lt-LT"/>
              </w:rPr>
              <w:t xml:space="preserve"> mokymo Osle vedimo (lituanistinio švietimo vykdytojams) paslaugas </w:t>
            </w:r>
            <w:r>
              <w:rPr>
                <w:color w:val="000000"/>
              </w:rPr>
              <w:t>(toliau – Paslaugos).</w:t>
            </w:r>
          </w:p>
          <w:p>
            <w:pPr>
              <w:pStyle w:val="Normal"/>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1 „Techninė specifikacija“ (toliau – Techninė specifikacija) ir Sutarties priede Nr. 2 „Pasiūlymas“.</w:t>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t>3.2. Pirkimo pavadinimas ir numeris</w:t>
            </w:r>
          </w:p>
        </w:tc>
        <w:tc>
          <w:tcPr>
            <w:tcW w:w="6439" w:type="dxa"/>
            <w:gridSpan w:val="2"/>
            <w:tcBorders>
              <w:top w:val="single" w:sz="4" w:space="0" w:color="000000"/>
              <w:left w:val="single" w:sz="4" w:space="0" w:color="000000"/>
              <w:bottom w:val="single" w:sz="4" w:space="0" w:color="000000"/>
              <w:right w:val="single" w:sz="4" w:space="0" w:color="000000"/>
            </w:tcBorders>
          </w:tcPr>
          <w:p>
            <w:pPr>
              <w:pStyle w:val="Normal"/>
              <w:jc w:val="both"/>
              <w:rPr>
                <w:kern w:val="2"/>
                <w:szCs w:val="24"/>
              </w:rPr>
            </w:pPr>
            <w:r>
              <w:rPr/>
              <w:t>Mokymo Osle vedimo paslaugų (lituanistinio švietimo vykdytojams), [</w:t>
            </w:r>
            <w:r>
              <w:rPr>
                <w:color w:val="000000"/>
              </w:rPr>
              <w:t>pirkimo ID 1713268</w:t>
            </w:r>
            <w:r>
              <w:rPr/>
              <w:t>]</w:t>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t>3.3. Informacija apie Europos Sąjungos lėšomis finansuojamą projektą arba kitą projektą</w:t>
            </w:r>
          </w:p>
        </w:tc>
        <w:tc>
          <w:tcPr>
            <w:tcW w:w="6439" w:type="dxa"/>
            <w:gridSpan w:val="2"/>
            <w:tcBorders>
              <w:top w:val="single" w:sz="4" w:space="0" w:color="000000"/>
              <w:left w:val="single" w:sz="4" w:space="0" w:color="000000"/>
              <w:bottom w:val="single" w:sz="4" w:space="0" w:color="000000"/>
              <w:right w:val="single" w:sz="4" w:space="0" w:color="000000"/>
            </w:tcBorders>
          </w:tcPr>
          <w:p>
            <w:pPr>
              <w:pStyle w:val="NormalWeb"/>
              <w:tabs>
                <w:tab w:val="clear" w:pos="1296"/>
                <w:tab w:val="left" w:pos="993" w:leader="none"/>
              </w:tabs>
              <w:spacing w:beforeAutospacing="0" w:before="0" w:afterAutospacing="0" w:after="0"/>
              <w:ind w:hanging="0"/>
              <w:rPr/>
            </w:pPr>
            <w:r>
              <w:rPr/>
              <w:t>Paslaugos perkamos įgyvendinant</w:t>
            </w:r>
            <w:bookmarkStart w:id="0" w:name="_Hlk171590957"/>
            <w:r>
              <w:rPr/>
              <w:t xml:space="preserve"> projektą „Tęsk: ateik, tobulėk, prisidėk!“ (Nr. 10-045-P-0001), kuris vykdomas pagal 2021–2030 m. plėtros programos valdytojos Lietuvos Respublikos švietimo, mokslo ir sporto ministerijos švietimo plėtros programos pažangos priemonę Nr. 12-003-03-06-01 „Pirmiausia – mokytojas“, finansuojamas Europos socialinio fondo ir Europos Sąjungos bendrojo finansavimo lėšomis (toliau – Projektas).</w:t>
            </w:r>
            <w:bookmarkEnd w:id="0"/>
          </w:p>
          <w:p>
            <w:pPr>
              <w:pStyle w:val="Normal"/>
              <w:rPr>
                <w:kern w:val="2"/>
                <w:szCs w:val="24"/>
              </w:rPr>
            </w:pPr>
            <w:r>
              <w:rPr>
                <w:kern w:val="2"/>
                <w:szCs w:val="24"/>
              </w:rPr>
            </w:r>
          </w:p>
        </w:tc>
      </w:tr>
      <w:tr>
        <w:trPr>
          <w:trHeight w:val="300" w:hRule="atLeast"/>
        </w:trPr>
        <w:tc>
          <w:tcPr>
            <w:tcW w:w="9534" w:type="dxa"/>
            <w:gridSpan w:val="4"/>
            <w:tcBorders>
              <w:top w:val="single" w:sz="4" w:space="0" w:color="000000"/>
              <w:left w:val="single" w:sz="4" w:space="0" w:color="000000"/>
              <w:bottom w:val="single" w:sz="4" w:space="0" w:color="000000"/>
              <w:right w:val="single" w:sz="4" w:space="0" w:color="000000"/>
            </w:tcBorders>
          </w:tcPr>
          <w:p>
            <w:pPr>
              <w:pStyle w:val="Normal"/>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p>
            <w:pPr>
              <w:pStyle w:val="Normal"/>
              <w:rPr>
                <w:b/>
                <w:color w:val="FF0000"/>
                <w:kern w:val="2"/>
                <w:szCs w:val="24"/>
              </w:rPr>
            </w:pPr>
            <w:r>
              <w:rPr>
                <w:b/>
                <w:color w:val="FF0000"/>
                <w:kern w:val="2"/>
                <w:szCs w:val="24"/>
              </w:rPr>
            </w:r>
          </w:p>
        </w:tc>
        <w:tc>
          <w:tcPr>
            <w:tcW w:w="6439" w:type="dxa"/>
            <w:gridSpan w:val="2"/>
            <w:tcBorders>
              <w:top w:val="single" w:sz="4" w:space="0" w:color="000000"/>
              <w:left w:val="single" w:sz="4" w:space="0" w:color="000000"/>
              <w:bottom w:val="single" w:sz="4" w:space="0" w:color="000000"/>
              <w:right w:val="single" w:sz="4" w:space="0" w:color="000000"/>
            </w:tcBorders>
          </w:tcPr>
          <w:p>
            <w:pPr>
              <w:pStyle w:val="Standard"/>
              <w:tabs>
                <w:tab w:val="clear" w:pos="1296"/>
                <w:tab w:val="left" w:pos="1418" w:leader="none"/>
              </w:tabs>
              <w:jc w:val="both"/>
              <w:rPr>
                <w:lang w:val="lt-LT" w:eastAsia="en-US"/>
              </w:rPr>
            </w:pPr>
            <w:r>
              <w:rPr>
                <w:rStyle w:val="BodyTextChar"/>
                <w:rFonts w:eastAsia="Arial Unicode MS"/>
                <w:lang w:val="lt-LT"/>
              </w:rPr>
              <w:t xml:space="preserve">Tiekėjas privalo suteikti Paslaugas pagal Techninėje specifikacijoje nustatytą terminą - </w:t>
            </w:r>
            <w:r>
              <w:rPr>
                <w:lang w:val="lt-LT" w:eastAsia="en-US"/>
              </w:rPr>
              <w:t>visos paslaugos turi būti suteiktos per 6 mėnesius. Preliminarus paslaugų suteikimo terminas nurodytas Techninėje specifikacijoje. Apie konkretų paslaugų suteikimo terminą perkančioji informuos ne vėliau kaip prieš 15 kalendorinių dienų iki mokymų pradžios.</w:t>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rPr>
                <w:b/>
                <w:szCs w:val="24"/>
              </w:rPr>
            </w:pPr>
            <w:r>
              <w:rPr>
                <w:b/>
                <w:kern w:val="2"/>
                <w:szCs w:val="24"/>
              </w:rPr>
              <w:t xml:space="preserve">4.2.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439" w:type="dxa"/>
            <w:gridSpan w:val="2"/>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lang w:eastAsia="lt-LT"/>
              </w:rPr>
              <w:t>Netaikoma</w:t>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t>4.2. Paslaugų / jų dalies / etapo / periodo suteikimo termino pratęsimas</w:t>
            </w:r>
          </w:p>
        </w:tc>
        <w:tc>
          <w:tcPr>
            <w:tcW w:w="6439" w:type="dxa"/>
            <w:gridSpan w:val="2"/>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t>Netaikoma</w:t>
            </w:r>
          </w:p>
          <w:p>
            <w:pPr>
              <w:pStyle w:val="Normal"/>
              <w:rPr>
                <w:kern w:val="2"/>
                <w:szCs w:val="24"/>
              </w:rPr>
            </w:pPr>
            <w:r>
              <w:rPr>
                <w:kern w:val="2"/>
                <w:szCs w:val="24"/>
              </w:rPr>
            </w:r>
          </w:p>
          <w:p>
            <w:pPr>
              <w:pStyle w:val="Normal"/>
              <w:rPr>
                <w:szCs w:val="24"/>
              </w:rPr>
            </w:pPr>
            <w:r>
              <w:rPr>
                <w:szCs w:val="24"/>
              </w:rPr>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t>4.3. Užsakymų teikimo tvarka</w:t>
            </w:r>
          </w:p>
        </w:tc>
        <w:tc>
          <w:tcPr>
            <w:tcW w:w="6439" w:type="dxa"/>
            <w:gridSpan w:val="2"/>
            <w:tcBorders>
              <w:top w:val="single" w:sz="4" w:space="0" w:color="000000"/>
              <w:left w:val="single" w:sz="4" w:space="0" w:color="000000"/>
              <w:bottom w:val="single" w:sz="4" w:space="0" w:color="000000"/>
              <w:right w:val="single" w:sz="4" w:space="0" w:color="000000"/>
            </w:tcBorders>
          </w:tcPr>
          <w:p>
            <w:pPr>
              <w:pStyle w:val="Normal"/>
              <w:rPr>
                <w:szCs w:val="24"/>
              </w:rPr>
            </w:pPr>
            <w:r>
              <w:rPr>
                <w:szCs w:val="24"/>
              </w:rPr>
              <w:t>Netaikoma</w:t>
            </w:r>
          </w:p>
          <w:p>
            <w:pPr>
              <w:pStyle w:val="Normal"/>
              <w:rPr>
                <w:szCs w:val="24"/>
              </w:rPr>
            </w:pPr>
            <w:r>
              <w:rPr>
                <w:szCs w:val="24"/>
              </w:rPr>
            </w:r>
          </w:p>
        </w:tc>
      </w:tr>
      <w:tr>
        <w:trPr>
          <w:trHeight w:val="101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t>4.4. Dėl minimalios Užsakymo vertės ar apimties</w:t>
            </w:r>
          </w:p>
        </w:tc>
        <w:tc>
          <w:tcPr>
            <w:tcW w:w="6439" w:type="dxa"/>
            <w:gridSpan w:val="2"/>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t>Netaikoma</w:t>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t>4.5. Pateikiami dokumentai</w:t>
            </w:r>
          </w:p>
        </w:tc>
        <w:tc>
          <w:tcPr>
            <w:tcW w:w="6439" w:type="dxa"/>
            <w:gridSpan w:val="2"/>
            <w:tcBorders>
              <w:top w:val="single" w:sz="4" w:space="0" w:color="000000"/>
              <w:left w:val="single" w:sz="4" w:space="0" w:color="000000"/>
              <w:bottom w:val="single" w:sz="4" w:space="0" w:color="000000"/>
              <w:right w:val="single" w:sz="4" w:space="0" w:color="000000"/>
            </w:tcBorders>
          </w:tcPr>
          <w:p>
            <w:pPr>
              <w:pStyle w:val="NoSpacing"/>
              <w:ind w:hanging="0"/>
              <w:rPr>
                <w:rFonts w:ascii="Times New Roman" w:hAnsi="Times New Roman"/>
                <w:sz w:val="24"/>
                <w:szCs w:val="24"/>
              </w:rPr>
            </w:pPr>
            <w:r>
              <w:rPr>
                <w:rFonts w:ascii="Times New Roman" w:hAnsi="Times New Roman"/>
                <w:sz w:val="24"/>
                <w:szCs w:val="24"/>
              </w:rPr>
              <w:t>Atsiskaitydamas už suteiktas paslaugas Tiekėjas turi pateikti Paslaugų priėmimo - perdavimo aktą, kuriame nurodoma : organizuoto renginio (mokymų) data, vietovė, dalyvių skaičius, suteiktos paslaugos.</w:t>
            </w:r>
          </w:p>
          <w:p>
            <w:pPr>
              <w:pStyle w:val="NoSpacing"/>
              <w:ind w:hanging="0"/>
              <w:rPr>
                <w:rFonts w:ascii="Times New Roman" w:hAnsi="Times New Roman"/>
                <w:sz w:val="24"/>
                <w:szCs w:val="24"/>
              </w:rPr>
            </w:pPr>
            <w:r>
              <w:rPr>
                <w:rFonts w:ascii="Times New Roman" w:hAnsi="Times New Roman"/>
                <w:sz w:val="24"/>
                <w:szCs w:val="24"/>
              </w:rPr>
              <w:t>Pirkėjas, gavęs Paslaugų priėmimo - perdavimo aktą, per 7 d. d. įvertina suteiktas Paslaugas ir pasirašo Paslaugų priėmimo - perdavimo aktą.</w:t>
            </w:r>
          </w:p>
          <w:p>
            <w:pPr>
              <w:pStyle w:val="NoSpacing"/>
              <w:ind w:hanging="0"/>
              <w:rPr>
                <w:rFonts w:ascii="Times New Roman" w:hAnsi="Times New Roman"/>
                <w:sz w:val="24"/>
                <w:szCs w:val="24"/>
              </w:rPr>
            </w:pPr>
            <w:r>
              <w:rPr>
                <w:rFonts w:ascii="Times New Roman" w:hAnsi="Times New Roman"/>
                <w:sz w:val="24"/>
                <w:szCs w:val="24"/>
              </w:rPr>
              <w:t>Pasirašius Paslaugų priėmimo - perdavimo aktą, teikiama sąskaita faktūra.</w:t>
            </w:r>
          </w:p>
          <w:p>
            <w:pPr>
              <w:pStyle w:val="Normal"/>
              <w:jc w:val="both"/>
              <w:rPr>
                <w:szCs w:val="24"/>
              </w:rPr>
            </w:pPr>
            <w:r>
              <w:rPr>
                <w:kern w:val="2"/>
                <w:szCs w:val="24"/>
              </w:rPr>
              <w:t>Tiekėjui nepateikus nurodytų dokumentų, laikoma, kad Paslaugos neatitinka Sutartyje nustatytų reikalavimų.</w:t>
            </w:r>
          </w:p>
        </w:tc>
      </w:tr>
      <w:tr>
        <w:trPr>
          <w:trHeight w:val="300" w:hRule="atLeast"/>
        </w:trPr>
        <w:tc>
          <w:tcPr>
            <w:tcW w:w="9534" w:type="dxa"/>
            <w:gridSpan w:val="4"/>
            <w:tcBorders>
              <w:top w:val="single" w:sz="4" w:space="0" w:color="000000"/>
              <w:left w:val="single" w:sz="4" w:space="0" w:color="000000"/>
              <w:bottom w:val="single" w:sz="4" w:space="0" w:color="000000"/>
              <w:right w:val="single" w:sz="4" w:space="0" w:color="000000"/>
            </w:tcBorders>
          </w:tcPr>
          <w:p>
            <w:pPr>
              <w:pStyle w:val="Normal"/>
              <w:jc w:val="center"/>
              <w:rPr>
                <w:b/>
                <w:kern w:val="2"/>
                <w:szCs w:val="24"/>
              </w:rPr>
            </w:pPr>
            <w:r>
              <w:rPr>
                <w:b/>
                <w:kern w:val="2"/>
                <w:szCs w:val="24"/>
              </w:rPr>
              <w:t>5. SUTARTIES KAINA IR ATSISKAITYMO TVARKA</w:t>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t>5.1. Sutarčiai taikomas kainos apskaičiavimo būdas</w:t>
            </w:r>
          </w:p>
        </w:tc>
        <w:tc>
          <w:tcPr>
            <w:tcW w:w="6439" w:type="dxa"/>
            <w:gridSpan w:val="2"/>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t>Vadovaujantis Kainodaros taisyklių nustatymo metodika, patvirtinta Viešųjų pirkimų tarnybos direktoriaus 2017 m. birželio 28 d. įsakymu Nr. 1S-95 „Dėl Kainodaros taisyklių nustatymo metodikos patvirtinimo“ (toliau – Metodika); sutarčiai taikoma fiksuoto kainos kainodara.</w:t>
            </w:r>
          </w:p>
          <w:p>
            <w:pPr>
              <w:pStyle w:val="Normal"/>
              <w:rPr>
                <w:color w:val="4472C4"/>
                <w:kern w:val="2"/>
                <w:szCs w:val="24"/>
              </w:rPr>
            </w:pPr>
            <w:r>
              <w:rPr>
                <w:color w:val="4472C4"/>
                <w:kern w:val="2"/>
                <w:szCs w:val="24"/>
              </w:rPr>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t xml:space="preserve">5.2. Pradinės Sutarties vertė ir Sutarties kaina, kai taikoma </w:t>
            </w:r>
            <w:r>
              <w:rPr>
                <w:b/>
                <w:kern w:val="2"/>
                <w:szCs w:val="24"/>
                <w:u w:val="single"/>
              </w:rPr>
              <w:t>fiksuotoa kainoa</w:t>
            </w:r>
            <w:r>
              <w:rPr>
                <w:b/>
                <w:kern w:val="2"/>
                <w:szCs w:val="24"/>
              </w:rPr>
              <w:t xml:space="preserve"> kainodara</w:t>
            </w:r>
          </w:p>
          <w:p>
            <w:pPr>
              <w:pStyle w:val="Normal"/>
              <w:rPr>
                <w:b/>
                <w:kern w:val="2"/>
                <w:szCs w:val="24"/>
              </w:rPr>
            </w:pPr>
            <w:r>
              <w:rPr>
                <w:b/>
                <w:kern w:val="2"/>
                <w:szCs w:val="24"/>
              </w:rPr>
            </w:r>
          </w:p>
          <w:p>
            <w:pPr>
              <w:pStyle w:val="Normal"/>
              <w:jc w:val="both"/>
              <w:rPr>
                <w:b/>
                <w:kern w:val="2"/>
                <w:szCs w:val="24"/>
              </w:rPr>
            </w:pPr>
            <w:r>
              <w:rPr>
                <w:b/>
                <w:kern w:val="2"/>
                <w:szCs w:val="24"/>
              </w:rPr>
            </w:r>
          </w:p>
        </w:tc>
        <w:tc>
          <w:tcPr>
            <w:tcW w:w="6439" w:type="dxa"/>
            <w:gridSpan w:val="2"/>
            <w:tcBorders>
              <w:top w:val="single" w:sz="4" w:space="0" w:color="000000"/>
              <w:left w:val="single" w:sz="4" w:space="0" w:color="000000"/>
              <w:bottom w:val="single" w:sz="4" w:space="0" w:color="000000"/>
              <w:right w:val="single" w:sz="4" w:space="0" w:color="000000"/>
            </w:tcBorders>
          </w:tcPr>
          <w:p>
            <w:pPr>
              <w:pStyle w:val="Normal"/>
              <w:jc w:val="both"/>
              <w:rPr>
                <w:szCs w:val="24"/>
              </w:rPr>
            </w:pPr>
            <w:r>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t xml:space="preserve"> be pridėtinės vertės mokesčio </w:t>
            </w:r>
            <w:r>
              <w:rPr>
                <w:kern w:val="2"/>
                <w:szCs w:val="24"/>
              </w:rPr>
              <w:t>be PVM.</w:t>
            </w:r>
          </w:p>
          <w:p>
            <w:pPr>
              <w:pStyle w:val="Normal"/>
              <w:jc w:val="both"/>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pPr>
              <w:pStyle w:val="Normal"/>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rPr>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tc>
        <w:tc>
          <w:tcPr>
            <w:tcW w:w="6439" w:type="dxa"/>
            <w:gridSpan w:val="2"/>
            <w:tcBorders>
              <w:top w:val="single" w:sz="4" w:space="0" w:color="000000"/>
              <w:left w:val="single" w:sz="4" w:space="0" w:color="000000"/>
              <w:bottom w:val="single" w:sz="4" w:space="0" w:color="000000"/>
              <w:right w:val="single" w:sz="4" w:space="0" w:color="000000"/>
            </w:tcBorders>
          </w:tcPr>
          <w:p>
            <w:pPr>
              <w:pStyle w:val="Normal"/>
              <w:rPr>
                <w:szCs w:val="24"/>
              </w:rPr>
            </w:pPr>
            <w:r>
              <w:rPr>
                <w:kern w:val="2"/>
                <w:szCs w:val="24"/>
              </w:rPr>
              <w:t>S</w:t>
            </w:r>
            <w:r>
              <w:rPr>
                <w:color w:val="000000"/>
                <w:kern w:val="2"/>
                <w:szCs w:val="24"/>
              </w:rPr>
              <w:t>utarties kaina bus perska</w:t>
            </w:r>
            <w:r>
              <w:rPr>
                <w:kern w:val="2"/>
                <w:szCs w:val="24"/>
              </w:rPr>
              <w:t>ičiuojami  dėl PVM tarifo pasikeitimo.</w:t>
            </w:r>
          </w:p>
          <w:p>
            <w:pPr>
              <w:pStyle w:val="Normal"/>
              <w:rPr>
                <w:color w:val="FF0000"/>
                <w:kern w:val="2"/>
                <w:szCs w:val="24"/>
              </w:rPr>
            </w:pPr>
            <w:r>
              <w:rPr>
                <w:color w:val="FF0000"/>
                <w:kern w:val="2"/>
                <w:szCs w:val="24"/>
              </w:rPr>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t>5.3.1. Sutarties kainos  peržiūra dėl PVM tarifo pasikeitimo</w:t>
            </w:r>
          </w:p>
        </w:tc>
        <w:tc>
          <w:tcPr>
            <w:tcW w:w="6439" w:type="dxa"/>
            <w:gridSpan w:val="2"/>
            <w:tcBorders>
              <w:top w:val="single" w:sz="4" w:space="0" w:color="000000"/>
              <w:left w:val="single" w:sz="4" w:space="0" w:color="000000"/>
              <w:bottom w:val="single" w:sz="4" w:space="0" w:color="000000"/>
              <w:right w:val="single" w:sz="4" w:space="0" w:color="000000"/>
            </w:tcBorders>
          </w:tcPr>
          <w:p>
            <w:pPr>
              <w:pStyle w:val="Normal"/>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Sutarties kaina perskaičiuojami nekeičiant P</w:t>
            </w:r>
            <w:r>
              <w:rPr>
                <w:szCs w:val="24"/>
              </w:rPr>
              <w:t>aslaugų</w:t>
            </w:r>
            <w:r>
              <w:rPr>
                <w:kern w:val="2"/>
                <w:szCs w:val="24"/>
              </w:rPr>
              <w:t xml:space="preserve"> kainos  be PVM.</w:t>
            </w:r>
          </w:p>
          <w:p>
            <w:pPr>
              <w:pStyle w:val="Normal"/>
              <w:rPr>
                <w:kern w:val="2"/>
                <w:szCs w:val="24"/>
              </w:rPr>
            </w:pPr>
            <w:r>
              <w:rPr>
                <w:kern w:val="2"/>
                <w:szCs w:val="24"/>
              </w:rPr>
            </w:r>
          </w:p>
          <w:p>
            <w:pPr>
              <w:pStyle w:val="Normal"/>
              <w:rPr>
                <w:kern w:val="2"/>
                <w:szCs w:val="24"/>
              </w:rPr>
            </w:pPr>
            <w:r>
              <w:rPr>
                <w:kern w:val="2"/>
                <w:szCs w:val="24"/>
              </w:rPr>
              <w:t>Perskaičiavimas įforminamas Susitarimu ne vėliau kaip per 14 kalendorinių dienų nuo PVM mokėjimą reglamentuojančių teisės aktų pasikeitimo, kuris tampa neatskiriama Sutarties dalimi. Perskaičiuota (-as) Sutarties kaina  taikoma (-i) už tą P</w:t>
            </w:r>
            <w:r>
              <w:rPr>
                <w:szCs w:val="24"/>
              </w:rPr>
              <w:t>aslaugų</w:t>
            </w:r>
            <w:r>
              <w:rPr>
                <w:kern w:val="2"/>
                <w:szCs w:val="24"/>
              </w:rPr>
              <w:t xml:space="preserve"> dalį, kurios bus teikiamos nuo Šalių pasirašyto Susitarimo įsigaliojimo dienos.</w:t>
            </w:r>
          </w:p>
          <w:p>
            <w:pPr>
              <w:pStyle w:val="Normal"/>
              <w:rPr>
                <w:szCs w:val="24"/>
              </w:rPr>
            </w:pPr>
            <w:r>
              <w:rPr>
                <w:szCs w:val="24"/>
              </w:rPr>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39" w:type="dxa"/>
            <w:gridSpan w:val="2"/>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t>Netaikoma</w:t>
            </w:r>
          </w:p>
          <w:p>
            <w:pPr>
              <w:pStyle w:val="Normal"/>
              <w:rPr>
                <w:kern w:val="2"/>
                <w:szCs w:val="24"/>
              </w:rPr>
            </w:pPr>
            <w:r>
              <w:rPr>
                <w:kern w:val="2"/>
                <w:szCs w:val="24"/>
              </w:rPr>
            </w:r>
          </w:p>
          <w:p>
            <w:pPr>
              <w:pStyle w:val="Normal"/>
              <w:rPr>
                <w:szCs w:val="24"/>
              </w:rPr>
            </w:pPr>
            <w:r>
              <w:rPr>
                <w:szCs w:val="24"/>
              </w:rPr>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t>5.3.3. Sutarties kainos / įkainių peržiūra dėl kainų lygio pokyčio</w:t>
            </w:r>
          </w:p>
        </w:tc>
        <w:tc>
          <w:tcPr>
            <w:tcW w:w="6439" w:type="dxa"/>
            <w:gridSpan w:val="2"/>
            <w:tcBorders>
              <w:top w:val="single" w:sz="4" w:space="0" w:color="000000"/>
              <w:left w:val="single" w:sz="4" w:space="0" w:color="000000"/>
              <w:bottom w:val="single" w:sz="4" w:space="0" w:color="000000"/>
              <w:right w:val="single" w:sz="4" w:space="0" w:color="000000"/>
            </w:tcBorders>
          </w:tcPr>
          <w:p>
            <w:pPr>
              <w:pStyle w:val="Normal"/>
              <w:jc w:val="both"/>
              <w:textAlignment w:val="baseline"/>
              <w:rPr>
                <w:szCs w:val="24"/>
              </w:rPr>
            </w:pPr>
            <w:r>
              <w:rPr>
                <w:kern w:val="2"/>
                <w:szCs w:val="24"/>
              </w:rPr>
              <w:t>Netaikoma</w:t>
            </w:r>
          </w:p>
          <w:p>
            <w:pPr>
              <w:pStyle w:val="Normal"/>
              <w:jc w:val="both"/>
              <w:rPr>
                <w:kern w:val="2"/>
                <w:szCs w:val="24"/>
              </w:rPr>
            </w:pPr>
            <w:r>
              <w:rPr>
                <w:kern w:val="2"/>
                <w:szCs w:val="24"/>
              </w:rPr>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39" w:type="dxa"/>
            <w:gridSpan w:val="2"/>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t>Netaikoma</w:t>
            </w:r>
          </w:p>
          <w:p>
            <w:pPr>
              <w:pStyle w:val="Normal"/>
              <w:rPr>
                <w:kern w:val="2"/>
                <w:szCs w:val="24"/>
              </w:rPr>
            </w:pPr>
            <w:r>
              <w:rPr>
                <w:kern w:val="2"/>
                <w:szCs w:val="24"/>
              </w:rPr>
            </w:r>
          </w:p>
          <w:p>
            <w:pPr>
              <w:pStyle w:val="Normal"/>
              <w:rPr>
                <w:szCs w:val="24"/>
              </w:rPr>
            </w:pPr>
            <w:r>
              <w:rPr>
                <w:szCs w:val="24"/>
              </w:rPr>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39" w:type="dxa"/>
            <w:gridSpan w:val="2"/>
            <w:tcBorders>
              <w:top w:val="single" w:sz="4" w:space="0" w:color="000000"/>
              <w:left w:val="single" w:sz="4" w:space="0" w:color="000000"/>
              <w:bottom w:val="single" w:sz="4" w:space="0" w:color="000000"/>
              <w:right w:val="single" w:sz="4" w:space="0" w:color="000000"/>
            </w:tcBorders>
          </w:tcPr>
          <w:p>
            <w:pPr>
              <w:pStyle w:val="Normal"/>
              <w:jc w:val="both"/>
              <w:rPr>
                <w:kern w:val="2"/>
                <w:szCs w:val="24"/>
              </w:rPr>
            </w:pPr>
            <w:r>
              <w:rPr>
                <w:kern w:val="2"/>
                <w:szCs w:val="24"/>
              </w:rPr>
              <w:t>Netaikoma</w:t>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t>5.5. Atsiskaitymo su Tiekėju terminas ir tvarka</w:t>
            </w:r>
          </w:p>
        </w:tc>
        <w:tc>
          <w:tcPr>
            <w:tcW w:w="6439" w:type="dxa"/>
            <w:gridSpan w:val="2"/>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t>Pirkėjas atsiskaito su Tiekėju ne vėliau kaip per 30 (trisdešimt) nuo Sąskaitos gavimo dienos ir perdavimo- priėmimo akto pasirašymo.</w:t>
            </w:r>
          </w:p>
          <w:p>
            <w:pPr>
              <w:pStyle w:val="Normal"/>
              <w:rPr>
                <w:kern w:val="2"/>
                <w:szCs w:val="24"/>
                <w:shd w:fill="FFFFFF" w:val="clear"/>
              </w:rPr>
            </w:pPr>
            <w:r>
              <w:rPr>
                <w:kern w:val="2"/>
                <w:szCs w:val="24"/>
                <w:shd w:fill="FFFFFF" w:val="clear"/>
              </w:rPr>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t>5.6. Avansas</w:t>
            </w:r>
          </w:p>
        </w:tc>
        <w:tc>
          <w:tcPr>
            <w:tcW w:w="6439" w:type="dxa"/>
            <w:gridSpan w:val="2"/>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t>Netaikoma</w:t>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t>5.7. Avanso užtikrinimas</w:t>
            </w:r>
          </w:p>
        </w:tc>
        <w:tc>
          <w:tcPr>
            <w:tcW w:w="6439" w:type="dxa"/>
            <w:gridSpan w:val="2"/>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t>Netaikoma</w:t>
            </w:r>
          </w:p>
          <w:p>
            <w:pPr>
              <w:pStyle w:val="Normal"/>
              <w:rPr>
                <w:kern w:val="2"/>
                <w:szCs w:val="24"/>
              </w:rPr>
            </w:pPr>
            <w:r>
              <w:rPr>
                <w:kern w:val="2"/>
                <w:szCs w:val="24"/>
              </w:rPr>
            </w:r>
          </w:p>
        </w:tc>
      </w:tr>
      <w:tr>
        <w:trPr>
          <w:trHeight w:val="300" w:hRule="atLeast"/>
        </w:trPr>
        <w:tc>
          <w:tcPr>
            <w:tcW w:w="9534" w:type="dxa"/>
            <w:gridSpan w:val="4"/>
            <w:tcBorders>
              <w:top w:val="single" w:sz="4" w:space="0" w:color="000000"/>
              <w:left w:val="single" w:sz="4" w:space="0" w:color="000000"/>
              <w:bottom w:val="single" w:sz="4" w:space="0" w:color="000000"/>
              <w:right w:val="single" w:sz="4" w:space="0" w:color="000000"/>
            </w:tcBorders>
          </w:tcPr>
          <w:p>
            <w:pPr>
              <w:pStyle w:val="Normal"/>
              <w:jc w:val="center"/>
              <w:rPr>
                <w:b/>
                <w:kern w:val="2"/>
                <w:szCs w:val="24"/>
              </w:rPr>
            </w:pPr>
            <w:r>
              <w:rPr>
                <w:b/>
                <w:kern w:val="2"/>
                <w:szCs w:val="24"/>
              </w:rPr>
              <w:t>6. PASLAUGŲ KOKYBĖ IR GARANTINIAI ĮSIPAREIGOJIMAI</w:t>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t>6.1. Garantinis terminas</w:t>
            </w:r>
          </w:p>
        </w:tc>
        <w:tc>
          <w:tcPr>
            <w:tcW w:w="6439" w:type="dxa"/>
            <w:gridSpan w:val="2"/>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t>Netaikoma</w:t>
            </w:r>
          </w:p>
          <w:p>
            <w:pPr>
              <w:pStyle w:val="Normal"/>
              <w:rPr>
                <w:kern w:val="2"/>
                <w:szCs w:val="24"/>
              </w:rPr>
            </w:pPr>
            <w:r>
              <w:rPr>
                <w:kern w:val="2"/>
                <w:szCs w:val="24"/>
              </w:rPr>
            </w:r>
          </w:p>
          <w:p>
            <w:pPr>
              <w:pStyle w:val="Normal"/>
              <w:rPr>
                <w:szCs w:val="24"/>
              </w:rPr>
            </w:pPr>
            <w:r>
              <w:rPr>
                <w:szCs w:val="24"/>
              </w:rPr>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szCs w:val="24"/>
              </w:rPr>
              <w:t>6.2. Terminas Paslaugų trūkumams pašalinti</w:t>
            </w:r>
          </w:p>
        </w:tc>
        <w:tc>
          <w:tcPr>
            <w:tcW w:w="6439" w:type="dxa"/>
            <w:gridSpan w:val="2"/>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t>Netaikoma</w:t>
            </w:r>
          </w:p>
          <w:p>
            <w:pPr>
              <w:pStyle w:val="Normal"/>
              <w:rPr>
                <w:kern w:val="2"/>
                <w:szCs w:val="24"/>
              </w:rPr>
            </w:pPr>
            <w:r>
              <w:rPr>
                <w:kern w:val="2"/>
                <w:szCs w:val="24"/>
              </w:rPr>
            </w:r>
          </w:p>
          <w:p>
            <w:pPr>
              <w:pStyle w:val="Normal"/>
              <w:rPr>
                <w:kern w:val="2"/>
                <w:szCs w:val="24"/>
              </w:rPr>
            </w:pPr>
            <w:r>
              <w:rPr>
                <w:kern w:val="2"/>
                <w:szCs w:val="24"/>
              </w:rPr>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rPr>
                <w:b/>
                <w:szCs w:val="24"/>
              </w:rPr>
            </w:pPr>
            <w:r>
              <w:rPr>
                <w:b/>
                <w:szCs w:val="24"/>
              </w:rPr>
              <w:t xml:space="preserve">6.3. Kokybinių kriterijų įgyvendinimo </w:t>
            </w:r>
            <w:r>
              <w:rPr>
                <w:b/>
                <w:bCs/>
                <w:szCs w:val="24"/>
              </w:rPr>
              <w:t xml:space="preserve">ir </w:t>
            </w:r>
            <w:r>
              <w:rPr>
                <w:b/>
                <w:szCs w:val="24"/>
              </w:rPr>
              <w:t>tikrinimo tvarka</w:t>
            </w:r>
          </w:p>
        </w:tc>
        <w:tc>
          <w:tcPr>
            <w:tcW w:w="6439" w:type="dxa"/>
            <w:gridSpan w:val="2"/>
            <w:tcBorders>
              <w:top w:val="single" w:sz="4" w:space="0" w:color="000000"/>
              <w:left w:val="single" w:sz="4" w:space="0" w:color="000000"/>
              <w:bottom w:val="single" w:sz="4" w:space="0" w:color="000000"/>
              <w:right w:val="single" w:sz="4" w:space="0" w:color="000000"/>
            </w:tcBorders>
          </w:tcPr>
          <w:p>
            <w:pPr>
              <w:pStyle w:val="Other1"/>
              <w:tabs>
                <w:tab w:val="clear" w:pos="1296"/>
                <w:tab w:val="left" w:pos="1829" w:leader="none"/>
                <w:tab w:val="left" w:pos="3130" w:leader="none"/>
                <w:tab w:val="left" w:pos="4205" w:leader="none"/>
              </w:tabs>
              <w:spacing w:lineRule="auto" w:line="240"/>
              <w:jc w:val="both"/>
              <w:rPr>
                <w:rFonts w:ascii="Times New Roman" w:hAnsi="Times New Roman" w:cs="Times New Roman"/>
                <w:i w:val="false"/>
                <w:i w:val="false"/>
                <w:iCs w:val="false"/>
                <w:sz w:val="24"/>
                <w:szCs w:val="24"/>
                <w:lang w:val="lt-LT" w:eastAsia="en-US"/>
              </w:rPr>
            </w:pPr>
            <w:bookmarkStart w:id="1" w:name="_Hlk161154706"/>
            <w:bookmarkEnd w:id="1"/>
            <w:r>
              <w:rPr>
                <w:rFonts w:cs="Times New Roman" w:ascii="Times New Roman" w:hAnsi="Times New Roman"/>
                <w:i w:val="false"/>
                <w:iCs w:val="false"/>
                <w:color w:themeColor="text1" w:val="000000"/>
                <w:sz w:val="24"/>
                <w:szCs w:val="24"/>
                <w:lang w:val="lt-LT" w:eastAsia="lt-LT"/>
              </w:rPr>
              <w:t>Netaikoma</w:t>
            </w:r>
          </w:p>
          <w:p>
            <w:pPr>
              <w:pStyle w:val="Normal"/>
              <w:rPr>
                <w:kern w:val="2"/>
                <w:szCs w:val="24"/>
              </w:rPr>
            </w:pPr>
            <w:r>
              <w:rPr>
                <w:kern w:val="2"/>
                <w:szCs w:val="24"/>
              </w:rPr>
            </w:r>
          </w:p>
        </w:tc>
      </w:tr>
      <w:tr>
        <w:trPr>
          <w:trHeight w:val="300" w:hRule="atLeast"/>
        </w:trPr>
        <w:tc>
          <w:tcPr>
            <w:tcW w:w="9534" w:type="dxa"/>
            <w:gridSpan w:val="4"/>
            <w:tcBorders>
              <w:top w:val="single" w:sz="4" w:space="0" w:color="000000"/>
              <w:left w:val="single" w:sz="4" w:space="0" w:color="000000"/>
              <w:bottom w:val="single" w:sz="4" w:space="0" w:color="000000"/>
              <w:right w:val="single" w:sz="4" w:space="0" w:color="000000"/>
            </w:tcBorders>
          </w:tcPr>
          <w:p>
            <w:pPr>
              <w:pStyle w:val="Normal"/>
              <w:jc w:val="center"/>
              <w:rPr>
                <w:b/>
                <w:kern w:val="2"/>
                <w:szCs w:val="24"/>
              </w:rPr>
            </w:pPr>
            <w:r>
              <w:rPr>
                <w:b/>
                <w:kern w:val="2"/>
                <w:szCs w:val="24"/>
              </w:rPr>
              <w:t>7. SUTARTIES VYKDYMUI PASITELKIAMI SUBTIEKĖJAI IR (AR) SPECIALISTAI</w:t>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rPr>
                <w:b/>
                <w:bCs/>
                <w:kern w:val="2"/>
                <w:szCs w:val="24"/>
              </w:rPr>
            </w:pPr>
            <w:r>
              <w:rPr>
                <w:b/>
                <w:bCs/>
                <w:kern w:val="2"/>
                <w:szCs w:val="24"/>
              </w:rPr>
              <w:t>7.1. Sutarties vykdymui pasitelkiami subtiekėjai ir (ar) specialistai</w:t>
            </w:r>
          </w:p>
        </w:tc>
        <w:tc>
          <w:tcPr>
            <w:tcW w:w="6439" w:type="dxa"/>
            <w:gridSpan w:val="2"/>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t>Sutarties vykdymui subtiekėjai ir (ar) specialistai nepasitelkiami.</w:t>
            </w:r>
          </w:p>
          <w:p>
            <w:pPr>
              <w:pStyle w:val="Normal"/>
              <w:rPr>
                <w:kern w:val="2"/>
                <w:szCs w:val="24"/>
              </w:rPr>
            </w:pPr>
            <w:r>
              <w:rPr>
                <w:kern w:val="2"/>
                <w:szCs w:val="24"/>
              </w:rPr>
            </w:r>
          </w:p>
          <w:p>
            <w:pPr>
              <w:pStyle w:val="Normal"/>
              <w:rPr>
                <w:color w:val="FF0000"/>
                <w:kern w:val="2"/>
                <w:szCs w:val="24"/>
              </w:rPr>
            </w:pPr>
            <w:r>
              <w:rPr>
                <w:color w:val="FF0000"/>
                <w:kern w:val="2"/>
                <w:szCs w:val="24"/>
              </w:rPr>
              <w:t>arba</w:t>
            </w:r>
          </w:p>
          <w:p>
            <w:pPr>
              <w:pStyle w:val="Normal"/>
              <w:rPr>
                <w:kern w:val="2"/>
                <w:szCs w:val="24"/>
              </w:rPr>
            </w:pPr>
            <w:r>
              <w:rPr>
                <w:kern w:val="2"/>
                <w:szCs w:val="24"/>
              </w:rPr>
            </w:r>
          </w:p>
          <w:p>
            <w:pPr>
              <w:pStyle w:val="Normal"/>
              <w:rPr>
                <w:b/>
                <w:kern w:val="2"/>
                <w:szCs w:val="24"/>
              </w:rPr>
            </w:pPr>
            <w:r>
              <w:rPr>
                <w:kern w:val="2"/>
                <w:szCs w:val="24"/>
              </w:rPr>
              <w:t>Sutarties vykdymui pasitelkiami subtiekėjai ir (ar) specialistai yra nurodyti Sutarties priede Nr. 2 „</w:t>
            </w:r>
            <w:r>
              <w:rPr>
                <w:color w:val="000000"/>
                <w:kern w:val="2"/>
                <w:szCs w:val="24"/>
              </w:rPr>
              <w:t>Pasiūlymas</w:t>
            </w:r>
            <w:r>
              <w:rPr>
                <w:kern w:val="2"/>
                <w:szCs w:val="24"/>
              </w:rPr>
              <w:t>“</w:t>
            </w:r>
          </w:p>
        </w:tc>
      </w:tr>
      <w:tr>
        <w:trPr>
          <w:trHeight w:val="300" w:hRule="atLeast"/>
        </w:trPr>
        <w:tc>
          <w:tcPr>
            <w:tcW w:w="9534" w:type="dxa"/>
            <w:gridSpan w:val="4"/>
            <w:tcBorders>
              <w:top w:val="single" w:sz="4" w:space="0" w:color="000000"/>
              <w:left w:val="single" w:sz="4" w:space="0" w:color="000000"/>
              <w:bottom w:val="single" w:sz="4" w:space="0" w:color="000000"/>
              <w:right w:val="single" w:sz="4" w:space="0" w:color="000000"/>
            </w:tcBorders>
          </w:tcPr>
          <w:p>
            <w:pPr>
              <w:pStyle w:val="Normal"/>
              <w:jc w:val="center"/>
              <w:rPr>
                <w:b/>
                <w:kern w:val="2"/>
                <w:szCs w:val="24"/>
              </w:rPr>
            </w:pPr>
            <w:r>
              <w:rPr>
                <w:b/>
                <w:kern w:val="2"/>
                <w:szCs w:val="24"/>
              </w:rPr>
              <w:t>8. PRIEVOLIŲ PAGAL SUTARTĮ ĮVYKDYMO UŽTIKRINIMAS</w:t>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t>8.1. Prievolių pagal Sutartį įvykdymo užtikrinimas</w:t>
            </w:r>
          </w:p>
        </w:tc>
        <w:tc>
          <w:tcPr>
            <w:tcW w:w="6439" w:type="dxa"/>
            <w:gridSpan w:val="2"/>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t>Prievolių pagal Sutartį įvykdymas užtikrinamas :</w:t>
            </w:r>
          </w:p>
          <w:p>
            <w:pPr>
              <w:pStyle w:val="Normal"/>
              <w:rPr>
                <w:kern w:val="2"/>
                <w:szCs w:val="24"/>
              </w:rPr>
            </w:pPr>
            <w:r>
              <w:rPr>
                <w:kern w:val="2"/>
                <w:szCs w:val="24"/>
              </w:rPr>
              <w:t>Netesybomis (delspinigiais, bauda).</w:t>
            </w:r>
          </w:p>
          <w:p>
            <w:pPr>
              <w:pStyle w:val="Normal"/>
              <w:rPr>
                <w:kern w:val="2"/>
                <w:szCs w:val="24"/>
              </w:rPr>
            </w:pPr>
            <w:r>
              <w:rPr>
                <w:kern w:val="2"/>
                <w:szCs w:val="24"/>
              </w:rPr>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t>8.2 Sutarties įvykdymo užtikrinimo galiojimo terminas</w:t>
            </w:r>
          </w:p>
        </w:tc>
        <w:tc>
          <w:tcPr>
            <w:tcW w:w="6439" w:type="dxa"/>
            <w:gridSpan w:val="2"/>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t>Netaikoma</w:t>
            </w:r>
          </w:p>
          <w:p>
            <w:pPr>
              <w:pStyle w:val="Normal"/>
              <w:rPr>
                <w:kern w:val="2"/>
                <w:szCs w:val="24"/>
              </w:rPr>
            </w:pPr>
            <w:r>
              <w:rPr>
                <w:kern w:val="2"/>
                <w:szCs w:val="24"/>
              </w:rPr>
            </w:r>
          </w:p>
          <w:p>
            <w:pPr>
              <w:pStyle w:val="Normal"/>
              <w:rPr>
                <w:kern w:val="2"/>
                <w:szCs w:val="24"/>
              </w:rPr>
            </w:pPr>
            <w:r>
              <w:rPr>
                <w:kern w:val="2"/>
                <w:szCs w:val="24"/>
              </w:rPr>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t>8.3. Sutarties įvykdymo užtikrinimo pateikimas</w:t>
            </w:r>
          </w:p>
        </w:tc>
        <w:tc>
          <w:tcPr>
            <w:tcW w:w="6439" w:type="dxa"/>
            <w:gridSpan w:val="2"/>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t>Netaikoma</w:t>
            </w:r>
          </w:p>
          <w:p>
            <w:pPr>
              <w:pStyle w:val="Normal"/>
              <w:rPr>
                <w:kern w:val="2"/>
                <w:szCs w:val="24"/>
              </w:rPr>
            </w:pPr>
            <w:r>
              <w:rPr>
                <w:kern w:val="2"/>
                <w:szCs w:val="24"/>
              </w:rPr>
            </w:r>
          </w:p>
        </w:tc>
      </w:tr>
      <w:tr>
        <w:trPr>
          <w:trHeight w:val="300" w:hRule="atLeast"/>
        </w:trPr>
        <w:tc>
          <w:tcPr>
            <w:tcW w:w="9534" w:type="dxa"/>
            <w:gridSpan w:val="4"/>
            <w:tcBorders>
              <w:top w:val="single" w:sz="4" w:space="0" w:color="000000"/>
              <w:left w:val="single" w:sz="4" w:space="0" w:color="000000"/>
              <w:bottom w:val="single" w:sz="4" w:space="0" w:color="000000"/>
              <w:right w:val="single" w:sz="4" w:space="0" w:color="000000"/>
            </w:tcBorders>
          </w:tcPr>
          <w:p>
            <w:pPr>
              <w:pStyle w:val="Normal"/>
              <w:jc w:val="center"/>
              <w:rPr>
                <w:b/>
                <w:kern w:val="2"/>
                <w:szCs w:val="24"/>
              </w:rPr>
            </w:pPr>
            <w:r>
              <w:rPr>
                <w:b/>
                <w:kern w:val="2"/>
                <w:szCs w:val="24"/>
              </w:rPr>
              <w:t>9. ŠALIŲ ATSAKOMYBĖ</w:t>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t>9.1. Pirkėjui taikomos netesybos už mokėjimų pagal Sutartį vėlavimą</w:t>
            </w:r>
          </w:p>
        </w:tc>
        <w:tc>
          <w:tcPr>
            <w:tcW w:w="6439" w:type="dxa"/>
            <w:gridSpan w:val="2"/>
            <w:tcBorders>
              <w:top w:val="single" w:sz="4" w:space="0" w:color="000000"/>
              <w:left w:val="single" w:sz="4" w:space="0" w:color="000000"/>
              <w:bottom w:val="single" w:sz="4" w:space="0" w:color="000000"/>
              <w:right w:val="single" w:sz="4" w:space="0" w:color="000000"/>
            </w:tcBorders>
          </w:tcPr>
          <w:p>
            <w:pPr>
              <w:pStyle w:val="Normal"/>
              <w:jc w:val="both"/>
              <w:rPr>
                <w:kern w:val="2"/>
                <w:szCs w:val="24"/>
              </w:rPr>
            </w:pPr>
            <w:r>
              <w:rPr>
                <w:kern w:val="2"/>
                <w:szCs w:val="24"/>
              </w:rPr>
              <w:t>9.1.1. Jei Pirkėjas, gavęs tinkamai pateiktą ir užpildytą Sąskaitą, uždelsia atsiskaityti už tinkamai Tiekėjo suteiktas kokybiškas Paslaugas per Sutartyje nurodytą terminą, Tiekėjas nuo kitos nei nustatytas terminas dienos skaičiuoja Pirkėjui 0,02 (dvi šimtosios) procento (arba nurodyti kitą skaičių) dydžio delspinigius nuo neapmokėtos sumos be PVM už kiekvieną vėlavimo dieną.</w:t>
            </w:r>
          </w:p>
          <w:p>
            <w:pPr>
              <w:pStyle w:val="Standard"/>
              <w:tabs>
                <w:tab w:val="clear" w:pos="1296"/>
                <w:tab w:val="left" w:pos="1418" w:leader="none"/>
              </w:tabs>
              <w:jc w:val="both"/>
              <w:rPr>
                <w:color w:val="000000"/>
              </w:rPr>
            </w:pPr>
            <w:r>
              <w:rPr>
                <w:color w:val="000000"/>
              </w:rPr>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szCs w:val="24"/>
              </w:rPr>
              <w:t>9.2. Tiekėjui taikomos netesybos</w:t>
            </w:r>
          </w:p>
        </w:tc>
        <w:tc>
          <w:tcPr>
            <w:tcW w:w="6439" w:type="dxa"/>
            <w:gridSpan w:val="2"/>
            <w:tcBorders>
              <w:top w:val="single" w:sz="4" w:space="0" w:color="000000"/>
              <w:left w:val="single" w:sz="4" w:space="0" w:color="000000"/>
              <w:bottom w:val="single" w:sz="4" w:space="0" w:color="000000"/>
              <w:right w:val="single" w:sz="4" w:space="0" w:color="000000"/>
            </w:tcBorders>
          </w:tcPr>
          <w:p>
            <w:pPr>
              <w:pStyle w:val="Normal"/>
              <w:jc w:val="both"/>
              <w:rPr>
                <w:kern w:val="2"/>
                <w:szCs w:val="24"/>
              </w:rPr>
            </w:pPr>
            <w:r>
              <w:rPr>
                <w:color w:val="000000"/>
                <w:kern w:val="2"/>
                <w:szCs w:val="24"/>
              </w:rPr>
              <w:t>9.2.1. Jeigu Tiekėjas vėluoja suteikti Paslaugas arba nevykdo kitų sutartinių įsipareigojimų, Pirkėjas nuo kitos nei nustatytas terminas dienos Tiekėjui skaičiuoja 10</w:t>
            </w:r>
            <w:r>
              <w:rPr>
                <w:kern w:val="2"/>
                <w:szCs w:val="24"/>
              </w:rPr>
              <w:t xml:space="preserve"> eurų dydžio delspinigius už kiekvieną uždelstą dieną.</w:t>
            </w:r>
          </w:p>
          <w:p>
            <w:pPr>
              <w:pStyle w:val="Normal"/>
              <w:jc w:val="both"/>
              <w:rPr>
                <w:kern w:val="2"/>
                <w:szCs w:val="24"/>
              </w:rPr>
            </w:pPr>
            <w:r>
              <w:rPr>
                <w:kern w:val="2"/>
                <w:szCs w:val="24"/>
              </w:rPr>
            </w:r>
          </w:p>
          <w:p>
            <w:pPr>
              <w:pStyle w:val="Normal"/>
              <w:jc w:val="both"/>
              <w:rPr>
                <w:b/>
                <w:kern w:val="2"/>
                <w:szCs w:val="24"/>
              </w:rPr>
            </w:pPr>
            <w:r>
              <w:rPr>
                <w:kern w:val="2"/>
                <w:szCs w:val="24"/>
              </w:rPr>
              <w:t>9.2.2. Tiek</w:t>
            </w:r>
            <w:r>
              <w:rPr>
                <w:color w:val="000000"/>
                <w:kern w:val="2"/>
                <w:szCs w:val="24"/>
              </w:rPr>
              <w:t xml:space="preserve">ėjas privalo sumokėti Pirkėjui netesybas per 10 (dešimt) dienų nuo Pirkėjo pareikalavimo, jeigu netesybų suma nėra </w:t>
            </w:r>
            <w:r>
              <w:rPr>
                <w:szCs w:val="24"/>
              </w:rPr>
              <w:t>išskaitoma iš Tiekėjui mokėtinos sumos.</w:t>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39" w:type="dxa"/>
            <w:gridSpan w:val="2"/>
            <w:tcBorders>
              <w:top w:val="single" w:sz="4" w:space="0" w:color="000000"/>
              <w:left w:val="single" w:sz="4" w:space="0" w:color="000000"/>
              <w:bottom w:val="single" w:sz="4" w:space="0" w:color="000000"/>
              <w:right w:val="single" w:sz="4" w:space="0" w:color="000000"/>
            </w:tcBorders>
          </w:tcPr>
          <w:p>
            <w:pPr>
              <w:pStyle w:val="Normal"/>
              <w:rPr>
                <w:szCs w:val="24"/>
              </w:rPr>
            </w:pPr>
            <w:r>
              <w:rPr>
                <w:kern w:val="2"/>
                <w:szCs w:val="24"/>
              </w:rPr>
              <w:t xml:space="preserve">9.3.1. Nutraukus Sutartį dėl esminio Sutarties </w:t>
            </w:r>
            <w:r>
              <w:rPr>
                <w:color w:val="000000"/>
                <w:kern w:val="2"/>
                <w:szCs w:val="24"/>
              </w:rPr>
              <w:t xml:space="preserve">pažeidimo, nustatyto Sutarties Specialiosiose sąlygose, mokama 10 </w:t>
            </w:r>
            <w:r>
              <w:rPr>
                <w:kern w:val="2"/>
                <w:szCs w:val="24"/>
              </w:rPr>
              <w:t>procentų dydžio bauda nuo Pradinės Sutarties vertės, nurodytos Specialiųjų sąlygų 5.2 punkte.</w:t>
            </w:r>
          </w:p>
          <w:p>
            <w:pPr>
              <w:pStyle w:val="Normal"/>
              <w:rPr>
                <w:kern w:val="2"/>
                <w:szCs w:val="24"/>
              </w:rPr>
            </w:pPr>
            <w:r>
              <w:rPr>
                <w:kern w:val="2"/>
                <w:szCs w:val="24"/>
              </w:rPr>
            </w:r>
          </w:p>
          <w:p>
            <w:pPr>
              <w:pStyle w:val="Normal"/>
              <w:rPr>
                <w:kern w:val="2"/>
                <w:szCs w:val="24"/>
              </w:rPr>
            </w:pPr>
            <w:r>
              <w:rPr>
                <w:kern w:val="2"/>
                <w:szCs w:val="24"/>
              </w:rPr>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39" w:type="dxa"/>
            <w:gridSpan w:val="2"/>
            <w:tcBorders>
              <w:top w:val="single" w:sz="4" w:space="0" w:color="000000"/>
              <w:left w:val="single" w:sz="4" w:space="0" w:color="000000"/>
              <w:bottom w:val="single" w:sz="4" w:space="0" w:color="000000"/>
              <w:right w:val="single" w:sz="4" w:space="0" w:color="000000"/>
            </w:tcBorders>
          </w:tcPr>
          <w:p>
            <w:pPr>
              <w:pStyle w:val="Normal"/>
              <w:rPr>
                <w:i/>
                <w:i/>
                <w:iCs/>
                <w:kern w:val="2"/>
                <w:szCs w:val="24"/>
              </w:rPr>
            </w:pPr>
            <w:r>
              <w:rPr>
                <w:rStyle w:val="Other"/>
                <w:rFonts w:eastAsia="NSimSun"/>
                <w:i w:val="false"/>
                <w:iCs w:val="false"/>
                <w:szCs w:val="24"/>
                <w:shd w:fill="FFFFFF" w:val="clear"/>
              </w:rPr>
              <w:t>50,00  EUR už kiekvieną atvejį atskirai.</w:t>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t>9.5. Tiekėjui taikomos baudos dėl aplinkosauginių ir (arba) socialinių kriterijų nesilaikymo</w:t>
            </w:r>
          </w:p>
        </w:tc>
        <w:tc>
          <w:tcPr>
            <w:tcW w:w="6439" w:type="dxa"/>
            <w:gridSpan w:val="2"/>
            <w:tcBorders>
              <w:top w:val="single" w:sz="4" w:space="0" w:color="000000"/>
              <w:left w:val="single" w:sz="4" w:space="0" w:color="000000"/>
              <w:bottom w:val="single" w:sz="4" w:space="0" w:color="000000"/>
              <w:right w:val="single" w:sz="4" w:space="0" w:color="000000"/>
            </w:tcBorders>
          </w:tcPr>
          <w:p>
            <w:pPr>
              <w:pStyle w:val="Standard"/>
              <w:jc w:val="both"/>
              <w:rPr>
                <w:rFonts w:ascii="Times New Roman" w:hAnsi="Times New Roman" w:cs="Times New Roman"/>
                <w:i/>
                <w:i/>
                <w:iCs/>
                <w:lang w:val="lt-LT"/>
              </w:rPr>
            </w:pPr>
            <w:r>
              <w:rPr>
                <w:rStyle w:val="Other"/>
                <w:rFonts w:eastAsia="NSimSun"/>
                <w:i w:val="false"/>
                <w:iCs w:val="false"/>
                <w:lang w:val="lt-LT"/>
              </w:rPr>
              <w:t>Jei Tiekėjas nesilaiko nustatytų aplinkosauginių reikalavimų, tai už kiekvieną kartą, kai Tiekėjas nesilaiko aplinkosauginių reikalavimų, yra taikoma 50,</w:t>
            </w:r>
            <w:r>
              <w:rPr>
                <w:rStyle w:val="Other"/>
                <w:rFonts w:eastAsia="NSimSun"/>
                <w:i w:val="false"/>
                <w:iCs w:val="false"/>
              </w:rPr>
              <w:t>00</w:t>
            </w:r>
            <w:r>
              <w:rPr>
                <w:rStyle w:val="Other"/>
                <w:rFonts w:eastAsia="NSimSun"/>
                <w:i w:val="false"/>
                <w:iCs w:val="false"/>
                <w:lang w:val="lt-LT"/>
              </w:rPr>
              <w:t xml:space="preserve"> eurų bauda.</w:t>
            </w:r>
          </w:p>
          <w:p>
            <w:pPr>
              <w:pStyle w:val="Normal"/>
              <w:rPr>
                <w:color w:val="4472C4"/>
                <w:kern w:val="2"/>
                <w:szCs w:val="24"/>
              </w:rPr>
            </w:pPr>
            <w:r>
              <w:rPr>
                <w:color w:val="4472C4"/>
                <w:kern w:val="2"/>
                <w:szCs w:val="24"/>
              </w:rPr>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t>9.6. Tiekėjui / Pirkėjui taikoma bauda dėl konfidencialumo reikalavimų nesilaikymo</w:t>
            </w:r>
          </w:p>
        </w:tc>
        <w:tc>
          <w:tcPr>
            <w:tcW w:w="6439" w:type="dxa"/>
            <w:gridSpan w:val="2"/>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t>Netaikoma</w:t>
            </w:r>
          </w:p>
          <w:p>
            <w:pPr>
              <w:pStyle w:val="Normal"/>
              <w:rPr>
                <w:color w:val="4472C4"/>
                <w:kern w:val="2"/>
                <w:szCs w:val="24"/>
              </w:rPr>
            </w:pPr>
            <w:r>
              <w:rPr>
                <w:color w:val="4472C4"/>
                <w:kern w:val="2"/>
                <w:szCs w:val="24"/>
              </w:rPr>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t>9.7. Tiekėjui taikomos netesybos dėl pirkimo dokumentuose nustatytų kokybinių kriterijų nepasiekimo Sutarties vykdymo metu</w:t>
            </w:r>
          </w:p>
        </w:tc>
        <w:tc>
          <w:tcPr>
            <w:tcW w:w="6439" w:type="dxa"/>
            <w:gridSpan w:val="2"/>
            <w:tcBorders>
              <w:top w:val="single" w:sz="4" w:space="0" w:color="000000"/>
              <w:left w:val="single" w:sz="4" w:space="0" w:color="000000"/>
              <w:bottom w:val="single" w:sz="4" w:space="0" w:color="000000"/>
              <w:right w:val="single" w:sz="4" w:space="0" w:color="000000"/>
            </w:tcBorders>
          </w:tcPr>
          <w:p>
            <w:pPr>
              <w:pStyle w:val="Normal"/>
              <w:rPr>
                <w:color w:val="4472C4"/>
                <w:kern w:val="2"/>
                <w:szCs w:val="24"/>
              </w:rPr>
            </w:pPr>
            <w:r>
              <w:rPr>
                <w:szCs w:val="24"/>
              </w:rPr>
              <w:t>Netaikoma</w:t>
            </w:r>
          </w:p>
          <w:p>
            <w:pPr>
              <w:pStyle w:val="Normal"/>
              <w:rPr>
                <w:color w:val="4472C4"/>
                <w:kern w:val="2"/>
                <w:szCs w:val="24"/>
              </w:rPr>
            </w:pPr>
            <w:r>
              <w:rPr>
                <w:color w:val="4472C4"/>
                <w:kern w:val="2"/>
                <w:szCs w:val="24"/>
              </w:rPr>
            </w:r>
          </w:p>
        </w:tc>
      </w:tr>
      <w:tr>
        <w:trPr>
          <w:trHeight w:val="156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t xml:space="preserve">9.8. Tiekėjui taikomos netesybos dėl Sutarties įvykdymo užtikrinimo </w:t>
            </w:r>
            <w:r>
              <w:rPr>
                <w:b/>
                <w:bCs/>
                <w:szCs w:val="24"/>
              </w:rPr>
              <w:t>nepratęsimo</w:t>
            </w:r>
          </w:p>
        </w:tc>
        <w:tc>
          <w:tcPr>
            <w:tcW w:w="6439" w:type="dxa"/>
            <w:gridSpan w:val="2"/>
            <w:tcBorders>
              <w:top w:val="single" w:sz="4" w:space="0" w:color="000000"/>
              <w:left w:val="single" w:sz="4" w:space="0" w:color="000000"/>
              <w:bottom w:val="single" w:sz="4" w:space="0" w:color="000000"/>
              <w:right w:val="single" w:sz="4" w:space="0" w:color="000000"/>
            </w:tcBorders>
          </w:tcPr>
          <w:p>
            <w:pPr>
              <w:pStyle w:val="Normal"/>
              <w:rPr>
                <w:color w:val="4472C4"/>
                <w:kern w:val="2"/>
                <w:szCs w:val="24"/>
              </w:rPr>
            </w:pPr>
            <w:r>
              <w:rPr>
                <w:kern w:val="2"/>
                <w:szCs w:val="24"/>
              </w:rPr>
              <w:t>Netaikoma</w:t>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39" w:type="dxa"/>
            <w:gridSpan w:val="2"/>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t>10 proc. nuo Pradinės sutartis vertės</w:t>
            </w:r>
          </w:p>
          <w:p>
            <w:pPr>
              <w:pStyle w:val="Normal"/>
              <w:rPr>
                <w:szCs w:val="24"/>
              </w:rPr>
            </w:pPr>
            <w:r>
              <w:rPr>
                <w:szCs w:val="24"/>
              </w:rPr>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rPr>
                <w:b/>
                <w:kern w:val="2"/>
                <w:szCs w:val="24"/>
                <w:lang w:val="en-US"/>
              </w:rPr>
            </w:pPr>
            <w:r>
              <w:rPr>
                <w:b/>
                <w:kern w:val="2"/>
                <w:szCs w:val="24"/>
                <w:lang w:val="en-US"/>
              </w:rPr>
              <w:t xml:space="preserve">9.9. </w:t>
            </w:r>
            <w:r>
              <w:rPr>
                <w:b/>
                <w:kern w:val="2"/>
                <w:szCs w:val="24"/>
              </w:rPr>
              <w:t>Kitos netesybos</w:t>
            </w:r>
          </w:p>
        </w:tc>
        <w:tc>
          <w:tcPr>
            <w:tcW w:w="6439" w:type="dxa"/>
            <w:gridSpan w:val="2"/>
            <w:tcBorders>
              <w:top w:val="single" w:sz="4" w:space="0" w:color="000000"/>
              <w:left w:val="single" w:sz="4" w:space="0" w:color="000000"/>
              <w:bottom w:val="single" w:sz="4" w:space="0" w:color="000000"/>
              <w:right w:val="single" w:sz="4" w:space="0" w:color="000000"/>
            </w:tcBorders>
          </w:tcPr>
          <w:p>
            <w:pPr>
              <w:pStyle w:val="Standard"/>
              <w:tabs>
                <w:tab w:val="clear" w:pos="1296"/>
                <w:tab w:val="left" w:pos="993" w:leader="none"/>
                <w:tab w:val="left" w:pos="1418" w:leader="none"/>
              </w:tabs>
              <w:jc w:val="both"/>
              <w:rPr>
                <w:color w:val="4472C4"/>
              </w:rPr>
            </w:pPr>
            <w:r>
              <w:rPr>
                <w:rFonts w:eastAsia="Calibri" w:cs="Times New Roman" w:ascii="Times New Roman" w:hAnsi="Times New Roman"/>
                <w:lang w:val="lt-LT"/>
              </w:rPr>
              <w:t>Netaikoma</w:t>
            </w:r>
          </w:p>
        </w:tc>
      </w:tr>
      <w:tr>
        <w:trPr>
          <w:trHeight w:val="300" w:hRule="atLeast"/>
        </w:trPr>
        <w:tc>
          <w:tcPr>
            <w:tcW w:w="9534" w:type="dxa"/>
            <w:gridSpan w:val="4"/>
            <w:tcBorders>
              <w:top w:val="single" w:sz="4" w:space="0" w:color="000000"/>
              <w:left w:val="single" w:sz="4" w:space="0" w:color="000000"/>
              <w:bottom w:val="single" w:sz="4" w:space="0" w:color="000000"/>
              <w:right w:val="single" w:sz="4" w:space="0" w:color="000000"/>
            </w:tcBorders>
          </w:tcPr>
          <w:p>
            <w:pPr>
              <w:pStyle w:val="Normal"/>
              <w:jc w:val="center"/>
              <w:rPr>
                <w:color w:val="4472C4"/>
                <w:kern w:val="2"/>
                <w:szCs w:val="24"/>
              </w:rPr>
            </w:pPr>
            <w:r>
              <w:rPr>
                <w:b/>
                <w:kern w:val="2"/>
                <w:szCs w:val="24"/>
              </w:rPr>
              <w:t>10. ESMINĖS SUTARTIES SĄLYGOS</w:t>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rPr>
                <w:b/>
                <w:kern w:val="2"/>
                <w:szCs w:val="24"/>
                <w:lang w:val="en-US"/>
              </w:rPr>
            </w:pPr>
            <w:r>
              <w:rPr>
                <w:b/>
                <w:kern w:val="2"/>
                <w:szCs w:val="24"/>
                <w:lang w:val="en-US"/>
              </w:rPr>
              <w:t xml:space="preserve">10.1. </w:t>
            </w:r>
            <w:r>
              <w:rPr>
                <w:b/>
                <w:kern w:val="2"/>
                <w:szCs w:val="24"/>
              </w:rPr>
              <w:t>Esminės Sutarties sąlygos</w:t>
            </w:r>
          </w:p>
        </w:tc>
        <w:tc>
          <w:tcPr>
            <w:tcW w:w="6439" w:type="dxa"/>
            <w:gridSpan w:val="2"/>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t>Netaikoma</w:t>
            </w:r>
          </w:p>
          <w:p>
            <w:pPr>
              <w:pStyle w:val="Normal"/>
              <w:rPr>
                <w:color w:val="4472C4"/>
                <w:kern w:val="2"/>
                <w:szCs w:val="24"/>
              </w:rPr>
            </w:pPr>
            <w:r>
              <w:rPr>
                <w:color w:val="4472C4"/>
                <w:kern w:val="2"/>
                <w:szCs w:val="24"/>
              </w:rPr>
            </w:r>
          </w:p>
        </w:tc>
      </w:tr>
      <w:tr>
        <w:trPr>
          <w:trHeight w:val="300" w:hRule="atLeast"/>
        </w:trPr>
        <w:tc>
          <w:tcPr>
            <w:tcW w:w="9534" w:type="dxa"/>
            <w:gridSpan w:val="4"/>
            <w:tcBorders>
              <w:top w:val="single" w:sz="4" w:space="0" w:color="000000"/>
              <w:left w:val="single" w:sz="4" w:space="0" w:color="000000"/>
              <w:bottom w:val="single" w:sz="4" w:space="0" w:color="000000"/>
              <w:right w:val="single" w:sz="4" w:space="0" w:color="000000"/>
            </w:tcBorders>
          </w:tcPr>
          <w:p>
            <w:pPr>
              <w:pStyle w:val="Normal"/>
              <w:jc w:val="center"/>
              <w:rPr>
                <w:b/>
                <w:kern w:val="2"/>
                <w:szCs w:val="24"/>
              </w:rPr>
            </w:pPr>
            <w:r>
              <w:rPr>
                <w:b/>
                <w:kern w:val="2"/>
                <w:szCs w:val="24"/>
              </w:rPr>
              <w:t>11. SUTARTIES GALIOJIMAS IR KEITIMAS</w:t>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szCs w:val="24"/>
              </w:rPr>
              <w:t>11.1. Sutarties sudarymas ir įsigaliojimas</w:t>
            </w:r>
          </w:p>
        </w:tc>
        <w:tc>
          <w:tcPr>
            <w:tcW w:w="6439" w:type="dxa"/>
            <w:gridSpan w:val="2"/>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t>Ši Sutartis laikoma sudaryta ir įsigalioja nuo Sutarties pasirašymo dienos (antrosios Šalies pasirašymo dieną).</w:t>
            </w:r>
          </w:p>
          <w:p>
            <w:pPr>
              <w:pStyle w:val="Normal"/>
              <w:rPr>
                <w:color w:val="4472C4"/>
                <w:kern w:val="2"/>
                <w:szCs w:val="24"/>
              </w:rPr>
            </w:pPr>
            <w:r>
              <w:rPr>
                <w:color w:val="000000"/>
                <w:kern w:val="2"/>
                <w:szCs w:val="24"/>
              </w:rPr>
              <w:t>Sutartis galioja iki visiško prievolių įvykdymo (kol bus išnaudota Pradinės Sutarties vertė, bet jos terminas negali būti ilgesnis kaip 7 mėnesiai.</w:t>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t>11.2. Sutarties galiojimo termino pratęsimas</w:t>
            </w:r>
          </w:p>
        </w:tc>
        <w:tc>
          <w:tcPr>
            <w:tcW w:w="6439" w:type="dxa"/>
            <w:gridSpan w:val="2"/>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t>Netaikoma</w:t>
            </w:r>
          </w:p>
          <w:p>
            <w:pPr>
              <w:pStyle w:val="Normal"/>
              <w:rPr>
                <w:kern w:val="2"/>
                <w:szCs w:val="24"/>
              </w:rPr>
            </w:pPr>
            <w:r>
              <w:rPr>
                <w:kern w:val="2"/>
                <w:szCs w:val="24"/>
              </w:rPr>
            </w:r>
          </w:p>
        </w:tc>
      </w:tr>
      <w:tr>
        <w:trPr>
          <w:trHeight w:val="300" w:hRule="atLeast"/>
        </w:trPr>
        <w:tc>
          <w:tcPr>
            <w:tcW w:w="9534" w:type="dxa"/>
            <w:gridSpan w:val="4"/>
            <w:tcBorders>
              <w:top w:val="single" w:sz="4" w:space="0" w:color="000000"/>
              <w:left w:val="single" w:sz="4" w:space="0" w:color="000000"/>
              <w:bottom w:val="single" w:sz="4" w:space="0" w:color="000000"/>
              <w:right w:val="single" w:sz="4" w:space="0" w:color="000000"/>
            </w:tcBorders>
          </w:tcPr>
          <w:p>
            <w:pPr>
              <w:pStyle w:val="Normal"/>
              <w:jc w:val="center"/>
              <w:rPr>
                <w:b/>
                <w:kern w:val="2"/>
                <w:szCs w:val="24"/>
              </w:rPr>
            </w:pPr>
            <w:r>
              <w:rPr>
                <w:b/>
                <w:kern w:val="2"/>
                <w:szCs w:val="24"/>
              </w:rPr>
              <w:t>12. SUTARTIES NUTRAUKIMAS</w:t>
            </w:r>
          </w:p>
        </w:tc>
      </w:tr>
      <w:tr>
        <w:trPr>
          <w:trHeight w:val="300" w:hRule="atLeast"/>
        </w:trPr>
        <w:tc>
          <w:tcPr>
            <w:tcW w:w="3057" w:type="dxa"/>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t>12.1. Sutarties nutraukimo pagrindai</w:t>
            </w:r>
          </w:p>
        </w:tc>
        <w:tc>
          <w:tcPr>
            <w:tcW w:w="6477" w:type="dxa"/>
            <w:gridSpan w:val="3"/>
            <w:tcBorders>
              <w:top w:val="single" w:sz="4" w:space="0" w:color="000000"/>
              <w:left w:val="single" w:sz="4" w:space="0" w:color="000000"/>
              <w:bottom w:val="single" w:sz="4" w:space="0" w:color="000000"/>
              <w:right w:val="single" w:sz="4" w:space="0" w:color="000000"/>
            </w:tcBorders>
          </w:tcPr>
          <w:p>
            <w:pPr>
              <w:pStyle w:val="Normal"/>
              <w:rPr>
                <w:color w:val="4472C4"/>
                <w:kern w:val="2"/>
                <w:szCs w:val="24"/>
              </w:rPr>
            </w:pPr>
            <w:r>
              <w:rPr>
                <w:kern w:val="2"/>
                <w:szCs w:val="24"/>
              </w:rPr>
              <w:t>Sutartis gali būti nutraukiama rašytiniu Šalių susitarimu arba vienašališkai, Bendrosiose sąlygose nustatyta tvarka.</w:t>
            </w:r>
          </w:p>
        </w:tc>
      </w:tr>
      <w:tr>
        <w:trPr>
          <w:trHeight w:val="300" w:hRule="atLeast"/>
        </w:trPr>
        <w:tc>
          <w:tcPr>
            <w:tcW w:w="3057" w:type="dxa"/>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t>12.2.1. jeigu Tiekėjas nevykdo prisiimtų įsipareigojimų už Sutartyje nustatytą Sutarties kainą / įkainius;</w:t>
            </w:r>
          </w:p>
          <w:p>
            <w:pPr>
              <w:pStyle w:val="Normal"/>
              <w:spacing w:lineRule="auto" w:line="254"/>
              <w:jc w:val="both"/>
              <w:rPr>
                <w:rFonts w:eastAsia="Arial"/>
                <w:kern w:val="2"/>
                <w:szCs w:val="24"/>
              </w:rPr>
            </w:pPr>
            <w:r>
              <w:rPr>
                <w:rFonts w:eastAsia="Arial"/>
                <w:kern w:val="2"/>
                <w:szCs w:val="24"/>
              </w:rPr>
              <w:t>12.2.2. jeigu Tiekėjas nesilaiko Sutartyje nustatytų Paslaugų teikimo terminų 2 (du) kartus iš eilės;</w:t>
            </w:r>
          </w:p>
          <w:p>
            <w:pPr>
              <w:pStyle w:val="Normal"/>
              <w:tabs>
                <w:tab w:val="clear" w:pos="1296"/>
                <w:tab w:val="left" w:pos="567" w:leader="none"/>
                <w:tab w:val="left" w:pos="851" w:leader="none"/>
                <w:tab w:val="left" w:pos="992" w:leader="none"/>
                <w:tab w:val="left" w:pos="1134" w:leader="none"/>
              </w:tabs>
              <w:spacing w:lineRule="auto" w:line="254"/>
              <w:jc w:val="both"/>
              <w:rPr>
                <w:rFonts w:eastAsia="Arial"/>
                <w:kern w:val="2"/>
                <w:szCs w:val="24"/>
              </w:rPr>
            </w:pPr>
            <w:r>
              <w:rPr>
                <w:rFonts w:eastAsia="Arial"/>
                <w:kern w:val="2"/>
                <w:szCs w:val="24"/>
              </w:rPr>
              <w:t>12.2.3. jeigu Tiekėjas pažeidžia Paslaugų suteikimo terminus ir priskaičiuotų netesybų už vėlavimą suma viršija 20 (dvidešimt) proc. Pradinės sutarties vertės;</w:t>
            </w:r>
          </w:p>
          <w:p>
            <w:pPr>
              <w:pStyle w:val="Normal"/>
              <w:tabs>
                <w:tab w:val="clear" w:pos="1296"/>
                <w:tab w:val="left" w:pos="567" w:leader="none"/>
                <w:tab w:val="left" w:pos="851" w:leader="none"/>
                <w:tab w:val="left" w:pos="992" w:leader="none"/>
                <w:tab w:val="left" w:pos="1134" w:leader="none"/>
              </w:tabs>
              <w:spacing w:lineRule="auto" w:line="254"/>
              <w:jc w:val="both"/>
              <w:rPr>
                <w:rFonts w:eastAsia="Arial"/>
                <w:kern w:val="2"/>
                <w:szCs w:val="24"/>
              </w:rPr>
            </w:pPr>
            <w:r>
              <w:rPr>
                <w:rFonts w:eastAsia="Arial"/>
                <w:kern w:val="2"/>
                <w:szCs w:val="24"/>
              </w:rPr>
              <w:t>12.2.4. Tiekėjas pažeidžia Paslaugų suteikimo terminus ir dėl Paslaugų suteikimo vėlavimo Paslaugos tampa nebereikalingos;</w:t>
            </w:r>
          </w:p>
          <w:p>
            <w:pPr>
              <w:pStyle w:val="Normal"/>
              <w:tabs>
                <w:tab w:val="clear" w:pos="1296"/>
                <w:tab w:val="left" w:pos="567" w:leader="none"/>
                <w:tab w:val="left" w:pos="851" w:leader="none"/>
                <w:tab w:val="left" w:pos="992" w:leader="none"/>
                <w:tab w:val="left" w:pos="1134" w:leader="none"/>
              </w:tabs>
              <w:spacing w:lineRule="auto" w:line="254"/>
              <w:jc w:val="both"/>
              <w:rPr>
                <w:rFonts w:eastAsia="Arial"/>
                <w:kern w:val="2"/>
                <w:szCs w:val="24"/>
              </w:rPr>
            </w:pPr>
            <w:r>
              <w:rPr>
                <w:rFonts w:eastAsia="Arial"/>
                <w:kern w:val="2"/>
                <w:szCs w:val="24"/>
              </w:rPr>
              <w:t>12.2.5. Tiekėjas daugiau kaip 2 (du) kartus suteikia Paslaugas, kurios neatitinka Sutartyje ir (ar) įstatymuose nustatytų reikalavimų Paslaugoms;</w:t>
            </w:r>
          </w:p>
          <w:p>
            <w:pPr>
              <w:pStyle w:val="Normal"/>
              <w:tabs>
                <w:tab w:val="clear" w:pos="1296"/>
                <w:tab w:val="left" w:pos="567" w:leader="none"/>
                <w:tab w:val="left" w:pos="851" w:leader="none"/>
                <w:tab w:val="left" w:pos="992" w:leader="none"/>
                <w:tab w:val="left" w:pos="1134" w:leader="none"/>
              </w:tabs>
              <w:spacing w:lineRule="auto" w:line="254"/>
              <w:jc w:val="both"/>
              <w:rPr>
                <w:rFonts w:eastAsia="Arial"/>
                <w:color w:val="FF0000"/>
                <w:kern w:val="2"/>
                <w:szCs w:val="24"/>
              </w:rPr>
            </w:pPr>
            <w:r>
              <w:rPr>
                <w:rFonts w:eastAsia="Arial"/>
                <w:kern w:val="2"/>
                <w:szCs w:val="24"/>
              </w:rPr>
              <w:t>12.2.6. Tiekėjo kvalifikacija tapo nebeatitinkančia pirkimo dokumentuose nustatytų Sutarties tinkamam vykdymui būtinų reikalavimų ir šie neatitikimai nebuvo ištaisyti per 14 (keturiolika) kalendorinių dienų nuo kvalifikacijos tapimo neatitinkančia dienos.</w:t>
            </w:r>
          </w:p>
        </w:tc>
      </w:tr>
      <w:tr>
        <w:trPr>
          <w:trHeight w:val="300" w:hRule="atLeast"/>
        </w:trPr>
        <w:tc>
          <w:tcPr>
            <w:tcW w:w="9534" w:type="dxa"/>
            <w:gridSpan w:val="4"/>
            <w:tcBorders>
              <w:top w:val="single" w:sz="4" w:space="0" w:color="000000"/>
              <w:left w:val="single" w:sz="4" w:space="0" w:color="000000"/>
              <w:bottom w:val="single" w:sz="4" w:space="0" w:color="000000"/>
              <w:right w:val="single" w:sz="4" w:space="0" w:color="000000"/>
            </w:tcBorders>
          </w:tcPr>
          <w:p>
            <w:pPr>
              <w:pStyle w:val="Normal"/>
              <w:jc w:val="center"/>
              <w:rPr>
                <w:kern w:val="2"/>
                <w:szCs w:val="24"/>
              </w:rPr>
            </w:pPr>
            <w:r>
              <w:rPr>
                <w:b/>
                <w:kern w:val="2"/>
                <w:szCs w:val="24"/>
              </w:rPr>
              <w:t>13. APLINKOS APSAUGOS IR SOCIALINIAI KRITERIJAI</w:t>
            </w:r>
          </w:p>
        </w:tc>
      </w:tr>
      <w:tr>
        <w:trPr>
          <w:trHeight w:val="300" w:hRule="atLeast"/>
        </w:trPr>
        <w:tc>
          <w:tcPr>
            <w:tcW w:w="3057" w:type="dxa"/>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t>13.1. Su perkamomis paslaugomis susiję  aplinkos apsaugos kriterijai</w:t>
            </w:r>
          </w:p>
        </w:tc>
        <w:tc>
          <w:tcPr>
            <w:tcW w:w="6477" w:type="dxa"/>
            <w:gridSpan w:val="3"/>
            <w:tcBorders>
              <w:top w:val="single" w:sz="4" w:space="0" w:color="000000"/>
              <w:left w:val="single" w:sz="4" w:space="0" w:color="000000"/>
              <w:bottom w:val="single" w:sz="4" w:space="0" w:color="000000"/>
              <w:right w:val="single" w:sz="4" w:space="0" w:color="000000"/>
            </w:tcBorders>
          </w:tcPr>
          <w:p>
            <w:pPr>
              <w:pStyle w:val="ListParagraph"/>
              <w:spacing w:before="0" w:after="0"/>
              <w:ind w:left="0"/>
              <w:contextualSpacing/>
              <w:jc w:val="both"/>
              <w:rPr>
                <w:rFonts w:ascii="Times New Roman" w:hAnsi="Times New Roman" w:cs="Times New Roman"/>
                <w:highlight w:val="yellow"/>
              </w:rPr>
            </w:pPr>
            <w:r>
              <w:rPr>
                <w:rFonts w:cs="Times New Roman" w:ascii="Times New Roman" w:hAnsi="Times New Roman"/>
                <w:shd w:fill="FFFFFF" w:val="clear"/>
              </w:rPr>
              <w:t>1. Vadovaujantis Lietuvos Respublikos aplinkos ministro 2011 m. birželio 28 d.  įsakymu Nr. D1-508 (2022-12-13 Nr. D1- 401 aktuali redakcija) „Dėl aplinkos apsaugos kriterijų taikymo, vykdant žaliuosius pirkimus, tvarkos aprašo patvirtinimo“ patvirtinto Aplinkos apsaugos kriterijų taikymo, vykdant žaliuosius pirkimus, tvarkos aprašo (toliau – Aprašas) 4 punktu, dalis pirkimo objekto tenkina Aprašo 4.4.3 papunktyje nustatytą sąlygą, t. y. perkama nematerialaus pobūdžio (intelektinė) paslauga, nesusijusi su materialaus objekto sukūrimu, kurios tiekimo metu nėra numatomas reikšmingas neigiamas poveikis aplinkai, nesukuriamas taršos šaltinis ir negeneruojamos atliekos..</w:t>
            </w:r>
          </w:p>
          <w:p>
            <w:pPr>
              <w:pStyle w:val="ListParagraph"/>
              <w:spacing w:before="0" w:after="0"/>
              <w:ind w:left="0"/>
              <w:contextualSpacing/>
              <w:jc w:val="both"/>
              <w:rPr>
                <w:shd w:fill="FFFFFF" w:val="clear"/>
              </w:rPr>
            </w:pPr>
            <w:r>
              <w:rPr>
                <w:rFonts w:cs="Times New Roman" w:ascii="Times New Roman" w:hAnsi="Times New Roman"/>
                <w:shd w:fill="FFFFFF" w:val="clear"/>
              </w:rPr>
              <w:t>2. Jeigu paslaugos teikimui būtina naudoti popierių, jis turi atitikti aplinkos apsaugos kriterijus popieriui ir jo gaminiams, nustatytus Aprašo 2 priedo 1 punkte.</w:t>
            </w:r>
          </w:p>
          <w:p>
            <w:pPr>
              <w:pStyle w:val="Normal"/>
              <w:jc w:val="both"/>
              <w:rPr>
                <w:shd w:fill="FFFFFF" w:val="clear"/>
              </w:rPr>
            </w:pPr>
            <w:r>
              <w:rPr>
                <w:szCs w:val="24"/>
                <w:shd w:fill="FFFFFF" w:val="clear"/>
              </w:rPr>
              <w:t>3. Siekiant, kad teikiant paslaugas būtų sunaudojama mažiau gamtos išteklių ir taip būtų laikomasi Aprašo 4.4.4.1 papunktyje nustatyto aplinkosauginio principo, Paslaugų teikimui būtina spausdinti dokumentacija, turi būti spausdinama ant abiejų lapo pusių.</w:t>
            </w:r>
          </w:p>
        </w:tc>
      </w:tr>
      <w:tr>
        <w:trPr>
          <w:trHeight w:val="300" w:hRule="atLeast"/>
        </w:trPr>
        <w:tc>
          <w:tcPr>
            <w:tcW w:w="3057" w:type="dxa"/>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t>13.2. Su perkamomis Paslaugomis susiję socialiniai kriterijai</w:t>
            </w:r>
          </w:p>
        </w:tc>
        <w:tc>
          <w:tcPr>
            <w:tcW w:w="6477" w:type="dxa"/>
            <w:gridSpan w:val="3"/>
            <w:tcBorders>
              <w:top w:val="single" w:sz="4" w:space="0" w:color="000000"/>
              <w:left w:val="single" w:sz="4" w:space="0" w:color="000000"/>
              <w:bottom w:val="single" w:sz="4" w:space="0" w:color="000000"/>
              <w:right w:val="single" w:sz="4" w:space="0" w:color="000000"/>
            </w:tcBorders>
          </w:tcPr>
          <w:p>
            <w:pPr>
              <w:pStyle w:val="Normal"/>
              <w:rPr>
                <w:color w:val="000000"/>
                <w:kern w:val="2"/>
                <w:szCs w:val="24"/>
                <w:shd w:fill="FFFFFF" w:val="clear"/>
              </w:rPr>
            </w:pPr>
            <w:r>
              <w:rPr>
                <w:color w:val="000000"/>
                <w:kern w:val="2"/>
                <w:szCs w:val="24"/>
                <w:shd w:fill="FFFFFF" w:val="clear"/>
              </w:rPr>
              <w:t>Netaikoma</w:t>
            </w:r>
          </w:p>
          <w:p>
            <w:pPr>
              <w:pStyle w:val="Normal"/>
              <w:rPr>
                <w:color w:val="000000"/>
                <w:kern w:val="2"/>
                <w:szCs w:val="24"/>
                <w:shd w:fill="FFFFFF" w:val="clear"/>
              </w:rPr>
            </w:pPr>
            <w:r>
              <w:rPr>
                <w:color w:val="000000"/>
                <w:kern w:val="2"/>
                <w:szCs w:val="24"/>
                <w:shd w:fill="FFFFFF" w:val="clear"/>
              </w:rPr>
            </w:r>
          </w:p>
          <w:p>
            <w:pPr>
              <w:pStyle w:val="Normal"/>
              <w:rPr>
                <w:color w:val="0070C0"/>
                <w:kern w:val="2"/>
                <w:szCs w:val="24"/>
              </w:rPr>
            </w:pPr>
            <w:r>
              <w:rPr>
                <w:color w:val="0070C0"/>
                <w:kern w:val="2"/>
                <w:szCs w:val="24"/>
              </w:rPr>
            </w:r>
          </w:p>
        </w:tc>
      </w:tr>
      <w:tr>
        <w:trPr>
          <w:trHeight w:val="300" w:hRule="atLeast"/>
        </w:trPr>
        <w:tc>
          <w:tcPr>
            <w:tcW w:w="9534" w:type="dxa"/>
            <w:gridSpan w:val="4"/>
            <w:tcBorders>
              <w:top w:val="single" w:sz="4" w:space="0" w:color="000000"/>
              <w:left w:val="single" w:sz="4" w:space="0" w:color="000000"/>
              <w:bottom w:val="single" w:sz="4" w:space="0" w:color="000000"/>
              <w:right w:val="single" w:sz="4" w:space="0" w:color="000000"/>
            </w:tcBorders>
          </w:tcPr>
          <w:p>
            <w:pPr>
              <w:pStyle w:val="Normal"/>
              <w:jc w:val="center"/>
              <w:rPr>
                <w:b/>
                <w:kern w:val="2"/>
                <w:szCs w:val="24"/>
              </w:rPr>
            </w:pPr>
            <w:r>
              <w:rPr>
                <w:b/>
                <w:kern w:val="2"/>
                <w:szCs w:val="24"/>
              </w:rPr>
              <w:t>14. BENDRŲJŲ SĄLYGŲ PAKEITIMAI IR PAPILDYMAI</w:t>
            </w:r>
          </w:p>
          <w:p>
            <w:pPr>
              <w:pStyle w:val="Normal"/>
              <w:jc w:val="center"/>
              <w:rPr>
                <w:kern w:val="2"/>
                <w:szCs w:val="24"/>
              </w:rPr>
            </w:pPr>
            <w:r>
              <w:rPr>
                <w:kern w:val="2"/>
                <w:szCs w:val="24"/>
              </w:rPr>
            </w:r>
          </w:p>
        </w:tc>
      </w:tr>
      <w:tr>
        <w:trPr>
          <w:trHeight w:val="300" w:hRule="atLeast"/>
        </w:trPr>
        <w:tc>
          <w:tcPr>
            <w:tcW w:w="3057" w:type="dxa"/>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t>14.1.</w:t>
            </w:r>
          </w:p>
        </w:tc>
        <w:tc>
          <w:tcPr>
            <w:tcW w:w="6477" w:type="dxa"/>
            <w:gridSpan w:val="3"/>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t>netaikoma</w:t>
            </w:r>
          </w:p>
        </w:tc>
      </w:tr>
      <w:tr>
        <w:trPr>
          <w:trHeight w:val="300" w:hRule="atLeast"/>
        </w:trPr>
        <w:tc>
          <w:tcPr>
            <w:tcW w:w="9534" w:type="dxa"/>
            <w:gridSpan w:val="4"/>
            <w:tcBorders>
              <w:top w:val="single" w:sz="4" w:space="0" w:color="000000"/>
              <w:left w:val="single" w:sz="4" w:space="0" w:color="000000"/>
              <w:bottom w:val="single" w:sz="4" w:space="0" w:color="000000"/>
              <w:right w:val="single" w:sz="4" w:space="0" w:color="000000"/>
            </w:tcBorders>
          </w:tcPr>
          <w:p>
            <w:pPr>
              <w:pStyle w:val="Normal"/>
              <w:jc w:val="center"/>
              <w:rPr>
                <w:b/>
                <w:kern w:val="2"/>
                <w:szCs w:val="24"/>
              </w:rPr>
            </w:pPr>
            <w:r>
              <w:rPr>
                <w:b/>
                <w:kern w:val="2"/>
                <w:szCs w:val="24"/>
              </w:rPr>
              <w:t>15. SUTARTIES PRIEDAI</w:t>
            </w:r>
          </w:p>
        </w:tc>
      </w:tr>
      <w:tr>
        <w:trPr>
          <w:trHeight w:val="300" w:hRule="atLeast"/>
        </w:trPr>
        <w:tc>
          <w:tcPr>
            <w:tcW w:w="3057" w:type="dxa"/>
            <w:tcBorders>
              <w:top w:val="single" w:sz="4" w:space="0" w:color="000000"/>
              <w:left w:val="single" w:sz="4" w:space="0" w:color="000000"/>
              <w:bottom w:val="single" w:sz="4" w:space="0" w:color="000000"/>
              <w:right w:val="single" w:sz="4" w:space="0" w:color="000000"/>
            </w:tcBorders>
          </w:tcPr>
          <w:p>
            <w:pPr>
              <w:pStyle w:val="Normal"/>
              <w:jc w:val="center"/>
              <w:rPr>
                <w:b/>
                <w:kern w:val="2"/>
                <w:szCs w:val="24"/>
              </w:rPr>
            </w:pPr>
            <w:r>
              <w:rPr>
                <w:b/>
                <w:kern w:val="2"/>
                <w:szCs w:val="24"/>
              </w:rPr>
              <w:t>15.1. Priedas Nr. 1</w:t>
            </w:r>
          </w:p>
        </w:tc>
        <w:tc>
          <w:tcPr>
            <w:tcW w:w="6477" w:type="dxa"/>
            <w:gridSpan w:val="3"/>
            <w:tcBorders>
              <w:top w:val="single" w:sz="4" w:space="0" w:color="000000"/>
              <w:left w:val="single" w:sz="4" w:space="0" w:color="000000"/>
              <w:bottom w:val="single" w:sz="4" w:space="0" w:color="000000"/>
              <w:right w:val="single" w:sz="4" w:space="0" w:color="000000"/>
            </w:tcBorders>
          </w:tcPr>
          <w:p>
            <w:pPr>
              <w:pStyle w:val="Normal"/>
              <w:jc w:val="center"/>
              <w:rPr>
                <w:b/>
                <w:kern w:val="2"/>
                <w:szCs w:val="24"/>
              </w:rPr>
            </w:pPr>
            <w:r>
              <w:rPr>
                <w:b/>
                <w:kern w:val="2"/>
                <w:szCs w:val="24"/>
              </w:rPr>
              <w:t>Techninė specifikacija</w:t>
            </w:r>
          </w:p>
        </w:tc>
      </w:tr>
      <w:tr>
        <w:trPr>
          <w:trHeight w:val="300" w:hRule="atLeast"/>
        </w:trPr>
        <w:tc>
          <w:tcPr>
            <w:tcW w:w="3057" w:type="dxa"/>
            <w:tcBorders>
              <w:top w:val="single" w:sz="4" w:space="0" w:color="000000"/>
              <w:left w:val="single" w:sz="4" w:space="0" w:color="000000"/>
              <w:bottom w:val="single" w:sz="4" w:space="0" w:color="000000"/>
              <w:right w:val="single" w:sz="4" w:space="0" w:color="000000"/>
            </w:tcBorders>
          </w:tcPr>
          <w:p>
            <w:pPr>
              <w:pStyle w:val="Normal"/>
              <w:jc w:val="center"/>
              <w:rPr>
                <w:b/>
                <w:kern w:val="2"/>
                <w:szCs w:val="24"/>
              </w:rPr>
            </w:pPr>
            <w:r>
              <w:rPr>
                <w:b/>
                <w:kern w:val="2"/>
                <w:szCs w:val="24"/>
              </w:rPr>
              <w:t>15.2. Priedas Nr. 2</w:t>
            </w:r>
          </w:p>
        </w:tc>
        <w:tc>
          <w:tcPr>
            <w:tcW w:w="6477" w:type="dxa"/>
            <w:gridSpan w:val="3"/>
            <w:tcBorders>
              <w:top w:val="single" w:sz="4" w:space="0" w:color="000000"/>
              <w:left w:val="single" w:sz="4" w:space="0" w:color="000000"/>
              <w:bottom w:val="single" w:sz="4" w:space="0" w:color="000000"/>
              <w:right w:val="single" w:sz="4" w:space="0" w:color="000000"/>
            </w:tcBorders>
          </w:tcPr>
          <w:p>
            <w:pPr>
              <w:pStyle w:val="Normal"/>
              <w:jc w:val="center"/>
              <w:rPr>
                <w:b/>
                <w:kern w:val="2"/>
                <w:szCs w:val="24"/>
              </w:rPr>
            </w:pPr>
            <w:r>
              <w:rPr>
                <w:b/>
                <w:kern w:val="2"/>
                <w:szCs w:val="24"/>
              </w:rPr>
              <w:t>Pasiūlymas</w:t>
            </w:r>
          </w:p>
        </w:tc>
      </w:tr>
      <w:tr>
        <w:trPr/>
        <w:tc>
          <w:tcPr>
            <w:tcW w:w="9534" w:type="dxa"/>
            <w:gridSpan w:val="4"/>
            <w:tcBorders>
              <w:top w:val="single" w:sz="4" w:space="0" w:color="000000"/>
              <w:left w:val="single" w:sz="4" w:space="0" w:color="000000"/>
              <w:bottom w:val="single" w:sz="4" w:space="0" w:color="000000"/>
              <w:right w:val="single" w:sz="4" w:space="0" w:color="000000"/>
            </w:tcBorders>
          </w:tcPr>
          <w:p>
            <w:pPr>
              <w:pStyle w:val="Normal"/>
              <w:jc w:val="center"/>
              <w:rPr>
                <w:b/>
                <w:kern w:val="2"/>
                <w:szCs w:val="24"/>
              </w:rPr>
            </w:pPr>
            <w:r>
              <w:rPr>
                <w:b/>
                <w:kern w:val="2"/>
                <w:szCs w:val="24"/>
              </w:rPr>
              <w:t>16. ŠALIŲ ATSTOVŲ PARAŠAI</w:t>
            </w:r>
          </w:p>
        </w:tc>
      </w:tr>
      <w:tr>
        <w:trPr/>
        <w:tc>
          <w:tcPr>
            <w:tcW w:w="5225" w:type="dxa"/>
            <w:gridSpan w:val="3"/>
            <w:tcBorders>
              <w:top w:val="single" w:sz="4" w:space="0" w:color="000000"/>
              <w:left w:val="single" w:sz="4" w:space="0" w:color="000000"/>
              <w:bottom w:val="single" w:sz="4" w:space="0" w:color="000000"/>
              <w:right w:val="single" w:sz="4" w:space="0" w:color="000000"/>
            </w:tcBorders>
          </w:tcPr>
          <w:p>
            <w:pPr>
              <w:pStyle w:val="Normal"/>
              <w:jc w:val="center"/>
              <w:rPr>
                <w:b/>
                <w:kern w:val="2"/>
                <w:szCs w:val="24"/>
              </w:rPr>
            </w:pPr>
            <w:r>
              <w:rPr>
                <w:b/>
                <w:kern w:val="2"/>
                <w:szCs w:val="24"/>
              </w:rPr>
              <w:t>PIRKĖJAS</w:t>
            </w:r>
          </w:p>
        </w:tc>
        <w:tc>
          <w:tcPr>
            <w:tcW w:w="4309" w:type="dxa"/>
            <w:tcBorders>
              <w:top w:val="single" w:sz="4" w:space="0" w:color="000000"/>
              <w:left w:val="single" w:sz="4" w:space="0" w:color="000000"/>
              <w:bottom w:val="single" w:sz="4" w:space="0" w:color="000000"/>
              <w:right w:val="single" w:sz="4" w:space="0" w:color="000000"/>
            </w:tcBorders>
          </w:tcPr>
          <w:p>
            <w:pPr>
              <w:pStyle w:val="Normal"/>
              <w:jc w:val="center"/>
              <w:rPr>
                <w:b/>
                <w:kern w:val="2"/>
                <w:szCs w:val="24"/>
              </w:rPr>
            </w:pPr>
            <w:r>
              <w:rPr>
                <w:b/>
                <w:kern w:val="2"/>
                <w:szCs w:val="24"/>
              </w:rPr>
              <w:t>TIEKĖJAS</w:t>
            </w:r>
          </w:p>
        </w:tc>
      </w:tr>
      <w:tr>
        <w:trPr/>
        <w:tc>
          <w:tcPr>
            <w:tcW w:w="5225" w:type="dxa"/>
            <w:gridSpan w:val="3"/>
            <w:tcBorders>
              <w:top w:val="single" w:sz="4" w:space="0" w:color="000000"/>
              <w:left w:val="single" w:sz="4" w:space="0" w:color="000000"/>
              <w:bottom w:val="single" w:sz="4" w:space="0" w:color="000000"/>
              <w:right w:val="single" w:sz="4" w:space="0" w:color="000000"/>
            </w:tcBorders>
          </w:tcPr>
          <w:p>
            <w:pPr>
              <w:pStyle w:val="Normal"/>
              <w:jc w:val="center"/>
              <w:rPr>
                <w:color w:val="4472C4"/>
                <w:kern w:val="2"/>
                <w:szCs w:val="24"/>
              </w:rPr>
            </w:pPr>
            <w:r>
              <w:rPr>
                <w:color w:val="4472C4"/>
                <w:kern w:val="2"/>
                <w:szCs w:val="24"/>
              </w:rPr>
              <w:t>(nurodomos atstovo pareigos, vardas, pavardė)</w:t>
            </w:r>
          </w:p>
        </w:tc>
        <w:tc>
          <w:tcPr>
            <w:tcW w:w="4309" w:type="dxa"/>
            <w:tcBorders>
              <w:top w:val="single" w:sz="4" w:space="0" w:color="000000"/>
              <w:left w:val="single" w:sz="4" w:space="0" w:color="000000"/>
              <w:bottom w:val="single" w:sz="4" w:space="0" w:color="000000"/>
              <w:right w:val="single" w:sz="4" w:space="0" w:color="000000"/>
            </w:tcBorders>
          </w:tcPr>
          <w:p>
            <w:pPr>
              <w:pStyle w:val="Normal"/>
              <w:jc w:val="center"/>
              <w:rPr>
                <w:b/>
                <w:kern w:val="2"/>
                <w:szCs w:val="24"/>
              </w:rPr>
            </w:pPr>
            <w:r>
              <w:rPr>
                <w:color w:val="4472C4"/>
                <w:kern w:val="2"/>
                <w:szCs w:val="24"/>
              </w:rPr>
              <w:t>(nurodomos atstovo pareigos, vardas, pavardė)</w:t>
            </w:r>
          </w:p>
        </w:tc>
      </w:tr>
      <w:tr>
        <w:trPr/>
        <w:tc>
          <w:tcPr>
            <w:tcW w:w="5225" w:type="dxa"/>
            <w:gridSpan w:val="3"/>
            <w:tcBorders>
              <w:top w:val="single" w:sz="4" w:space="0" w:color="000000"/>
              <w:left w:val="single" w:sz="4" w:space="0" w:color="000000"/>
              <w:bottom w:val="single" w:sz="4" w:space="0" w:color="000000"/>
              <w:right w:val="single" w:sz="4" w:space="0" w:color="000000"/>
            </w:tcBorders>
          </w:tcPr>
          <w:p>
            <w:pPr>
              <w:pStyle w:val="Normal"/>
              <w:jc w:val="center"/>
              <w:rPr>
                <w:b/>
                <w:color w:val="4472C4"/>
                <w:kern w:val="2"/>
                <w:szCs w:val="24"/>
              </w:rPr>
            </w:pPr>
            <w:r>
              <w:rPr>
                <w:b/>
                <w:color w:val="4472C4"/>
                <w:kern w:val="2"/>
                <w:szCs w:val="24"/>
              </w:rPr>
            </w:r>
          </w:p>
          <w:p>
            <w:pPr>
              <w:pStyle w:val="Normal"/>
              <w:jc w:val="center"/>
              <w:rPr>
                <w:b/>
                <w:color w:val="4472C4"/>
                <w:kern w:val="2"/>
                <w:szCs w:val="24"/>
              </w:rPr>
            </w:pPr>
            <w:r>
              <w:rPr>
                <w:b/>
                <w:color w:val="4472C4"/>
                <w:kern w:val="2"/>
                <w:szCs w:val="24"/>
              </w:rPr>
              <w:t>(parašas)</w:t>
            </w:r>
          </w:p>
          <w:p>
            <w:pPr>
              <w:pStyle w:val="Normal"/>
              <w:jc w:val="center"/>
              <w:rPr>
                <w:b/>
                <w:color w:val="4472C4"/>
                <w:kern w:val="2"/>
                <w:szCs w:val="24"/>
              </w:rPr>
            </w:pPr>
            <w:r>
              <w:rPr>
                <w:b/>
                <w:color w:val="4472C4"/>
                <w:kern w:val="2"/>
                <w:szCs w:val="24"/>
              </w:rPr>
            </w:r>
          </w:p>
          <w:p>
            <w:pPr>
              <w:pStyle w:val="Normal"/>
              <w:jc w:val="center"/>
              <w:rPr>
                <w:b/>
                <w:color w:val="4472C4"/>
                <w:kern w:val="2"/>
                <w:szCs w:val="24"/>
              </w:rPr>
            </w:pPr>
            <w:r>
              <w:rPr>
                <w:b/>
                <w:color w:val="4472C4"/>
                <w:kern w:val="2"/>
                <w:szCs w:val="24"/>
              </w:rPr>
            </w:r>
          </w:p>
        </w:tc>
        <w:tc>
          <w:tcPr>
            <w:tcW w:w="4309" w:type="dxa"/>
            <w:tcBorders>
              <w:top w:val="single" w:sz="4" w:space="0" w:color="000000"/>
              <w:left w:val="single" w:sz="4" w:space="0" w:color="000000"/>
              <w:bottom w:val="single" w:sz="4" w:space="0" w:color="000000"/>
              <w:right w:val="single" w:sz="4" w:space="0" w:color="000000"/>
            </w:tcBorders>
          </w:tcPr>
          <w:p>
            <w:pPr>
              <w:pStyle w:val="Normal"/>
              <w:jc w:val="center"/>
              <w:rPr>
                <w:b/>
                <w:color w:val="4472C4"/>
                <w:kern w:val="2"/>
                <w:szCs w:val="24"/>
              </w:rPr>
            </w:pPr>
            <w:r>
              <w:rPr>
                <w:b/>
                <w:color w:val="4472C4"/>
                <w:kern w:val="2"/>
                <w:szCs w:val="24"/>
              </w:rPr>
            </w:r>
          </w:p>
          <w:p>
            <w:pPr>
              <w:pStyle w:val="Normal"/>
              <w:jc w:val="center"/>
              <w:rPr>
                <w:b/>
                <w:color w:val="4472C4"/>
                <w:kern w:val="2"/>
                <w:szCs w:val="24"/>
              </w:rPr>
            </w:pPr>
            <w:r>
              <w:rPr>
                <w:b/>
                <w:color w:val="4472C4"/>
                <w:kern w:val="2"/>
                <w:szCs w:val="24"/>
              </w:rPr>
              <w:t>(parašas)</w:t>
            </w:r>
          </w:p>
        </w:tc>
      </w:tr>
    </w:tbl>
    <w:p>
      <w:pPr>
        <w:pStyle w:val="Normal"/>
        <w:rPr>
          <w:szCs w:val="24"/>
        </w:rPr>
      </w:pPr>
      <w:r>
        <w:rPr>
          <w:szCs w:val="24"/>
        </w:rPr>
      </w:r>
    </w:p>
    <w:p>
      <w:pPr>
        <w:pStyle w:val="Normal"/>
        <w:tabs>
          <w:tab w:val="clear" w:pos="1296"/>
          <w:tab w:val="left" w:pos="5400" w:leader="none"/>
        </w:tabs>
        <w:jc w:val="center"/>
        <w:textAlignment w:val="center"/>
        <w:rPr/>
      </w:pPr>
      <w:r>
        <w:rPr>
          <w:b/>
          <w:bCs/>
        </w:rPr>
        <w:t>______________</w:t>
      </w:r>
    </w:p>
    <w:sectPr>
      <w:headerReference w:type="default" r:id="rId2"/>
      <w:footerReference w:type="default" r:id="rId3"/>
      <w:type w:val="nextPage"/>
      <w:pgSz w:w="12240" w:h="15840"/>
      <w:pgMar w:left="1701" w:right="567" w:gutter="0" w:header="720" w:top="1134" w:footer="720" w:bottom="1134"/>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 w:name="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1296"/>
        <w:tab w:val="center" w:pos="4680" w:leader="none"/>
        <w:tab w:val="right" w:pos="9360" w:leader="none"/>
      </w:tabs>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1296"/>
        <w:tab w:val="center" w:pos="4680" w:leader="none"/>
        <w:tab w:val="right" w:pos="9360" w:leader="none"/>
      </w:tabs>
      <w:jc w:val="center"/>
      <w:rPr>
        <w:rFonts w:ascii="Arial" w:hAnsi="Arial" w:eastAsia="Arial" w:cs="Arial"/>
        <w:sz w:val="18"/>
        <w:szCs w:val="18"/>
      </w:rPr>
    </w:pPr>
    <w:r>
      <w:rPr>
        <w:rFonts w:eastAsia="Arial" w:cs="Arial" w:ascii="Arial" w:hAnsi="Arial"/>
        <w:sz w:val="18"/>
        <w:szCs w:val="18"/>
      </w:rPr>
      <w:fldChar w:fldCharType="begin"/>
    </w:r>
    <w:r>
      <w:rPr>
        <w:sz w:val="18"/>
        <w:szCs w:val="18"/>
        <w:rFonts w:eastAsia="Arial" w:cs="Arial" w:ascii="Arial" w:hAnsi="Arial"/>
      </w:rPr>
      <w:instrText xml:space="preserve"> PAGE </w:instrText>
    </w:r>
    <w:r>
      <w:rPr>
        <w:sz w:val="18"/>
        <w:szCs w:val="18"/>
        <w:rFonts w:eastAsia="Arial" w:cs="Arial" w:ascii="Arial" w:hAnsi="Arial"/>
      </w:rPr>
      <w:fldChar w:fldCharType="separate"/>
    </w:r>
    <w:r>
      <w:rPr>
        <w:sz w:val="18"/>
        <w:szCs w:val="18"/>
        <w:rFonts w:eastAsia="Arial" w:cs="Arial" w:ascii="Arial" w:hAnsi="Arial"/>
      </w:rPr>
      <w:t>7</w:t>
    </w:r>
    <w:r>
      <w:rPr>
        <w:sz w:val="18"/>
        <w:szCs w:val="18"/>
        <w:rFonts w:eastAsia="Arial" w:cs="Arial" w:ascii="Arial" w:hAnsi="Arial"/>
      </w:rPr>
      <w:fldChar w:fldCharType="end"/>
    </w:r>
  </w:p>
  <w:p>
    <w:pPr>
      <w:pStyle w:val="Normal"/>
      <w:tabs>
        <w:tab w:val="clear" w:pos="1296"/>
        <w:tab w:val="center" w:pos="4680" w:leader="none"/>
        <w:tab w:val="right" w:pos="9360" w:leader="none"/>
      </w:tabs>
      <w:jc w:val="both"/>
      <w:rPr>
        <w:rFonts w:ascii="Arial" w:hAnsi="Arial" w:eastAsia="Arial" w:cs="Arial"/>
        <w:sz w:val="18"/>
        <w:szCs w:val="18"/>
      </w:rPr>
    </w:pPr>
    <w:r>
      <w:rPr>
        <w:rFonts w:eastAsia="Arial" w:cs="Arial" w:ascii="Arial" w:hAnsi="Arial"/>
        <w:sz w:val="18"/>
        <w:szCs w:val="18"/>
      </w:rPr>
    </w:r>
  </w:p>
</w:hdr>
</file>

<file path=word/settings.xml><?xml version="1.0" encoding="utf-8"?>
<w:settings xmlns:w="http://schemas.openxmlformats.org/wordprocessingml/2006/main">
  <w:zoom w:percent="100"/>
  <w:defaultTabStop w:val="1296"/>
  <w:autoHyphenation w:val="true"/>
  <w:doNotHyphenateCaps/>
  <w:hyphenationZone w:val="396"/>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eastAsia="lt-LT"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sz w:val="24"/>
        <w:lang w:val="lt-LT" w:eastAsia="en-US" w:bidi="ar-SA"/>
      </w:rPr>
    </w:rPrDefault>
    <w:pPrDefault>
      <w:pPr>
        <w:suppressAutoHyphens w:val="true"/>
      </w:pPr>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99"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uiPriority="99"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0"/>
      <w:lang w:val="lt-LT" w:eastAsia="en-US" w:bidi="ar-SA"/>
    </w:rPr>
  </w:style>
  <w:style w:type="character" w:styleId="DefaultParagraphFont" w:default="1">
    <w:name w:val="Default Paragraph Font"/>
    <w:uiPriority w:val="1"/>
    <w:semiHidden/>
    <w:unhideWhenUsed/>
    <w:qFormat/>
    <w:rPr/>
  </w:style>
  <w:style w:type="character" w:styleId="PlaceholderText">
    <w:name w:val="Placeholder Text"/>
    <w:basedOn w:val="DefaultParagraphFont"/>
    <w:qFormat/>
    <w:rsid w:val="00f60bd9"/>
    <w:rPr>
      <w:color w:val="808080"/>
    </w:rPr>
  </w:style>
  <w:style w:type="character" w:styleId="FootnoteCharacters" w:customStyle="1">
    <w:name w:val="Footnote Characters"/>
    <w:uiPriority w:val="99"/>
    <w:qFormat/>
    <w:rsid w:val="002c4221"/>
    <w:rPr>
      <w:vertAlign w:val="superscript"/>
    </w:rPr>
  </w:style>
  <w:style w:type="character" w:styleId="FootnoteReference">
    <w:name w:val="Footnote Reference"/>
    <w:rPr>
      <w:vertAlign w:val="superscript"/>
    </w:rPr>
  </w:style>
  <w:style w:type="character" w:styleId="FootnoteTextChar" w:customStyle="1">
    <w:name w:val="Footnote Text Char"/>
    <w:basedOn w:val="DefaultParagraphFont"/>
    <w:link w:val="FootnoteText"/>
    <w:uiPriority w:val="99"/>
    <w:qFormat/>
    <w:rsid w:val="002c4221"/>
    <w:rPr>
      <w:rFonts w:ascii="Liberation Serif" w:hAnsi="Liberation Serif" w:eastAsia="NSimSun" w:cs="Arial"/>
      <w:kern w:val="2"/>
      <w:szCs w:val="24"/>
      <w:lang w:val="en-US" w:eastAsia="zh-CN" w:bidi="hi-IN"/>
    </w:rPr>
  </w:style>
  <w:style w:type="character" w:styleId="BodyTextChar" w:customStyle="1">
    <w:name w:val="Body Text Char"/>
    <w:basedOn w:val="DefaultParagraphFont"/>
    <w:qFormat/>
    <w:rsid w:val="009e1649"/>
    <w:rPr>
      <w:rFonts w:ascii="Times New Roman" w:hAnsi="Times New Roman" w:eastAsia="Times New Roman" w:cs="Times New Roman"/>
      <w:sz w:val="24"/>
      <w:szCs w:val="20"/>
      <w:lang w:eastAsia="en-US"/>
    </w:rPr>
  </w:style>
  <w:style w:type="character" w:styleId="NoSpacingChar" w:customStyle="1">
    <w:name w:val="No Spacing Char"/>
    <w:link w:val="NoSpacing"/>
    <w:uiPriority w:val="1"/>
    <w:qFormat/>
    <w:rsid w:val="002e50cf"/>
    <w:rPr>
      <w:rFonts w:ascii="Calibri" w:hAnsi="Calibri" w:eastAsia="Calibri"/>
      <w:sz w:val="22"/>
      <w:szCs w:val="22"/>
    </w:rPr>
  </w:style>
  <w:style w:type="character" w:styleId="Numatytasispastraiposriftas1" w:customStyle="1">
    <w:name w:val="Numatytasis pastraipos šriftas1"/>
    <w:qFormat/>
    <w:rsid w:val="00b6329e"/>
    <w:rPr/>
  </w:style>
  <w:style w:type="character" w:styleId="Other" w:customStyle="1">
    <w:name w:val="Other_"/>
    <w:basedOn w:val="DefaultParagraphFont"/>
    <w:qFormat/>
    <w:rsid w:val="001c091b"/>
    <w:rPr>
      <w:rFonts w:ascii="Times New Roman" w:hAnsi="Times New Roman" w:eastAsia="Times New Roman" w:cs="Times New Roman"/>
      <w:i/>
      <w:iCs/>
      <w:color w:val="000000"/>
    </w:rPr>
  </w:style>
  <w:style w:type="character" w:styleId="ListParagraphChar" w:customStyle="1">
    <w:name w:val="List Paragraph Char"/>
    <w:link w:val="ListParagraph"/>
    <w:uiPriority w:val="34"/>
    <w:qFormat/>
    <w:locked/>
    <w:rsid w:val="00f073c3"/>
    <w:rPr>
      <w:rFonts w:ascii="Liberation Serif" w:hAnsi="Liberation Serif" w:eastAsia="NSimSun" w:cs="Arial"/>
      <w:kern w:val="2"/>
      <w:szCs w:val="24"/>
      <w:lang w:val="en-US" w:eastAsia="zh-CN" w:bidi="hi-IN"/>
    </w:rPr>
  </w:style>
  <w:style w:type="character" w:styleId="EndnoteCharacters" w:customStyle="1">
    <w:name w:val="Endnote Characters"/>
    <w:qFormat/>
    <w:rPr/>
  </w:style>
  <w:style w:type="paragraph" w:styleId="Heading" w:customStyle="1">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customStyle="1">
    <w:name w:val="Index"/>
    <w:basedOn w:val="Normal"/>
    <w:qFormat/>
    <w:pPr>
      <w:suppressLineNumbers/>
    </w:pPr>
    <w:rPr>
      <w:rFonts w:cs="Arial"/>
    </w:rPr>
  </w:style>
  <w:style w:type="paragraph" w:styleId="Caption1">
    <w:name w:val="caption1"/>
    <w:basedOn w:val="Normal"/>
    <w:qFormat/>
    <w:pPr>
      <w:suppressLineNumbers/>
      <w:spacing w:before="120" w:after="120"/>
    </w:pPr>
    <w:rPr>
      <w:rFonts w:cs="Arial"/>
      <w:i/>
      <w:iCs/>
      <w:szCs w:val="24"/>
    </w:rPr>
  </w:style>
  <w:style w:type="paragraph" w:styleId="Standard" w:customStyle="1">
    <w:name w:val="Standard"/>
    <w:qFormat/>
    <w:rsid w:val="002c4221"/>
    <w:pPr>
      <w:widowControl/>
      <w:suppressAutoHyphens w:val="true"/>
      <w:bidi w:val="0"/>
      <w:spacing w:before="0" w:after="0"/>
      <w:jc w:val="left"/>
      <w:textAlignment w:val="baseline"/>
    </w:pPr>
    <w:rPr>
      <w:rFonts w:ascii="Liberation Serif" w:hAnsi="Liberation Serif" w:eastAsia="NSimSun" w:cs="Arial"/>
      <w:color w:val="auto"/>
      <w:kern w:val="2"/>
      <w:sz w:val="24"/>
      <w:szCs w:val="24"/>
      <w:lang w:val="en-US" w:eastAsia="zh-CN" w:bidi="hi-IN"/>
    </w:rPr>
  </w:style>
  <w:style w:type="paragraph" w:styleId="FootnoteText">
    <w:name w:val="Footnote Text"/>
    <w:basedOn w:val="Normal"/>
    <w:link w:val="FootnoteTextChar"/>
    <w:uiPriority w:val="99"/>
    <w:rsid w:val="002c4221"/>
    <w:pPr>
      <w:textAlignment w:val="baseline"/>
    </w:pPr>
    <w:rPr>
      <w:rFonts w:ascii="Liberation Serif" w:hAnsi="Liberation Serif" w:eastAsia="NSimSun" w:cs="Arial"/>
      <w:kern w:val="2"/>
      <w:szCs w:val="24"/>
      <w:lang w:val="en-US" w:eastAsia="zh-CN" w:bidi="hi-IN"/>
    </w:rPr>
  </w:style>
  <w:style w:type="paragraph" w:styleId="NormalWeb">
    <w:name w:val="Normal (Web)"/>
    <w:basedOn w:val="Normal"/>
    <w:uiPriority w:val="99"/>
    <w:unhideWhenUsed/>
    <w:qFormat/>
    <w:rsid w:val="002c4221"/>
    <w:pPr>
      <w:spacing w:beforeAutospacing="1" w:afterAutospacing="1"/>
      <w:ind w:firstLine="680"/>
      <w:jc w:val="both"/>
    </w:pPr>
    <w:rPr>
      <w:szCs w:val="24"/>
      <w:lang w:eastAsia="en-GB"/>
    </w:rPr>
  </w:style>
  <w:style w:type="paragraph" w:styleId="NoSpacing">
    <w:name w:val="No Spacing"/>
    <w:link w:val="NoSpacingChar"/>
    <w:uiPriority w:val="1"/>
    <w:qFormat/>
    <w:rsid w:val="002e50cf"/>
    <w:pPr>
      <w:widowControl/>
      <w:suppressAutoHyphens w:val="true"/>
      <w:bidi w:val="0"/>
      <w:spacing w:before="0" w:after="0"/>
      <w:ind w:firstLine="680"/>
      <w:jc w:val="both"/>
    </w:pPr>
    <w:rPr>
      <w:rFonts w:ascii="Calibri" w:hAnsi="Calibri" w:eastAsia="Calibri" w:cs="Times New Roman"/>
      <w:color w:val="auto"/>
      <w:kern w:val="0"/>
      <w:sz w:val="22"/>
      <w:szCs w:val="22"/>
      <w:lang w:val="lt-LT" w:eastAsia="en-US" w:bidi="ar-SA"/>
    </w:rPr>
  </w:style>
  <w:style w:type="paragraph" w:styleId="Other1" w:customStyle="1">
    <w:name w:val="Other"/>
    <w:basedOn w:val="Standard"/>
    <w:qFormat/>
    <w:rsid w:val="001269ef"/>
    <w:pPr>
      <w:widowControl w:val="false"/>
      <w:spacing w:lineRule="auto" w:line="276"/>
    </w:pPr>
    <w:rPr>
      <w:i/>
      <w:iCs/>
      <w:sz w:val="20"/>
      <w:szCs w:val="22"/>
    </w:rPr>
  </w:style>
  <w:style w:type="paragraph" w:styleId="ListParagraph">
    <w:name w:val="List Paragraph"/>
    <w:basedOn w:val="Standard"/>
    <w:link w:val="ListParagraphChar"/>
    <w:uiPriority w:val="34"/>
    <w:qFormat/>
    <w:rsid w:val="00f073c3"/>
    <w:pPr>
      <w:spacing w:before="0" w:after="160"/>
      <w:ind w:left="720"/>
      <w:contextualSpacing/>
    </w:pPr>
    <w:rPr/>
  </w:style>
  <w:style w:type="paragraph" w:styleId="HeaderandFooter" w:customStyle="1">
    <w:name w:val="Header and Footer"/>
    <w:basedOn w:val="Normal"/>
    <w:qFormat/>
    <w:pPr/>
    <w:rPr/>
  </w:style>
  <w:style w:type="paragraph" w:styleId="Header">
    <w:name w:val="Header"/>
    <w:basedOn w:val="HeaderandFooter"/>
    <w:pPr/>
    <w:rPr/>
  </w:style>
  <w:style w:type="paragraph" w:styleId="Footer">
    <w:name w:val="Footer"/>
    <w:basedOn w:val="HeaderandFooter"/>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Relationship Id="rId8" Type="http://schemas.openxmlformats.org/officeDocument/2006/relationships/customXml" Target="../customXml/item2.xml"/><Relationship Id="rId9" Type="http://schemas.openxmlformats.org/officeDocument/2006/relationships/customXml" Target="../customXml/item3.xml"/><Relationship Id="rId10" Type="http://schemas.openxmlformats.org/officeDocument/2006/relationships/customXml" Target="../customXml/item4.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2</TotalTime>
  <Application>LibreOffice/7.6.4.1$Windows_X86_64 LibreOffice_project/e19e193f88cd6c0525a17fb7a176ed8e6a3e2aa1</Application>
  <AppVersion>15.0000</AppVersion>
  <Pages>6</Pages>
  <Words>1550</Words>
  <Characters>11020</Characters>
  <CharactersWithSpaces>12403</CharactersWithSpaces>
  <Paragraphs>181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2025-04-02T07:17:00Z</dcterms:created>
  <dc:creator>Rasa Politikienė</dc:creator>
  <dc:description/>
  <dc:language>en-US</dc:language>
  <cp:lastModifiedBy>Jurgita Nainienė</cp:lastModifiedBy>
  <cp:lastPrinted>2017-06-29T23:42:00Z</cp:lastPrinted>
  <dcterms:modified xsi:type="dcterms:W3CDTF">2025-04-02T07:17:00Z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