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624D" w14:textId="4FFE20FD" w:rsidR="00B86647" w:rsidRPr="00342976" w:rsidRDefault="000334CC" w:rsidP="76C555A8">
      <w:pPr>
        <w:tabs>
          <w:tab w:val="left" w:pos="8137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VIEŠOJO PIRKIMO „</w:t>
      </w:r>
      <w:r w:rsidRPr="000334CC">
        <w:rPr>
          <w:rFonts w:ascii="Times New Roman" w:hAnsi="Times New Roman" w:cs="Times New Roman"/>
          <w:b/>
          <w:bCs/>
          <w:caps/>
          <w:sz w:val="24"/>
          <w:szCs w:val="24"/>
        </w:rPr>
        <w:t>Europos Sąjungos investicijų informacinės sistemos INVESTIS</w:t>
      </w:r>
      <w:proofErr w:type="gramStart"/>
      <w:r w:rsidRPr="000334C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</w:t>
      </w:r>
      <w:proofErr w:type="gramEnd"/>
      <w:r w:rsidRPr="000334CC">
        <w:rPr>
          <w:rFonts w:ascii="Times New Roman" w:hAnsi="Times New Roman" w:cs="Times New Roman"/>
          <w:b/>
          <w:bCs/>
          <w:caps/>
          <w:sz w:val="24"/>
          <w:szCs w:val="24"/>
        </w:rPr>
        <w:t>priežiūros, palaikymo ir vystymo paslaugos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C6425E" w:rsidRPr="76C555A8">
        <w:rPr>
          <w:rFonts w:ascii="Times New Roman" w:hAnsi="Times New Roman" w:cs="Times New Roman"/>
          <w:b/>
          <w:bCs/>
          <w:sz w:val="24"/>
          <w:szCs w:val="24"/>
        </w:rPr>
        <w:t>RINKOS KONSULTACIJOS</w:t>
      </w:r>
      <w:r w:rsidR="007A23E4" w:rsidRPr="76C555A8">
        <w:rPr>
          <w:rFonts w:ascii="Times New Roman" w:hAnsi="Times New Roman" w:cs="Times New Roman"/>
          <w:b/>
          <w:bCs/>
          <w:sz w:val="24"/>
          <w:szCs w:val="24"/>
        </w:rPr>
        <w:t xml:space="preserve"> ATSAKYMAI</w:t>
      </w:r>
      <w:r w:rsidR="00B86647" w:rsidRPr="76C555A8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0DA1EF47" w14:textId="77777777" w:rsidR="00B86647" w:rsidRPr="00342976" w:rsidRDefault="00B86647" w:rsidP="76C555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802"/>
        <w:gridCol w:w="1887"/>
        <w:gridCol w:w="6030"/>
        <w:gridCol w:w="6018"/>
      </w:tblGrid>
      <w:tr w:rsidR="007A23E4" w:rsidRPr="00342976" w14:paraId="0AD00014" w14:textId="7166652E" w:rsidTr="3747A16E">
        <w:tc>
          <w:tcPr>
            <w:tcW w:w="802" w:type="dxa"/>
          </w:tcPr>
          <w:p w14:paraId="18653F54" w14:textId="77777777" w:rsidR="007A23E4" w:rsidRPr="00342976" w:rsidRDefault="007A23E4" w:rsidP="76C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887" w:type="dxa"/>
          </w:tcPr>
          <w:p w14:paraId="7F3B2665" w14:textId="1D688DE9" w:rsidR="007A23E4" w:rsidRPr="00342976" w:rsidRDefault="001F0347" w:rsidP="76C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Konkurso sąlygų dalis</w:t>
            </w:r>
          </w:p>
        </w:tc>
        <w:tc>
          <w:tcPr>
            <w:tcW w:w="6030" w:type="dxa"/>
          </w:tcPr>
          <w:p w14:paraId="1B3CE954" w14:textId="08B30D31" w:rsidR="007A23E4" w:rsidRPr="00342976" w:rsidRDefault="007A23E4" w:rsidP="76C555A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Tiekėjo </w:t>
            </w:r>
            <w:r w:rsidR="001F0347" w:rsidRPr="76C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klausimai</w:t>
            </w:r>
          </w:p>
        </w:tc>
        <w:tc>
          <w:tcPr>
            <w:tcW w:w="6018" w:type="dxa"/>
          </w:tcPr>
          <w:p w14:paraId="00448270" w14:textId="4FCE0585" w:rsidR="007A23E4" w:rsidRPr="00342976" w:rsidRDefault="007A23E4" w:rsidP="76C555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Perkančiosios organizacijos komentaras</w:t>
            </w:r>
            <w:r w:rsidR="001F0347" w:rsidRPr="76C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/atsakymas</w:t>
            </w:r>
          </w:p>
        </w:tc>
      </w:tr>
      <w:tr w:rsidR="001F0347" w:rsidRPr="00342976" w14:paraId="5AFF5CFB" w14:textId="0945FCBB" w:rsidTr="3747A16E">
        <w:trPr>
          <w:trHeight w:val="526"/>
        </w:trPr>
        <w:tc>
          <w:tcPr>
            <w:tcW w:w="802" w:type="dxa"/>
            <w:vMerge w:val="restart"/>
          </w:tcPr>
          <w:p w14:paraId="5CC0E244" w14:textId="197936FB" w:rsidR="001F0347" w:rsidRPr="00342976" w:rsidRDefault="001F0347" w:rsidP="76C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7" w:type="dxa"/>
            <w:vMerge w:val="restart"/>
          </w:tcPr>
          <w:p w14:paraId="6EB52CC8" w14:textId="55C15DAF" w:rsidR="001F0347" w:rsidRPr="00342976" w:rsidRDefault="001F0347" w:rsidP="76C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 specifikacija.</w:t>
            </w:r>
            <w:r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  <w:tcBorders>
              <w:bottom w:val="single" w:sz="6" w:space="0" w:color="auto"/>
            </w:tcBorders>
          </w:tcPr>
          <w:p w14:paraId="3110A18D" w14:textId="1431BA6F" w:rsidR="001F0347" w:rsidRDefault="000334CC" w:rsidP="000334CC">
            <w:pPr>
              <w:pStyle w:val="Sraopastraipa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1F0347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„4.4. INVESTIS priežiūros paslaugų teikimas“ reikėtų patikslinti kokios atsakomybės yra numatytos vėluojant incidentų sprendimui. </w:t>
            </w:r>
          </w:p>
          <w:p w14:paraId="3783EBF1" w14:textId="6A5707F2" w:rsidR="001F0347" w:rsidRPr="001F0347" w:rsidRDefault="001F0347" w:rsidP="000334CC">
            <w:pPr>
              <w:pStyle w:val="Sraopastraipa"/>
              <w:ind w:left="0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bottom w:val="single" w:sz="6" w:space="0" w:color="auto"/>
            </w:tcBorders>
          </w:tcPr>
          <w:p w14:paraId="6984EF9A" w14:textId="77777777" w:rsidR="000334CC" w:rsidRDefault="1D1B1295" w:rsidP="3747A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3747A16E">
              <w:rPr>
                <w:rFonts w:ascii="Times New Roman" w:hAnsi="Times New Roman" w:cs="Times New Roman"/>
                <w:sz w:val="24"/>
                <w:szCs w:val="24"/>
              </w:rPr>
              <w:t>Atsižvelgta.</w:t>
            </w:r>
          </w:p>
          <w:p w14:paraId="5CFD542B" w14:textId="509E71EA" w:rsidR="001F0347" w:rsidRPr="000D6F9D" w:rsidRDefault="3B20ED0A" w:rsidP="3747A1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Paaiškiname, kad </w:t>
            </w:r>
            <w:r w:rsidR="6109712C" w:rsidRPr="3747A16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3747A16E">
              <w:rPr>
                <w:rFonts w:ascii="Times New Roman" w:hAnsi="Times New Roman" w:cs="Times New Roman"/>
                <w:sz w:val="24"/>
                <w:szCs w:val="24"/>
              </w:rPr>
              <w:t>iekėjo a</w:t>
            </w:r>
            <w:r w:rsidR="46F3D981" w:rsidRPr="3747A16E">
              <w:rPr>
                <w:rFonts w:ascii="Times New Roman" w:hAnsi="Times New Roman" w:cs="Times New Roman"/>
                <w:sz w:val="24"/>
                <w:szCs w:val="24"/>
              </w:rPr>
              <w:t>tsakomybės</w:t>
            </w:r>
            <w:r w:rsidR="19DD76B4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 dėl </w:t>
            </w:r>
            <w:r w:rsidR="1187D10B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INVESTIS </w:t>
            </w:r>
            <w:r w:rsidR="19DD76B4" w:rsidRPr="3747A16E">
              <w:rPr>
                <w:rFonts w:ascii="Times New Roman" w:hAnsi="Times New Roman" w:cs="Times New Roman"/>
                <w:sz w:val="24"/>
                <w:szCs w:val="24"/>
              </w:rPr>
              <w:t>priežiūros paslaugų teikimo</w:t>
            </w:r>
            <w:r w:rsidR="46F3D981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B951FE4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="46F3D981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numatytos </w:t>
            </w:r>
            <w:r w:rsidR="054D3550" w:rsidRPr="3747A16E">
              <w:rPr>
                <w:rFonts w:ascii="Times New Roman" w:hAnsi="Times New Roman" w:cs="Times New Roman"/>
                <w:sz w:val="24"/>
                <w:szCs w:val="24"/>
              </w:rPr>
              <w:t>paslaugų s</w:t>
            </w:r>
            <w:r w:rsidR="46F3D981" w:rsidRPr="3747A16E">
              <w:rPr>
                <w:rFonts w:ascii="Times New Roman" w:hAnsi="Times New Roman" w:cs="Times New Roman"/>
                <w:sz w:val="24"/>
                <w:szCs w:val="24"/>
              </w:rPr>
              <w:t>utarties projekte</w:t>
            </w:r>
            <w:r w:rsidR="506E3010" w:rsidRPr="3747A1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377F1E4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 specialiųjų sąlygų</w:t>
            </w:r>
            <w:r w:rsidR="1CAA13B7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F318122" w:rsidRPr="3747A16E">
              <w:rPr>
                <w:rFonts w:ascii="Times New Roman" w:hAnsi="Times New Roman" w:cs="Times New Roman"/>
                <w:sz w:val="24"/>
                <w:szCs w:val="24"/>
              </w:rPr>
              <w:t>dalyje</w:t>
            </w:r>
            <w:r w:rsidR="5146E7F2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 9.2. papunktyje ir bus susietos su Techninės specifikacijos</w:t>
            </w:r>
            <w:r w:rsidR="4A816C10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 32 lentelėje </w:t>
            </w:r>
            <w:proofErr w:type="gramStart"/>
            <w:r w:rsidR="4A816C10" w:rsidRPr="3747A16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4A816C10" w:rsidRPr="3747A1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Incidentų reakcijos ir sprendimo terminai”</w:t>
            </w:r>
            <w:proofErr w:type="gramEnd"/>
            <w:r w:rsidR="061B1322" w:rsidRPr="3747A1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61B1322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>nurodyt</w:t>
            </w:r>
            <w:r w:rsidR="23240B84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>ų</w:t>
            </w:r>
            <w:r w:rsidR="061B1322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incidentų ir reakcijų sprendimo terminų nesilaikymu.</w:t>
            </w:r>
          </w:p>
        </w:tc>
      </w:tr>
      <w:tr w:rsidR="001F0347" w:rsidRPr="00342976" w14:paraId="2C4F0040" w14:textId="77777777" w:rsidTr="3747A16E">
        <w:trPr>
          <w:trHeight w:val="1905"/>
        </w:trPr>
        <w:tc>
          <w:tcPr>
            <w:tcW w:w="802" w:type="dxa"/>
            <w:vMerge/>
          </w:tcPr>
          <w:p w14:paraId="515CFA12" w14:textId="77777777" w:rsidR="001F0347" w:rsidRDefault="001F0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</w:tcPr>
          <w:p w14:paraId="76F26618" w14:textId="77777777" w:rsidR="001F0347" w:rsidRPr="00342976" w:rsidRDefault="001F0347" w:rsidP="00B866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0" w:type="dxa"/>
            <w:tcBorders>
              <w:top w:val="single" w:sz="6" w:space="0" w:color="auto"/>
              <w:bottom w:val="single" w:sz="6" w:space="0" w:color="auto"/>
            </w:tcBorders>
          </w:tcPr>
          <w:p w14:paraId="4C439397" w14:textId="24572225" w:rsidR="001F0347" w:rsidRPr="000334CC" w:rsidRDefault="000334CC" w:rsidP="0003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1F0347" w:rsidRPr="000334CC">
              <w:rPr>
                <w:rFonts w:ascii="Times New Roman" w:hAnsi="Times New Roman" w:cs="Times New Roman"/>
                <w:sz w:val="24"/>
                <w:szCs w:val="24"/>
              </w:rPr>
              <w:t xml:space="preserve">„4.4. INVESTIS priežiūros paslaugų teikimas“ minima: „INVESTIS priežiūros paslaugos pradedamos teikti iškart po projekto valdymo plano suderinimo ir teikiamos už mėnesinį mokestį visą sutarties vykdymo laikotarpį“ – reikėtų patikslinti maksimalų projekto valdymo plano suderinimo terminą, nes „4.3. Projekto valdymo planas“ nurodytas tik šablono pateikimo terminas. </w:t>
            </w: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23F56955" w14:textId="5880A128" w:rsidR="001F0347" w:rsidRPr="000D6F9D" w:rsidRDefault="54986ADF" w:rsidP="76C5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sz w:val="24"/>
                <w:szCs w:val="24"/>
              </w:rPr>
              <w:t>Atsižvelgta.</w:t>
            </w:r>
          </w:p>
          <w:p w14:paraId="5781DED9" w14:textId="58B7E038" w:rsidR="001F0347" w:rsidRPr="000D6F9D" w:rsidRDefault="08929DCC" w:rsidP="76C555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Patikslinta techninės specifikacijos </w:t>
            </w:r>
            <w:r w:rsidR="3E0FDCBE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  <w:r w:rsidRPr="3747A16E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r w:rsidR="26FD2279" w:rsidRPr="3747A1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3678660" w:rsidRPr="3747A16E">
              <w:rPr>
                <w:rFonts w:ascii="Times New Roman" w:hAnsi="Times New Roman" w:cs="Times New Roman"/>
                <w:sz w:val="24"/>
                <w:szCs w:val="24"/>
              </w:rPr>
              <w:t>„4.3. Projekto valdymo planas“. Nustatyta, kad „</w:t>
            </w:r>
            <w:r w:rsidR="4C51B90D" w:rsidRPr="3747A1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Per 20 darbo dienų nuo sutarties įsigaliojimo dienos Tiekėjas turi parengti ir suderinti su PVDG Projekto valdymo plan</w:t>
            </w:r>
            <w:r w:rsidR="4CAFB3CA" w:rsidRPr="3747A1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ą &lt;...&gt;</w:t>
            </w:r>
            <w:r w:rsidR="4CAFB3CA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5AFF6CE5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(pirkimo dokumentų 1 priedas).</w:t>
            </w:r>
          </w:p>
        </w:tc>
      </w:tr>
      <w:tr w:rsidR="001F0347" w:rsidRPr="00342976" w14:paraId="3BFAA5AC" w14:textId="77777777" w:rsidTr="3747A16E">
        <w:trPr>
          <w:trHeight w:val="1459"/>
        </w:trPr>
        <w:tc>
          <w:tcPr>
            <w:tcW w:w="802" w:type="dxa"/>
            <w:vMerge/>
          </w:tcPr>
          <w:p w14:paraId="673E3080" w14:textId="77777777" w:rsidR="001F0347" w:rsidRDefault="001F0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</w:tcPr>
          <w:p w14:paraId="57D78D2B" w14:textId="77777777" w:rsidR="001F0347" w:rsidRPr="00342976" w:rsidRDefault="001F0347" w:rsidP="00B866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0" w:type="dxa"/>
            <w:tcBorders>
              <w:top w:val="single" w:sz="6" w:space="0" w:color="auto"/>
              <w:bottom w:val="single" w:sz="6" w:space="0" w:color="auto"/>
            </w:tcBorders>
          </w:tcPr>
          <w:p w14:paraId="034F8F54" w14:textId="03716B3E" w:rsidR="001F0347" w:rsidRPr="001F0347" w:rsidRDefault="000334CC" w:rsidP="000334CC">
            <w:pPr>
              <w:pStyle w:val="Sraopastraipa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="001F0347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„4.4. INVESTIS priežiūros paslaugų teikimas“ minima: „Visi (tiek paslaugų teikėjo nustatyti, tiek perkančiosios organizacijos pastebėti) INVESTIS veikimo incidentai turi būti registruojami registre </w:t>
            </w:r>
            <w:proofErr w:type="spellStart"/>
            <w:r w:rsidR="001F0347" w:rsidRPr="76C555A8">
              <w:rPr>
                <w:rFonts w:ascii="Times New Roman" w:hAnsi="Times New Roman" w:cs="Times New Roman"/>
                <w:sz w:val="24"/>
                <w:szCs w:val="24"/>
              </w:rPr>
              <w:t>Mantis</w:t>
            </w:r>
            <w:proofErr w:type="spellEnd"/>
            <w:r w:rsidR="001F0347" w:rsidRPr="76C555A8">
              <w:rPr>
                <w:rFonts w:ascii="Times New Roman" w:hAnsi="Times New Roman" w:cs="Times New Roman"/>
                <w:sz w:val="24"/>
                <w:szCs w:val="24"/>
              </w:rPr>
              <w:t>.“ – reikėtų aiškiai apibrėžti, jog iki projekto valdymo plano patvirtinimo datos užregistruotiems incidentams nebus taikomi incidentų reakcijos ir išsprendimo laikai ir Paslaugų teikėjui nebus taikomos baudos.</w:t>
            </w: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11FDDF6B" w14:textId="5525CB96" w:rsidR="4BDF14B4" w:rsidRDefault="4BDF14B4" w:rsidP="76C5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sz w:val="24"/>
                <w:szCs w:val="24"/>
              </w:rPr>
              <w:t>Atsižvelgta.</w:t>
            </w:r>
          </w:p>
          <w:p w14:paraId="1E3A41CA" w14:textId="31D6DB13" w:rsidR="001F0347" w:rsidRPr="000334CC" w:rsidRDefault="11BDCB48" w:rsidP="76C555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Paaiškiname, kad </w:t>
            </w:r>
            <w:r w:rsidR="40D18E4A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paslaugų teikimo pradžia </w:t>
            </w:r>
            <w:r w:rsidR="25D01876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bus </w:t>
            </w:r>
            <w:r w:rsidR="40D18E4A" w:rsidRPr="3747A16E">
              <w:rPr>
                <w:rFonts w:ascii="Times New Roman" w:hAnsi="Times New Roman" w:cs="Times New Roman"/>
                <w:sz w:val="24"/>
                <w:szCs w:val="24"/>
              </w:rPr>
              <w:t>apibrėžta p</w:t>
            </w:r>
            <w:r w:rsidR="396A56B0" w:rsidRPr="3747A16E">
              <w:rPr>
                <w:rFonts w:ascii="Times New Roman" w:hAnsi="Times New Roman" w:cs="Times New Roman"/>
                <w:sz w:val="24"/>
                <w:szCs w:val="24"/>
              </w:rPr>
              <w:t>aslaugų s</w:t>
            </w:r>
            <w:r w:rsidR="07587F50" w:rsidRPr="3747A16E">
              <w:rPr>
                <w:rFonts w:ascii="Times New Roman" w:hAnsi="Times New Roman" w:cs="Times New Roman"/>
                <w:sz w:val="24"/>
                <w:szCs w:val="24"/>
              </w:rPr>
              <w:t>utarties projekte</w:t>
            </w:r>
            <w:r w:rsidR="77853F9C" w:rsidRPr="3747A16E">
              <w:rPr>
                <w:rFonts w:ascii="Times New Roman" w:hAnsi="Times New Roman" w:cs="Times New Roman"/>
                <w:sz w:val="24"/>
                <w:szCs w:val="24"/>
              </w:rPr>
              <w:t xml:space="preserve">, specialiųjų sąlygų dalyje </w:t>
            </w:r>
            <w:r w:rsidR="77853F9C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6C6C4722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>4.1. Paslaugų suteikimo terminai, kai Paslaugos teikiamos etapais</w:t>
            </w:r>
            <w:r w:rsidR="240D513F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”. Nurodyta, kad </w:t>
            </w:r>
            <w:r w:rsidR="07AECF04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7AECF04" w:rsidRPr="3747A1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Tiekėjas </w:t>
            </w:r>
            <w:r w:rsidR="07AECF04" w:rsidRPr="3747A1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Paslaugas pradeda teikti ne vėliau kaip kitą darbo dieną po Projekto valdymo plano suderinimo su Pirkėju.</w:t>
            </w:r>
            <w:r w:rsidR="07AECF04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54ECF744" w:rsidRPr="3747A1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347" w:rsidRPr="00342976" w14:paraId="56D34366" w14:textId="77777777" w:rsidTr="000334CC">
        <w:trPr>
          <w:trHeight w:val="694"/>
        </w:trPr>
        <w:tc>
          <w:tcPr>
            <w:tcW w:w="802" w:type="dxa"/>
            <w:vMerge/>
          </w:tcPr>
          <w:p w14:paraId="49217C00" w14:textId="77777777" w:rsidR="001F0347" w:rsidRDefault="001F0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</w:tcPr>
          <w:p w14:paraId="249EDAFA" w14:textId="77777777" w:rsidR="001F0347" w:rsidRPr="00342976" w:rsidRDefault="001F0347" w:rsidP="00B8664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30" w:type="dxa"/>
            <w:tcBorders>
              <w:top w:val="single" w:sz="6" w:space="0" w:color="auto"/>
            </w:tcBorders>
          </w:tcPr>
          <w:p w14:paraId="7D436D87" w14:textId="6ACBCEDD" w:rsidR="001F0347" w:rsidRPr="000334CC" w:rsidRDefault="000334CC" w:rsidP="0003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="001F0347" w:rsidRPr="000334CC">
              <w:rPr>
                <w:rFonts w:ascii="Times New Roman" w:hAnsi="Times New Roman" w:cs="Times New Roman"/>
                <w:sz w:val="24"/>
                <w:szCs w:val="24"/>
              </w:rPr>
              <w:t>Į techninę specifikaciją rekomenduojame įtraukti laikotarpį Paslaugų teikėjo darbinių aplinkų pasiruošimui ir prieigų suteikimui bei susipažinimui su INVESTIS.</w:t>
            </w:r>
          </w:p>
        </w:tc>
        <w:tc>
          <w:tcPr>
            <w:tcW w:w="6018" w:type="dxa"/>
            <w:tcBorders>
              <w:top w:val="single" w:sz="6" w:space="0" w:color="auto"/>
            </w:tcBorders>
          </w:tcPr>
          <w:p w14:paraId="1ECDC38A" w14:textId="55F040B8" w:rsidR="001F0347" w:rsidRPr="000D6F9D" w:rsidRDefault="4E6CFDE1" w:rsidP="76C5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40FA8020" w:rsidRPr="76C555A8">
              <w:rPr>
                <w:rFonts w:ascii="Times New Roman" w:hAnsi="Times New Roman" w:cs="Times New Roman"/>
                <w:sz w:val="24"/>
                <w:szCs w:val="24"/>
              </w:rPr>
              <w:t>aslaugų sutarties projekte</w:t>
            </w:r>
            <w:r w:rsidR="64E45380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 nustatyta, kad </w:t>
            </w:r>
            <w:r w:rsidR="64E45380" w:rsidRPr="76C55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Tiekėjas </w:t>
            </w:r>
            <w:r w:rsidR="740AECF3" w:rsidRPr="76C555A8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64E45380" w:rsidRPr="76C555A8">
              <w:rPr>
                <w:rFonts w:ascii="Times New Roman" w:eastAsia="Times New Roman" w:hAnsi="Times New Roman" w:cs="Times New Roman"/>
                <w:sz w:val="24"/>
                <w:szCs w:val="24"/>
              </w:rPr>
              <w:t>aslaugas pradeda teikti ne vėliau kaip kitą darbo dieną po Projekto valdymo plano suderinimo (</w:t>
            </w:r>
            <w:r w:rsidR="7C42CDDE" w:rsidRPr="76C555A8">
              <w:rPr>
                <w:rFonts w:ascii="Times New Roman" w:eastAsia="Times New Roman" w:hAnsi="Times New Roman" w:cs="Times New Roman"/>
                <w:sz w:val="24"/>
                <w:szCs w:val="24"/>
              </w:rPr>
              <w:t>žr.</w:t>
            </w:r>
            <w:r w:rsidR="64E45380" w:rsidRPr="76C55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sutarties </w:t>
            </w:r>
            <w:r w:rsidR="40FA8020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specialiųjų sąlygų </w:t>
            </w:r>
            <w:r w:rsidR="6553ACF8" w:rsidRPr="76C555A8">
              <w:rPr>
                <w:rFonts w:ascii="Times New Roman" w:hAnsi="Times New Roman" w:cs="Times New Roman"/>
                <w:sz w:val="24"/>
                <w:szCs w:val="24"/>
              </w:rPr>
              <w:t>papunkt</w:t>
            </w:r>
            <w:r w:rsidR="0143C420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į </w:t>
            </w:r>
            <w:r w:rsidR="40FA8020" w:rsidRPr="76C555A8">
              <w:rPr>
                <w:rFonts w:ascii="Times New Roman" w:eastAsia="Times New Roman" w:hAnsi="Times New Roman" w:cs="Times New Roman"/>
                <w:sz w:val="24"/>
                <w:szCs w:val="24"/>
              </w:rPr>
              <w:t>„4.1. Paslaugų suteikimo terminai, kai Paslaugos teikiamos etapais”</w:t>
            </w:r>
            <w:r w:rsidR="40C30844" w:rsidRPr="76C55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r w:rsidR="46054884" w:rsidRPr="76C55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Projekto valdymo plano parengimui ir suderinimui nustatytas 20 darbo dienų terminas. </w:t>
            </w:r>
            <w:r w:rsidR="2235EC4E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Manome, </w:t>
            </w:r>
            <w:r w:rsidR="2235EC4E" w:rsidRPr="76C555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kad </w:t>
            </w:r>
            <w:r w:rsidR="1324482A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tų pačių </w:t>
            </w:r>
            <w:r w:rsidR="2235EC4E" w:rsidRPr="76C555A8">
              <w:rPr>
                <w:rFonts w:ascii="Times New Roman" w:hAnsi="Times New Roman" w:cs="Times New Roman"/>
                <w:sz w:val="24"/>
                <w:szCs w:val="24"/>
              </w:rPr>
              <w:t>20 d.</w:t>
            </w:r>
            <w:r w:rsidR="17722967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235EC4E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1BDA1CAE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Tiekėjui </w:t>
            </w:r>
            <w:r w:rsidR="2235EC4E" w:rsidRPr="76C555A8">
              <w:rPr>
                <w:rFonts w:ascii="Times New Roman" w:hAnsi="Times New Roman" w:cs="Times New Roman"/>
                <w:sz w:val="24"/>
                <w:szCs w:val="24"/>
              </w:rPr>
              <w:t>pakanka darbinių aplinkų pasiruošimui</w:t>
            </w:r>
            <w:r w:rsidR="4FA10D99" w:rsidRPr="76C555A8">
              <w:rPr>
                <w:rFonts w:ascii="Times New Roman" w:hAnsi="Times New Roman" w:cs="Times New Roman"/>
                <w:sz w:val="24"/>
                <w:szCs w:val="24"/>
              </w:rPr>
              <w:t>, prieigų suteikimui ir susipažinimui su INVESTIS.</w:t>
            </w:r>
          </w:p>
        </w:tc>
      </w:tr>
      <w:tr w:rsidR="001F0347" w:rsidRPr="00342976" w14:paraId="4C561ACF" w14:textId="7D92E556" w:rsidTr="3747A16E">
        <w:trPr>
          <w:trHeight w:val="628"/>
        </w:trPr>
        <w:tc>
          <w:tcPr>
            <w:tcW w:w="802" w:type="dxa"/>
            <w:vMerge w:val="restart"/>
          </w:tcPr>
          <w:p w14:paraId="119F009F" w14:textId="49E4F59E" w:rsidR="001F0347" w:rsidRPr="00342976" w:rsidRDefault="001F0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3429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87" w:type="dxa"/>
            <w:vMerge w:val="restart"/>
          </w:tcPr>
          <w:p w14:paraId="1E62B00B" w14:textId="5109FAE0" w:rsidR="001F0347" w:rsidRPr="00342976" w:rsidRDefault="001F0347" w:rsidP="76C55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76C55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Kvalifikacijos reikalavimai</w:t>
            </w:r>
          </w:p>
          <w:p w14:paraId="1BE79BC5" w14:textId="0ACD80C9" w:rsidR="001F0347" w:rsidRPr="00342976" w:rsidRDefault="001F0347" w:rsidP="76C55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0" w:type="dxa"/>
            <w:tcBorders>
              <w:bottom w:val="single" w:sz="6" w:space="0" w:color="auto"/>
            </w:tcBorders>
          </w:tcPr>
          <w:p w14:paraId="1F4F9D66" w14:textId="2ACD8E5B" w:rsidR="001F0347" w:rsidRPr="00342976" w:rsidRDefault="001F0347" w:rsidP="76C5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sz w:val="24"/>
                <w:szCs w:val="24"/>
              </w:rPr>
              <w:t>2.1. Reikėtų patikslinti</w:t>
            </w:r>
            <w:r w:rsidR="09DACB77" w:rsidRPr="76C555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 ar Paslaugų teikėjas gali specialistų darbinę patirtį pagrįsti vykdomų (neužbaigtų) pirkimų atsiliepimais. </w:t>
            </w:r>
          </w:p>
        </w:tc>
        <w:tc>
          <w:tcPr>
            <w:tcW w:w="6018" w:type="dxa"/>
            <w:tcBorders>
              <w:bottom w:val="single" w:sz="6" w:space="0" w:color="auto"/>
            </w:tcBorders>
          </w:tcPr>
          <w:p w14:paraId="481E8AD5" w14:textId="456ABA76" w:rsidR="001F0347" w:rsidRPr="00342976" w:rsidRDefault="486D0867" w:rsidP="0003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4A10198">
              <w:rPr>
                <w:rFonts w:ascii="Times New Roman" w:hAnsi="Times New Roman" w:cs="Times New Roman"/>
                <w:sz w:val="24"/>
                <w:szCs w:val="24"/>
              </w:rPr>
              <w:t>Atsižvelgta</w:t>
            </w:r>
            <w:r w:rsidR="0785DBD0" w:rsidRPr="74A101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750DC8" w14:textId="404141E9" w:rsidR="001F0347" w:rsidRPr="00342976" w:rsidRDefault="001F0347" w:rsidP="0003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347" w:rsidRPr="00342976" w14:paraId="7CB39A2F" w14:textId="77777777" w:rsidTr="3747A16E">
        <w:trPr>
          <w:trHeight w:val="397"/>
        </w:trPr>
        <w:tc>
          <w:tcPr>
            <w:tcW w:w="802" w:type="dxa"/>
            <w:vMerge/>
          </w:tcPr>
          <w:p w14:paraId="0A5C3F89" w14:textId="77777777" w:rsidR="001F0347" w:rsidRDefault="001F0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</w:tcPr>
          <w:p w14:paraId="0FFE122F" w14:textId="77777777" w:rsidR="001F0347" w:rsidRDefault="001F0347" w:rsidP="001F0347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6030" w:type="dxa"/>
            <w:tcBorders>
              <w:top w:val="single" w:sz="6" w:space="0" w:color="auto"/>
              <w:bottom w:val="single" w:sz="6" w:space="0" w:color="auto"/>
            </w:tcBorders>
          </w:tcPr>
          <w:p w14:paraId="70F7EAE4" w14:textId="6FBF2227" w:rsidR="001F0347" w:rsidRDefault="001F0347" w:rsidP="76C5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sz w:val="24"/>
                <w:szCs w:val="24"/>
              </w:rPr>
              <w:t>2.2. Atsižvelgiant į tai, jog Projektas turės būti įgyvendinamas remiantis</w:t>
            </w:r>
            <w:r w:rsidR="39CA8FDF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39CA8FDF" w:rsidRPr="76C555A8">
              <w:rPr>
                <w:rFonts w:ascii="Times New Roman" w:hAnsi="Times New Roman" w:cs="Times New Roman"/>
                <w:sz w:val="24"/>
                <w:szCs w:val="24"/>
              </w:rPr>
              <w:t>inkrementiniu</w:t>
            </w:r>
            <w:proofErr w:type="spellEnd"/>
            <w:r w:rsidR="39CA8FDF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 – iteraciniu būdu rekomenduojame projektų vadovo sertifikatų reikalavimuose įtraukti SCRUM </w:t>
            </w:r>
            <w:proofErr w:type="spellStart"/>
            <w:r w:rsidR="39CA8FDF" w:rsidRPr="76C555A8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="39CA8FDF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 ar kitą lygiavertį sertifikato turėjimą kaip privalomą prie Prince2, </w:t>
            </w:r>
            <w:proofErr w:type="spellStart"/>
            <w:r w:rsidR="39CA8FDF" w:rsidRPr="76C555A8">
              <w:rPr>
                <w:rFonts w:ascii="Times New Roman" w:hAnsi="Times New Roman" w:cs="Times New Roman"/>
                <w:sz w:val="24"/>
                <w:szCs w:val="24"/>
              </w:rPr>
              <w:t>Comptia</w:t>
            </w:r>
            <w:proofErr w:type="spellEnd"/>
            <w:r w:rsidR="39CA8FDF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 Project+, PMP. Tokių </w:t>
            </w:r>
            <w:proofErr w:type="gramStart"/>
            <w:r w:rsidR="39CA8FDF" w:rsidRPr="76C555A8">
              <w:rPr>
                <w:rFonts w:ascii="Times New Roman" w:hAnsi="Times New Roman" w:cs="Times New Roman"/>
                <w:sz w:val="24"/>
                <w:szCs w:val="24"/>
              </w:rPr>
              <w:t>dvejų</w:t>
            </w:r>
            <w:proofErr w:type="gramEnd"/>
            <w:r w:rsidR="39CA8FDF" w:rsidRPr="76C555A8">
              <w:rPr>
                <w:rFonts w:ascii="Times New Roman" w:hAnsi="Times New Roman" w:cs="Times New Roman"/>
                <w:sz w:val="24"/>
                <w:szCs w:val="24"/>
              </w:rPr>
              <w:t xml:space="preserve"> sertifikatų turėjimas padės užtikrinti sklandžią Projekto vykdymo eigą.</w:t>
            </w:r>
          </w:p>
          <w:p w14:paraId="210C5D62" w14:textId="3900CB35" w:rsidR="001F0347" w:rsidRDefault="001F0347" w:rsidP="76C5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0231AA6A" w14:textId="6DB30666" w:rsidR="001F0347" w:rsidRPr="00342976" w:rsidRDefault="59D42C93" w:rsidP="0003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4A10198">
              <w:rPr>
                <w:rFonts w:ascii="Times New Roman" w:hAnsi="Times New Roman" w:cs="Times New Roman"/>
                <w:sz w:val="24"/>
                <w:szCs w:val="24"/>
              </w:rPr>
              <w:t>Neatsižvelgta.</w:t>
            </w:r>
          </w:p>
          <w:p w14:paraId="3C77147F" w14:textId="2FF8C15F" w:rsidR="13F504DA" w:rsidRDefault="59D42C93" w:rsidP="000334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4A1019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4E9F556E" w:rsidRPr="74A10198">
              <w:rPr>
                <w:rFonts w:ascii="Times New Roman" w:hAnsi="Times New Roman" w:cs="Times New Roman"/>
                <w:sz w:val="24"/>
                <w:szCs w:val="24"/>
              </w:rPr>
              <w:t>erkančiosios organizacijos</w:t>
            </w:r>
            <w:r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nuomone, </w:t>
            </w:r>
            <w:r w:rsidR="00DBC29D" w:rsidRPr="74A10198">
              <w:rPr>
                <w:rFonts w:ascii="Times New Roman" w:hAnsi="Times New Roman" w:cs="Times New Roman"/>
                <w:sz w:val="24"/>
                <w:szCs w:val="24"/>
              </w:rPr>
              <w:t>minimaliems</w:t>
            </w:r>
            <w:r w:rsidR="28B4E380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projekto vadovo kvalifikaciniams</w:t>
            </w:r>
            <w:r w:rsidR="00DBC29D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reikalavimams užtikrinti yra pakankamas </w:t>
            </w:r>
            <w:r w:rsidR="6B26BC88" w:rsidRPr="74A1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PMP, arba Prince 2, arba CompTIA Project+, arba PMI Agile </w:t>
            </w:r>
            <w:proofErr w:type="spellStart"/>
            <w:r w:rsidR="6B26BC88" w:rsidRPr="74A1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certified</w:t>
            </w:r>
            <w:proofErr w:type="spellEnd"/>
            <w:r w:rsidR="6B26BC88" w:rsidRPr="74A1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6B26BC88" w:rsidRPr="74A1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practitioner</w:t>
            </w:r>
            <w:proofErr w:type="spellEnd"/>
            <w:r w:rsidR="6B26BC88" w:rsidRPr="74A10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arba lygiavertis sertifikatas.</w:t>
            </w:r>
          </w:p>
          <w:p w14:paraId="726736F0" w14:textId="59723B93" w:rsidR="001F0347" w:rsidRPr="00342976" w:rsidRDefault="6B26BC88" w:rsidP="0003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4A10198">
              <w:rPr>
                <w:rFonts w:ascii="Times New Roman" w:hAnsi="Times New Roman" w:cs="Times New Roman"/>
                <w:sz w:val="24"/>
                <w:szCs w:val="24"/>
              </w:rPr>
              <w:t>Papildomo reikalavimo įvedimas būtų</w:t>
            </w:r>
            <w:r w:rsidR="1F895E13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perteklinis ir ribojantis konkurenciją. </w:t>
            </w:r>
            <w:r w:rsidR="00DBC29D" w:rsidRPr="74A1019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73C5612D" w:rsidRPr="74A10198">
              <w:rPr>
                <w:rFonts w:ascii="Times New Roman" w:hAnsi="Times New Roman" w:cs="Times New Roman"/>
                <w:sz w:val="24"/>
                <w:szCs w:val="24"/>
              </w:rPr>
              <w:t>rojekto vadov</w:t>
            </w:r>
            <w:r w:rsidR="36E99F39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ui </w:t>
            </w:r>
            <w:r w:rsidR="73C5612D" w:rsidRPr="74A10198">
              <w:rPr>
                <w:rFonts w:ascii="Times New Roman" w:hAnsi="Times New Roman" w:cs="Times New Roman"/>
                <w:sz w:val="24"/>
                <w:szCs w:val="24"/>
              </w:rPr>
              <w:t>nebūtina pa</w:t>
            </w:r>
            <w:r w:rsidR="29699DF3" w:rsidRPr="74A10198">
              <w:rPr>
                <w:rFonts w:ascii="Times New Roman" w:hAnsi="Times New Roman" w:cs="Times New Roman"/>
                <w:sz w:val="24"/>
                <w:szCs w:val="24"/>
              </w:rPr>
              <w:t>čiam</w:t>
            </w:r>
            <w:r w:rsidR="73C5612D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turi turėti </w:t>
            </w:r>
            <w:r w:rsidR="4C6F521D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jūsų siūlomą </w:t>
            </w:r>
            <w:r w:rsidR="73C5612D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SCRUM </w:t>
            </w:r>
            <w:proofErr w:type="spellStart"/>
            <w:r w:rsidR="712941FC" w:rsidRPr="74A1019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73C5612D" w:rsidRPr="74A10198">
              <w:rPr>
                <w:rFonts w:ascii="Times New Roman" w:hAnsi="Times New Roman" w:cs="Times New Roman"/>
                <w:sz w:val="24"/>
                <w:szCs w:val="24"/>
              </w:rPr>
              <w:t>aster</w:t>
            </w:r>
            <w:proofErr w:type="spellEnd"/>
            <w:r w:rsidR="73C5612D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sertifikatą. </w:t>
            </w:r>
          </w:p>
        </w:tc>
      </w:tr>
      <w:tr w:rsidR="001F0347" w:rsidRPr="00342976" w14:paraId="590A62D1" w14:textId="77777777" w:rsidTr="3747A16E">
        <w:trPr>
          <w:trHeight w:val="840"/>
        </w:trPr>
        <w:tc>
          <w:tcPr>
            <w:tcW w:w="802" w:type="dxa"/>
            <w:vMerge/>
          </w:tcPr>
          <w:p w14:paraId="684C99CB" w14:textId="77777777" w:rsidR="001F0347" w:rsidRDefault="001F0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</w:tcPr>
          <w:p w14:paraId="5DB4ED2A" w14:textId="77777777" w:rsidR="001F0347" w:rsidRDefault="001F0347" w:rsidP="001F0347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6030" w:type="dxa"/>
            <w:tcBorders>
              <w:top w:val="single" w:sz="6" w:space="0" w:color="auto"/>
              <w:bottom w:val="single" w:sz="6" w:space="0" w:color="auto"/>
            </w:tcBorders>
          </w:tcPr>
          <w:p w14:paraId="00FB5E18" w14:textId="2B6A76A4" w:rsidR="001F0347" w:rsidRPr="001F0347" w:rsidRDefault="001F0347" w:rsidP="76C5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8D1DB4A">
              <w:rPr>
                <w:rFonts w:ascii="Times New Roman" w:hAnsi="Times New Roman" w:cs="Times New Roman"/>
                <w:sz w:val="24"/>
                <w:szCs w:val="24"/>
              </w:rPr>
              <w:t xml:space="preserve">2.3. Architekto reikalavimuose rekomenduojame įtraukti kaip lygiavertį TOGAF sertifikatą įrodantį architekto patirtį. Jis yra plačiai paplitęs ir suteiks galimybę gauti daugiau pasiūlymų iš Paslaugų teikėjų. </w:t>
            </w: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38A8CBC2" w14:textId="1EC9769D" w:rsidR="001F0347" w:rsidRPr="00342976" w:rsidRDefault="7C082BAD" w:rsidP="68D1D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8D1DB4A">
              <w:rPr>
                <w:rFonts w:ascii="Times New Roman" w:hAnsi="Times New Roman" w:cs="Times New Roman"/>
                <w:sz w:val="24"/>
                <w:szCs w:val="24"/>
              </w:rPr>
              <w:t>Atsižvelgta</w:t>
            </w:r>
            <w:r w:rsidR="44532073" w:rsidRPr="68D1D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557F88" w14:textId="3D92C896" w:rsidR="001F0347" w:rsidRPr="00342976" w:rsidRDefault="44532073" w:rsidP="68D1DB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8D1DB4A">
              <w:rPr>
                <w:rFonts w:ascii="Times New Roman" w:hAnsi="Times New Roman" w:cs="Times New Roman"/>
                <w:sz w:val="24"/>
                <w:szCs w:val="24"/>
              </w:rPr>
              <w:t xml:space="preserve">Patikslintas </w:t>
            </w:r>
            <w:r w:rsidRPr="68D1DB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Informacinės sistemos architekto minimaliam</w:t>
            </w:r>
            <w:r w:rsidR="5EC0B582" w:rsidRPr="68D1DB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68D1DB4A">
              <w:rPr>
                <w:rFonts w:ascii="Times New Roman" w:hAnsi="Times New Roman" w:cs="Times New Roman"/>
                <w:sz w:val="24"/>
                <w:szCs w:val="24"/>
              </w:rPr>
              <w:t>kvalifikacijos reikalavimui</w:t>
            </w:r>
            <w:proofErr w:type="gramStart"/>
            <w:r w:rsidRPr="68D1DB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777C748F" w:rsidRPr="68D1DB4A">
              <w:rPr>
                <w:rFonts w:ascii="Times New Roman" w:hAnsi="Times New Roman" w:cs="Times New Roman"/>
                <w:sz w:val="24"/>
                <w:szCs w:val="24"/>
              </w:rPr>
              <w:t>pagrįsti pateikiamų dokumentų sąrašas (</w:t>
            </w:r>
            <w:r w:rsidR="73CEABE8" w:rsidRPr="68D1DB4A">
              <w:rPr>
                <w:rFonts w:ascii="Times New Roman" w:hAnsi="Times New Roman" w:cs="Times New Roman"/>
                <w:sz w:val="24"/>
                <w:szCs w:val="24"/>
              </w:rPr>
              <w:t xml:space="preserve">pirkimo dokumentų 3 priedas, </w:t>
            </w:r>
            <w:r w:rsidR="777C748F" w:rsidRPr="68D1DB4A">
              <w:rPr>
                <w:rFonts w:ascii="Times New Roman" w:hAnsi="Times New Roman" w:cs="Times New Roman"/>
                <w:sz w:val="24"/>
                <w:szCs w:val="24"/>
              </w:rPr>
              <w:t>3.2 punktas)</w:t>
            </w:r>
          </w:p>
        </w:tc>
      </w:tr>
      <w:tr w:rsidR="001F0347" w:rsidRPr="00342976" w14:paraId="6E0B244E" w14:textId="77777777" w:rsidTr="000334CC">
        <w:trPr>
          <w:trHeight w:val="825"/>
        </w:trPr>
        <w:tc>
          <w:tcPr>
            <w:tcW w:w="802" w:type="dxa"/>
            <w:vMerge/>
          </w:tcPr>
          <w:p w14:paraId="536DF2DA" w14:textId="77777777" w:rsidR="001F0347" w:rsidRDefault="001F03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  <w:vMerge/>
          </w:tcPr>
          <w:p w14:paraId="3C0A6B23" w14:textId="77777777" w:rsidR="001F0347" w:rsidRDefault="001F0347" w:rsidP="001F0347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6030" w:type="dxa"/>
            <w:tcBorders>
              <w:top w:val="single" w:sz="6" w:space="0" w:color="auto"/>
              <w:bottom w:val="single" w:sz="6" w:space="0" w:color="auto"/>
            </w:tcBorders>
          </w:tcPr>
          <w:p w14:paraId="76BD04AA" w14:textId="77777777" w:rsidR="001F0347" w:rsidRDefault="001F0347" w:rsidP="76C5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8D1DB4A">
              <w:rPr>
                <w:rFonts w:ascii="Times New Roman" w:hAnsi="Times New Roman" w:cs="Times New Roman"/>
                <w:sz w:val="24"/>
                <w:szCs w:val="24"/>
              </w:rPr>
              <w:t>2.4. Pasirašytų atsiliepimų pagal konkrečią formą pateikimas apsunkina Paslaugų teikėjų dalyvavimo galimybes. Rekomenduotume šį reikalavimą panaikinti. Kaip alternatyvą siūlome naudoti kitus oficialus pirkimų dokumentus: pasirašytus sutartis, reglamentus, priėmimo perdavimo aktus ir kt., kurie leidžia identifikuoti ir patvirtinti atitinkamo specialisto patirtį</w:t>
            </w:r>
          </w:p>
        </w:tc>
        <w:tc>
          <w:tcPr>
            <w:tcW w:w="6018" w:type="dxa"/>
            <w:tcBorders>
              <w:top w:val="single" w:sz="6" w:space="0" w:color="auto"/>
              <w:bottom w:val="single" w:sz="6" w:space="0" w:color="auto"/>
            </w:tcBorders>
          </w:tcPr>
          <w:p w14:paraId="4C68DDA0" w14:textId="5CD70862" w:rsidR="001F0347" w:rsidRPr="00342976" w:rsidRDefault="2F0DD77E" w:rsidP="0003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4A10198">
              <w:rPr>
                <w:rFonts w:ascii="Times New Roman" w:hAnsi="Times New Roman" w:cs="Times New Roman"/>
                <w:sz w:val="24"/>
                <w:szCs w:val="24"/>
              </w:rPr>
              <w:t>Paaiškiname, kad</w:t>
            </w:r>
            <w:r w:rsidR="0003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0210846" w:rsidRPr="74A10198">
              <w:rPr>
                <w:rFonts w:ascii="Times New Roman" w:hAnsi="Times New Roman" w:cs="Times New Roman"/>
                <w:sz w:val="24"/>
                <w:szCs w:val="24"/>
              </w:rPr>
              <w:t>konkurso sąlygose</w:t>
            </w:r>
            <w:r w:rsidR="17D3185C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specialistų patirčiai pagrįsti</w:t>
            </w:r>
            <w:r w:rsidR="00033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17D3185C" w:rsidRPr="74A10198">
              <w:rPr>
                <w:rFonts w:ascii="Times New Roman" w:hAnsi="Times New Roman" w:cs="Times New Roman"/>
                <w:sz w:val="24"/>
                <w:szCs w:val="24"/>
              </w:rPr>
              <w:t>nėra reikalaujama užpildyti konkrečios formos atsiliep</w:t>
            </w:r>
            <w:r w:rsidR="18BE83AD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imą. </w:t>
            </w:r>
            <w:r w:rsidR="4804C0B9" w:rsidRPr="74A10198">
              <w:rPr>
                <w:rFonts w:ascii="Times New Roman" w:hAnsi="Times New Roman" w:cs="Times New Roman"/>
                <w:sz w:val="24"/>
                <w:szCs w:val="24"/>
              </w:rPr>
              <w:t>Specialistai</w:t>
            </w:r>
            <w:r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savo patirtį g</w:t>
            </w:r>
            <w:r w:rsidR="05B7EF97" w:rsidRPr="74A10198">
              <w:rPr>
                <w:rFonts w:ascii="Times New Roman" w:hAnsi="Times New Roman" w:cs="Times New Roman"/>
                <w:sz w:val="24"/>
                <w:szCs w:val="24"/>
              </w:rPr>
              <w:t>ali grįsti įvairiais</w:t>
            </w:r>
            <w:r w:rsidR="3034D0E2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trečiųjų šalių parengtais</w:t>
            </w:r>
            <w:r w:rsidR="05B7EF97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dokumentais, </w:t>
            </w:r>
            <w:r w:rsidR="0E69584F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kurie </w:t>
            </w:r>
            <w:r w:rsidR="05B7EF97" w:rsidRPr="74A10198">
              <w:rPr>
                <w:rFonts w:ascii="Times New Roman" w:hAnsi="Times New Roman" w:cs="Times New Roman"/>
                <w:sz w:val="24"/>
                <w:szCs w:val="24"/>
              </w:rPr>
              <w:t>turi įrodyti specialisto dalyvavimą vykdant sutartį.</w:t>
            </w:r>
            <w:r w:rsidR="4FED88C6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2223C34E" w:rsidRPr="74A10198">
              <w:rPr>
                <w:rFonts w:ascii="Times New Roman" w:hAnsi="Times New Roman" w:cs="Times New Roman"/>
                <w:sz w:val="24"/>
                <w:szCs w:val="24"/>
              </w:rPr>
              <w:t>Grindžiant tiekėjo patirtį</w:t>
            </w:r>
            <w:r w:rsidR="000334CC">
              <w:rPr>
                <w:rFonts w:ascii="Times New Roman" w:hAnsi="Times New Roman" w:cs="Times New Roman"/>
                <w:sz w:val="24"/>
                <w:szCs w:val="24"/>
              </w:rPr>
              <w:t xml:space="preserve"> pagal vykdomas ar įvykdytas sutartis, </w:t>
            </w:r>
            <w:r w:rsidR="2223C34E" w:rsidRPr="74A10198">
              <w:rPr>
                <w:rFonts w:ascii="Times New Roman" w:hAnsi="Times New Roman" w:cs="Times New Roman"/>
                <w:sz w:val="24"/>
                <w:szCs w:val="24"/>
              </w:rPr>
              <w:t>rekomenduojama</w:t>
            </w:r>
            <w:r w:rsidR="055E38A3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pateikti užsakovo atsiliepimą, parengtą pagal</w:t>
            </w:r>
            <w:r w:rsidR="2223C34E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pasiūlymo formos 2 pr</w:t>
            </w:r>
            <w:r w:rsidR="3E7D89EC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iede pateiktą formą </w:t>
            </w:r>
            <w:proofErr w:type="gramStart"/>
            <w:r w:rsidR="3E7D89EC" w:rsidRPr="74A10198">
              <w:rPr>
                <w:rFonts w:ascii="Times New Roman" w:hAnsi="Times New Roman" w:cs="Times New Roman"/>
                <w:sz w:val="24"/>
                <w:szCs w:val="24"/>
              </w:rPr>
              <w:t>“Užsakovo atsiliepimas apie suteiktas paslaugas įvykdytose arba vykdomose sutartyse”</w:t>
            </w:r>
            <w:proofErr w:type="gramEnd"/>
            <w:r w:rsidR="3E7D89EC" w:rsidRPr="74A10198">
              <w:rPr>
                <w:rFonts w:ascii="Times New Roman" w:hAnsi="Times New Roman" w:cs="Times New Roman"/>
                <w:sz w:val="24"/>
                <w:szCs w:val="24"/>
              </w:rPr>
              <w:t>. Ta</w:t>
            </w:r>
            <w:r w:rsidR="59CA84A7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čiau šiai patirčiai pagrįsti gali būti pateikiami ir kiti </w:t>
            </w:r>
            <w:r w:rsidR="76190FFE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trečiųjų šalių parengti </w:t>
            </w:r>
            <w:r w:rsidR="59CA84A7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dokumentai, patvirtinantys sėkmingą paslaugų </w:t>
            </w:r>
            <w:r w:rsidR="7677CE73" w:rsidRPr="74A10198">
              <w:rPr>
                <w:rFonts w:ascii="Times New Roman" w:hAnsi="Times New Roman" w:cs="Times New Roman"/>
                <w:sz w:val="24"/>
                <w:szCs w:val="24"/>
              </w:rPr>
              <w:t>suteikimą</w:t>
            </w:r>
            <w:r w:rsidR="59CA84A7" w:rsidRPr="74A10198">
              <w:rPr>
                <w:rFonts w:ascii="Times New Roman" w:hAnsi="Times New Roman" w:cs="Times New Roman"/>
                <w:sz w:val="24"/>
                <w:szCs w:val="24"/>
              </w:rPr>
              <w:t>. Perkančioji organizacija vertindama pasiūlymus vadovaujasi</w:t>
            </w:r>
            <w:r w:rsidR="79160707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20E0A38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turiningojo vertinimo principu, kuris reiškia, kad </w:t>
            </w:r>
            <w:r w:rsidR="6E36C505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vertinant pasiūlymus </w:t>
            </w:r>
            <w:r w:rsidR="6E36C505" w:rsidRPr="74A101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bus atsižvelgta į pateiktų dokumentų visumą, o ne jų pateikimo formą.</w:t>
            </w:r>
          </w:p>
        </w:tc>
      </w:tr>
      <w:tr w:rsidR="001F0347" w:rsidRPr="00342976" w14:paraId="0AE4AA52" w14:textId="77777777" w:rsidTr="3747A16E">
        <w:trPr>
          <w:trHeight w:val="1523"/>
        </w:trPr>
        <w:tc>
          <w:tcPr>
            <w:tcW w:w="802" w:type="dxa"/>
          </w:tcPr>
          <w:p w14:paraId="21D4D8B9" w14:textId="04E5AA67" w:rsidR="001F0347" w:rsidRDefault="001F0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87" w:type="dxa"/>
          </w:tcPr>
          <w:p w14:paraId="7D8B07E5" w14:textId="7C3EA000" w:rsidR="001F0347" w:rsidRDefault="001F0347" w:rsidP="76C555A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76C55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Kainodara</w:t>
            </w:r>
          </w:p>
        </w:tc>
        <w:tc>
          <w:tcPr>
            <w:tcW w:w="6030" w:type="dxa"/>
            <w:tcBorders>
              <w:top w:val="single" w:sz="6" w:space="0" w:color="auto"/>
            </w:tcBorders>
          </w:tcPr>
          <w:p w14:paraId="59BAE276" w14:textId="66B55F66" w:rsidR="001F0347" w:rsidRDefault="001F0347" w:rsidP="76C555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6C555A8">
              <w:rPr>
                <w:rFonts w:ascii="Times New Roman" w:hAnsi="Times New Roman" w:cs="Times New Roman"/>
                <w:sz w:val="24"/>
                <w:szCs w:val="24"/>
              </w:rPr>
              <w:t>Pirkimo metu rekomenduojame nurodyti maksimalų pirkimo biudžetą</w:t>
            </w:r>
          </w:p>
        </w:tc>
        <w:tc>
          <w:tcPr>
            <w:tcW w:w="6018" w:type="dxa"/>
            <w:tcBorders>
              <w:top w:val="single" w:sz="6" w:space="0" w:color="auto"/>
            </w:tcBorders>
          </w:tcPr>
          <w:p w14:paraId="28B04809" w14:textId="77777777" w:rsidR="000334CC" w:rsidRDefault="1ECA3BC2" w:rsidP="0003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Atsižvelgta. </w:t>
            </w:r>
          </w:p>
          <w:p w14:paraId="718EB5E3" w14:textId="406974BD" w:rsidR="001F0347" w:rsidRPr="00342976" w:rsidRDefault="0E5111F0" w:rsidP="00033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74A10198">
              <w:rPr>
                <w:rFonts w:ascii="Times New Roman" w:hAnsi="Times New Roman" w:cs="Times New Roman"/>
                <w:sz w:val="24"/>
                <w:szCs w:val="24"/>
              </w:rPr>
              <w:t>Maksimalus pirkimo biudžetas</w:t>
            </w:r>
            <w:r w:rsidR="6B952C12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yra 1.212.000,00 Eur su PVM ir</w:t>
            </w:r>
            <w:r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bus </w:t>
            </w:r>
            <w:r w:rsidR="51BD7026" w:rsidRPr="74A1019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5E787985" w:rsidRPr="74A10198">
              <w:rPr>
                <w:rFonts w:ascii="Times New Roman" w:hAnsi="Times New Roman" w:cs="Times New Roman"/>
                <w:sz w:val="24"/>
                <w:szCs w:val="24"/>
              </w:rPr>
              <w:t>urodyta</w:t>
            </w:r>
            <w:r w:rsidR="599D05C8" w:rsidRPr="74A1019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5E787985" w:rsidRPr="74A10198">
              <w:rPr>
                <w:rFonts w:ascii="Times New Roman" w:hAnsi="Times New Roman" w:cs="Times New Roman"/>
                <w:sz w:val="24"/>
                <w:szCs w:val="24"/>
              </w:rPr>
              <w:t xml:space="preserve"> pirkimo dokumentuose.</w:t>
            </w:r>
          </w:p>
        </w:tc>
      </w:tr>
    </w:tbl>
    <w:p w14:paraId="06A0B7F4" w14:textId="77777777" w:rsidR="00B86647" w:rsidRPr="00342976" w:rsidRDefault="00B86647" w:rsidP="00B86647">
      <w:pPr>
        <w:jc w:val="center"/>
      </w:pPr>
    </w:p>
    <w:p w14:paraId="5EBDAD5B" w14:textId="77777777" w:rsidR="00647072" w:rsidRPr="00342976" w:rsidRDefault="00B86647" w:rsidP="00B86647">
      <w:pPr>
        <w:jc w:val="center"/>
      </w:pPr>
      <w:r w:rsidRPr="00342976">
        <w:t>_________________</w:t>
      </w:r>
    </w:p>
    <w:sectPr w:rsidR="00647072" w:rsidRPr="00342976" w:rsidSect="000334CC"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2587"/>
    <w:multiLevelType w:val="hybridMultilevel"/>
    <w:tmpl w:val="2E641B08"/>
    <w:lvl w:ilvl="0" w:tplc="808AC552">
      <w:start w:val="1"/>
      <w:numFmt w:val="decimal"/>
      <w:lvlText w:val="%1 lentelė."/>
      <w:lvlJc w:val="left"/>
      <w:pPr>
        <w:ind w:left="720" w:hanging="360"/>
      </w:pPr>
    </w:lvl>
    <w:lvl w:ilvl="1" w:tplc="92E27682">
      <w:start w:val="1"/>
      <w:numFmt w:val="lowerLetter"/>
      <w:lvlText w:val="%2."/>
      <w:lvlJc w:val="left"/>
      <w:pPr>
        <w:ind w:left="1440" w:hanging="360"/>
      </w:pPr>
    </w:lvl>
    <w:lvl w:ilvl="2" w:tplc="D58AAD6E">
      <w:start w:val="1"/>
      <w:numFmt w:val="lowerRoman"/>
      <w:lvlText w:val="%3."/>
      <w:lvlJc w:val="right"/>
      <w:pPr>
        <w:ind w:left="2160" w:hanging="180"/>
      </w:pPr>
    </w:lvl>
    <w:lvl w:ilvl="3" w:tplc="07A6B196">
      <w:start w:val="1"/>
      <w:numFmt w:val="decimal"/>
      <w:lvlText w:val="%4."/>
      <w:lvlJc w:val="left"/>
      <w:pPr>
        <w:ind w:left="2880" w:hanging="360"/>
      </w:pPr>
    </w:lvl>
    <w:lvl w:ilvl="4" w:tplc="61708516">
      <w:start w:val="1"/>
      <w:numFmt w:val="lowerLetter"/>
      <w:lvlText w:val="%5."/>
      <w:lvlJc w:val="left"/>
      <w:pPr>
        <w:ind w:left="3600" w:hanging="360"/>
      </w:pPr>
    </w:lvl>
    <w:lvl w:ilvl="5" w:tplc="1F568186">
      <w:start w:val="1"/>
      <w:numFmt w:val="lowerRoman"/>
      <w:lvlText w:val="%6."/>
      <w:lvlJc w:val="right"/>
      <w:pPr>
        <w:ind w:left="4320" w:hanging="180"/>
      </w:pPr>
    </w:lvl>
    <w:lvl w:ilvl="6" w:tplc="643E1710">
      <w:start w:val="1"/>
      <w:numFmt w:val="decimal"/>
      <w:lvlText w:val="%7."/>
      <w:lvlJc w:val="left"/>
      <w:pPr>
        <w:ind w:left="5040" w:hanging="360"/>
      </w:pPr>
    </w:lvl>
    <w:lvl w:ilvl="7" w:tplc="14E02DF8">
      <w:start w:val="1"/>
      <w:numFmt w:val="lowerLetter"/>
      <w:lvlText w:val="%8."/>
      <w:lvlJc w:val="left"/>
      <w:pPr>
        <w:ind w:left="5760" w:hanging="360"/>
      </w:pPr>
    </w:lvl>
    <w:lvl w:ilvl="8" w:tplc="11066F1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B797C"/>
    <w:multiLevelType w:val="hybridMultilevel"/>
    <w:tmpl w:val="9EF6BC44"/>
    <w:lvl w:ilvl="0" w:tplc="17661A98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</w:rPr>
    </w:lvl>
    <w:lvl w:ilvl="1" w:tplc="9F144750" w:tentative="1">
      <w:start w:val="1"/>
      <w:numFmt w:val="bullet"/>
      <w:lvlText w:val="•"/>
      <w:lvlJc w:val="left"/>
      <w:pPr>
        <w:tabs>
          <w:tab w:val="num" w:pos="1364"/>
        </w:tabs>
        <w:ind w:left="1364" w:hanging="360"/>
      </w:pPr>
      <w:rPr>
        <w:rFonts w:ascii="Arial" w:hAnsi="Arial" w:hint="default"/>
      </w:rPr>
    </w:lvl>
    <w:lvl w:ilvl="2" w:tplc="473C4E68" w:tentative="1">
      <w:start w:val="1"/>
      <w:numFmt w:val="bullet"/>
      <w:lvlText w:val="•"/>
      <w:lvlJc w:val="left"/>
      <w:pPr>
        <w:tabs>
          <w:tab w:val="num" w:pos="2084"/>
        </w:tabs>
        <w:ind w:left="2084" w:hanging="360"/>
      </w:pPr>
      <w:rPr>
        <w:rFonts w:ascii="Arial" w:hAnsi="Arial" w:hint="default"/>
      </w:rPr>
    </w:lvl>
    <w:lvl w:ilvl="3" w:tplc="4590F6B6" w:tentative="1">
      <w:start w:val="1"/>
      <w:numFmt w:val="bullet"/>
      <w:lvlText w:val="•"/>
      <w:lvlJc w:val="left"/>
      <w:pPr>
        <w:tabs>
          <w:tab w:val="num" w:pos="2804"/>
        </w:tabs>
        <w:ind w:left="2804" w:hanging="360"/>
      </w:pPr>
      <w:rPr>
        <w:rFonts w:ascii="Arial" w:hAnsi="Arial" w:hint="default"/>
      </w:rPr>
    </w:lvl>
    <w:lvl w:ilvl="4" w:tplc="272C461C" w:tentative="1">
      <w:start w:val="1"/>
      <w:numFmt w:val="bullet"/>
      <w:lvlText w:val="•"/>
      <w:lvlJc w:val="left"/>
      <w:pPr>
        <w:tabs>
          <w:tab w:val="num" w:pos="3524"/>
        </w:tabs>
        <w:ind w:left="3524" w:hanging="360"/>
      </w:pPr>
      <w:rPr>
        <w:rFonts w:ascii="Arial" w:hAnsi="Arial" w:hint="default"/>
      </w:rPr>
    </w:lvl>
    <w:lvl w:ilvl="5" w:tplc="326EFEBA" w:tentative="1">
      <w:start w:val="1"/>
      <w:numFmt w:val="bullet"/>
      <w:lvlText w:val="•"/>
      <w:lvlJc w:val="left"/>
      <w:pPr>
        <w:tabs>
          <w:tab w:val="num" w:pos="4244"/>
        </w:tabs>
        <w:ind w:left="4244" w:hanging="360"/>
      </w:pPr>
      <w:rPr>
        <w:rFonts w:ascii="Arial" w:hAnsi="Arial" w:hint="default"/>
      </w:rPr>
    </w:lvl>
    <w:lvl w:ilvl="6" w:tplc="B16267E6" w:tentative="1">
      <w:start w:val="1"/>
      <w:numFmt w:val="bullet"/>
      <w:lvlText w:val="•"/>
      <w:lvlJc w:val="left"/>
      <w:pPr>
        <w:tabs>
          <w:tab w:val="num" w:pos="4964"/>
        </w:tabs>
        <w:ind w:left="4964" w:hanging="360"/>
      </w:pPr>
      <w:rPr>
        <w:rFonts w:ascii="Arial" w:hAnsi="Arial" w:hint="default"/>
      </w:rPr>
    </w:lvl>
    <w:lvl w:ilvl="7" w:tplc="83CA5794" w:tentative="1">
      <w:start w:val="1"/>
      <w:numFmt w:val="bullet"/>
      <w:lvlText w:val="•"/>
      <w:lvlJc w:val="left"/>
      <w:pPr>
        <w:tabs>
          <w:tab w:val="num" w:pos="5684"/>
        </w:tabs>
        <w:ind w:left="5684" w:hanging="360"/>
      </w:pPr>
      <w:rPr>
        <w:rFonts w:ascii="Arial" w:hAnsi="Arial" w:hint="default"/>
      </w:rPr>
    </w:lvl>
    <w:lvl w:ilvl="8" w:tplc="5400F342" w:tentative="1">
      <w:start w:val="1"/>
      <w:numFmt w:val="bullet"/>
      <w:lvlText w:val="•"/>
      <w:lvlJc w:val="left"/>
      <w:pPr>
        <w:tabs>
          <w:tab w:val="num" w:pos="6404"/>
        </w:tabs>
        <w:ind w:left="6404" w:hanging="360"/>
      </w:pPr>
      <w:rPr>
        <w:rFonts w:ascii="Arial" w:hAnsi="Arial" w:hint="default"/>
      </w:rPr>
    </w:lvl>
  </w:abstractNum>
  <w:abstractNum w:abstractNumId="2" w15:restartNumberingAfterBreak="0">
    <w:nsid w:val="63DF5576"/>
    <w:multiLevelType w:val="hybridMultilevel"/>
    <w:tmpl w:val="7A0EDB6A"/>
    <w:lvl w:ilvl="0" w:tplc="35DA6132">
      <w:start w:val="1"/>
      <w:numFmt w:val="decimal"/>
      <w:lvlText w:val="%1 lentelė."/>
      <w:lvlJc w:val="left"/>
      <w:pPr>
        <w:ind w:left="720" w:hanging="360"/>
      </w:pPr>
    </w:lvl>
    <w:lvl w:ilvl="1" w:tplc="347AB7C4">
      <w:start w:val="1"/>
      <w:numFmt w:val="lowerLetter"/>
      <w:lvlText w:val="%2."/>
      <w:lvlJc w:val="left"/>
      <w:pPr>
        <w:ind w:left="1440" w:hanging="360"/>
      </w:pPr>
    </w:lvl>
    <w:lvl w:ilvl="2" w:tplc="89889EB4">
      <w:start w:val="1"/>
      <w:numFmt w:val="lowerRoman"/>
      <w:lvlText w:val="%3."/>
      <w:lvlJc w:val="right"/>
      <w:pPr>
        <w:ind w:left="2160" w:hanging="180"/>
      </w:pPr>
    </w:lvl>
    <w:lvl w:ilvl="3" w:tplc="F3CC8C7C">
      <w:start w:val="1"/>
      <w:numFmt w:val="decimal"/>
      <w:lvlText w:val="%4."/>
      <w:lvlJc w:val="left"/>
      <w:pPr>
        <w:ind w:left="2880" w:hanging="360"/>
      </w:pPr>
    </w:lvl>
    <w:lvl w:ilvl="4" w:tplc="14DE1012">
      <w:start w:val="1"/>
      <w:numFmt w:val="lowerLetter"/>
      <w:lvlText w:val="%5."/>
      <w:lvlJc w:val="left"/>
      <w:pPr>
        <w:ind w:left="3600" w:hanging="360"/>
      </w:pPr>
    </w:lvl>
    <w:lvl w:ilvl="5" w:tplc="EAE846F0">
      <w:start w:val="1"/>
      <w:numFmt w:val="lowerRoman"/>
      <w:lvlText w:val="%6."/>
      <w:lvlJc w:val="right"/>
      <w:pPr>
        <w:ind w:left="4320" w:hanging="180"/>
      </w:pPr>
    </w:lvl>
    <w:lvl w:ilvl="6" w:tplc="B8948162">
      <w:start w:val="1"/>
      <w:numFmt w:val="decimal"/>
      <w:lvlText w:val="%7."/>
      <w:lvlJc w:val="left"/>
      <w:pPr>
        <w:ind w:left="5040" w:hanging="360"/>
      </w:pPr>
    </w:lvl>
    <w:lvl w:ilvl="7" w:tplc="25DCF37A">
      <w:start w:val="1"/>
      <w:numFmt w:val="lowerLetter"/>
      <w:lvlText w:val="%8."/>
      <w:lvlJc w:val="left"/>
      <w:pPr>
        <w:ind w:left="5760" w:hanging="360"/>
      </w:pPr>
    </w:lvl>
    <w:lvl w:ilvl="8" w:tplc="1C2416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F7731"/>
    <w:multiLevelType w:val="multilevel"/>
    <w:tmpl w:val="C1241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5668136">
    <w:abstractNumId w:val="2"/>
  </w:num>
  <w:num w:numId="2" w16cid:durableId="1452819262">
    <w:abstractNumId w:val="0"/>
  </w:num>
  <w:num w:numId="3" w16cid:durableId="1816683704">
    <w:abstractNumId w:val="1"/>
  </w:num>
  <w:num w:numId="4" w16cid:durableId="2012217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47"/>
    <w:rsid w:val="00013EA7"/>
    <w:rsid w:val="000334CC"/>
    <w:rsid w:val="000C3C5E"/>
    <w:rsid w:val="000D6F9D"/>
    <w:rsid w:val="00105C9D"/>
    <w:rsid w:val="001130CB"/>
    <w:rsid w:val="001F0347"/>
    <w:rsid w:val="001F5E23"/>
    <w:rsid w:val="002648EE"/>
    <w:rsid w:val="0027477D"/>
    <w:rsid w:val="002C35C8"/>
    <w:rsid w:val="00342976"/>
    <w:rsid w:val="00357A64"/>
    <w:rsid w:val="003B56DD"/>
    <w:rsid w:val="0041448E"/>
    <w:rsid w:val="004D59BC"/>
    <w:rsid w:val="0053705A"/>
    <w:rsid w:val="00576CE0"/>
    <w:rsid w:val="005D1160"/>
    <w:rsid w:val="005E2132"/>
    <w:rsid w:val="005E26B3"/>
    <w:rsid w:val="006135CA"/>
    <w:rsid w:val="00647072"/>
    <w:rsid w:val="006719A7"/>
    <w:rsid w:val="00770405"/>
    <w:rsid w:val="00773F1B"/>
    <w:rsid w:val="007A23E4"/>
    <w:rsid w:val="007A30CE"/>
    <w:rsid w:val="007C0156"/>
    <w:rsid w:val="00835C53"/>
    <w:rsid w:val="00853AD2"/>
    <w:rsid w:val="00861120"/>
    <w:rsid w:val="008F7279"/>
    <w:rsid w:val="00A17972"/>
    <w:rsid w:val="00A752FB"/>
    <w:rsid w:val="00AC653B"/>
    <w:rsid w:val="00AE21B6"/>
    <w:rsid w:val="00B86647"/>
    <w:rsid w:val="00BF2359"/>
    <w:rsid w:val="00C52F8E"/>
    <w:rsid w:val="00C54AFA"/>
    <w:rsid w:val="00C6425E"/>
    <w:rsid w:val="00CB4533"/>
    <w:rsid w:val="00CC2B5B"/>
    <w:rsid w:val="00CE7C8A"/>
    <w:rsid w:val="00D46EF9"/>
    <w:rsid w:val="00D75254"/>
    <w:rsid w:val="00DBC29D"/>
    <w:rsid w:val="00EB724C"/>
    <w:rsid w:val="00ED1B2B"/>
    <w:rsid w:val="00F02144"/>
    <w:rsid w:val="00FB221D"/>
    <w:rsid w:val="00FE6B66"/>
    <w:rsid w:val="0143C420"/>
    <w:rsid w:val="01E56AB0"/>
    <w:rsid w:val="02D643C6"/>
    <w:rsid w:val="02DD0D5D"/>
    <w:rsid w:val="035AA068"/>
    <w:rsid w:val="0377F1E4"/>
    <w:rsid w:val="0392D50B"/>
    <w:rsid w:val="03D698F2"/>
    <w:rsid w:val="04252402"/>
    <w:rsid w:val="04B10516"/>
    <w:rsid w:val="054D3550"/>
    <w:rsid w:val="055E38A3"/>
    <w:rsid w:val="05B7EF97"/>
    <w:rsid w:val="061B1322"/>
    <w:rsid w:val="062FEE37"/>
    <w:rsid w:val="06C12A94"/>
    <w:rsid w:val="06FC3704"/>
    <w:rsid w:val="071747F5"/>
    <w:rsid w:val="07587F50"/>
    <w:rsid w:val="07745389"/>
    <w:rsid w:val="0785DBD0"/>
    <w:rsid w:val="07AECF04"/>
    <w:rsid w:val="08929DCC"/>
    <w:rsid w:val="0997233B"/>
    <w:rsid w:val="09DACB77"/>
    <w:rsid w:val="0B2733E0"/>
    <w:rsid w:val="0B2EED0D"/>
    <w:rsid w:val="0B7FBA37"/>
    <w:rsid w:val="0CFEA73B"/>
    <w:rsid w:val="0E5111F0"/>
    <w:rsid w:val="0E69584F"/>
    <w:rsid w:val="0EA0AB70"/>
    <w:rsid w:val="1038119E"/>
    <w:rsid w:val="1041877B"/>
    <w:rsid w:val="1187D10B"/>
    <w:rsid w:val="11BDCB48"/>
    <w:rsid w:val="1324482A"/>
    <w:rsid w:val="13F504DA"/>
    <w:rsid w:val="15044BB8"/>
    <w:rsid w:val="1526ACBF"/>
    <w:rsid w:val="1532E857"/>
    <w:rsid w:val="159606EE"/>
    <w:rsid w:val="16837E05"/>
    <w:rsid w:val="17722967"/>
    <w:rsid w:val="17C91C34"/>
    <w:rsid w:val="17D3185C"/>
    <w:rsid w:val="1800CD4B"/>
    <w:rsid w:val="18027974"/>
    <w:rsid w:val="187CFA33"/>
    <w:rsid w:val="18BE83AD"/>
    <w:rsid w:val="195889FA"/>
    <w:rsid w:val="19A57A5E"/>
    <w:rsid w:val="19DD76B4"/>
    <w:rsid w:val="1ACFBBA1"/>
    <w:rsid w:val="1B5CFCDA"/>
    <w:rsid w:val="1BDA1CAE"/>
    <w:rsid w:val="1CAA13B7"/>
    <w:rsid w:val="1D142076"/>
    <w:rsid w:val="1D1B1295"/>
    <w:rsid w:val="1DA111FD"/>
    <w:rsid w:val="1DCF6113"/>
    <w:rsid w:val="1E5A4400"/>
    <w:rsid w:val="1E760768"/>
    <w:rsid w:val="1E8336DA"/>
    <w:rsid w:val="1ECA3BC2"/>
    <w:rsid w:val="1F318122"/>
    <w:rsid w:val="1F857D42"/>
    <w:rsid w:val="1F895E13"/>
    <w:rsid w:val="20006C7B"/>
    <w:rsid w:val="2223C34E"/>
    <w:rsid w:val="2235EC4E"/>
    <w:rsid w:val="23029E29"/>
    <w:rsid w:val="23240B84"/>
    <w:rsid w:val="233AE154"/>
    <w:rsid w:val="238E9A58"/>
    <w:rsid w:val="23EC2E2A"/>
    <w:rsid w:val="240D513F"/>
    <w:rsid w:val="24889CE1"/>
    <w:rsid w:val="2492FC38"/>
    <w:rsid w:val="252074FB"/>
    <w:rsid w:val="2568AB91"/>
    <w:rsid w:val="25AF6D0E"/>
    <w:rsid w:val="25D01876"/>
    <w:rsid w:val="2657FC6E"/>
    <w:rsid w:val="26621AEA"/>
    <w:rsid w:val="26FD2279"/>
    <w:rsid w:val="278B9552"/>
    <w:rsid w:val="27AF2436"/>
    <w:rsid w:val="28833992"/>
    <w:rsid w:val="28B4E380"/>
    <w:rsid w:val="29699DF3"/>
    <w:rsid w:val="29A233FC"/>
    <w:rsid w:val="2A85FBDC"/>
    <w:rsid w:val="2ACEEBA3"/>
    <w:rsid w:val="2B18FD1A"/>
    <w:rsid w:val="2B1DEDCF"/>
    <w:rsid w:val="2C1FAFC7"/>
    <w:rsid w:val="2CCD9142"/>
    <w:rsid w:val="2CDD5319"/>
    <w:rsid w:val="2EE12BF3"/>
    <w:rsid w:val="2F0DD77E"/>
    <w:rsid w:val="30028F89"/>
    <w:rsid w:val="30210846"/>
    <w:rsid w:val="3034D0E2"/>
    <w:rsid w:val="3062DB86"/>
    <w:rsid w:val="30CB0AE8"/>
    <w:rsid w:val="31C10E19"/>
    <w:rsid w:val="320E0A38"/>
    <w:rsid w:val="33650385"/>
    <w:rsid w:val="33678660"/>
    <w:rsid w:val="34DB3C39"/>
    <w:rsid w:val="34E9D01B"/>
    <w:rsid w:val="351C51DC"/>
    <w:rsid w:val="35549CED"/>
    <w:rsid w:val="356855A5"/>
    <w:rsid w:val="35A476B2"/>
    <w:rsid w:val="35C49771"/>
    <w:rsid w:val="36643F9A"/>
    <w:rsid w:val="36E99F39"/>
    <w:rsid w:val="36F9890B"/>
    <w:rsid w:val="3747A16E"/>
    <w:rsid w:val="377B41EF"/>
    <w:rsid w:val="379B137F"/>
    <w:rsid w:val="38FA3B68"/>
    <w:rsid w:val="396A56B0"/>
    <w:rsid w:val="39B5233F"/>
    <w:rsid w:val="39CA8FDF"/>
    <w:rsid w:val="39D50F3C"/>
    <w:rsid w:val="3A8FA455"/>
    <w:rsid w:val="3AD33E8F"/>
    <w:rsid w:val="3B20ED0A"/>
    <w:rsid w:val="3B951FE4"/>
    <w:rsid w:val="3E0FDCBE"/>
    <w:rsid w:val="3E2C3EA3"/>
    <w:rsid w:val="3E7D89EC"/>
    <w:rsid w:val="406EE382"/>
    <w:rsid w:val="40C30844"/>
    <w:rsid w:val="40D18E4A"/>
    <w:rsid w:val="40FA8020"/>
    <w:rsid w:val="419B6893"/>
    <w:rsid w:val="41BB9E70"/>
    <w:rsid w:val="42A4C00A"/>
    <w:rsid w:val="4321625C"/>
    <w:rsid w:val="4412FCFF"/>
    <w:rsid w:val="44532073"/>
    <w:rsid w:val="46054884"/>
    <w:rsid w:val="46F3D981"/>
    <w:rsid w:val="47830964"/>
    <w:rsid w:val="4804C0B9"/>
    <w:rsid w:val="4827F32B"/>
    <w:rsid w:val="486D0867"/>
    <w:rsid w:val="4879B25B"/>
    <w:rsid w:val="489AA29A"/>
    <w:rsid w:val="49BF1DCF"/>
    <w:rsid w:val="49D55D39"/>
    <w:rsid w:val="4A22019F"/>
    <w:rsid w:val="4A6B06A5"/>
    <w:rsid w:val="4A816C10"/>
    <w:rsid w:val="4AFD37AD"/>
    <w:rsid w:val="4BDF14B4"/>
    <w:rsid w:val="4C51B90D"/>
    <w:rsid w:val="4C6F521D"/>
    <w:rsid w:val="4CAFB3CA"/>
    <w:rsid w:val="4E50697C"/>
    <w:rsid w:val="4E6CFDE1"/>
    <w:rsid w:val="4E9F556E"/>
    <w:rsid w:val="4EDE7B75"/>
    <w:rsid w:val="4F2B4A89"/>
    <w:rsid w:val="4FA10D99"/>
    <w:rsid w:val="4FED88C6"/>
    <w:rsid w:val="504EE9AF"/>
    <w:rsid w:val="506E3010"/>
    <w:rsid w:val="5131C4E4"/>
    <w:rsid w:val="5140DBB4"/>
    <w:rsid w:val="5144B06E"/>
    <w:rsid w:val="5146E7F2"/>
    <w:rsid w:val="514EEE79"/>
    <w:rsid w:val="51A0CDA5"/>
    <w:rsid w:val="51BD7026"/>
    <w:rsid w:val="52602DA7"/>
    <w:rsid w:val="538DD0A1"/>
    <w:rsid w:val="53A9EF42"/>
    <w:rsid w:val="53CF4DAE"/>
    <w:rsid w:val="54986ADF"/>
    <w:rsid w:val="54CB2595"/>
    <w:rsid w:val="54ECF744"/>
    <w:rsid w:val="552792F3"/>
    <w:rsid w:val="55859D43"/>
    <w:rsid w:val="55CA24AA"/>
    <w:rsid w:val="564C7B8E"/>
    <w:rsid w:val="5657A86E"/>
    <w:rsid w:val="56CA3461"/>
    <w:rsid w:val="594E0F7B"/>
    <w:rsid w:val="599D05C8"/>
    <w:rsid w:val="59CA84A7"/>
    <w:rsid w:val="59D42C93"/>
    <w:rsid w:val="5A387F2A"/>
    <w:rsid w:val="5AFF6CE5"/>
    <w:rsid w:val="5B867BBA"/>
    <w:rsid w:val="5B873829"/>
    <w:rsid w:val="5B8CC2DD"/>
    <w:rsid w:val="5BBB47E8"/>
    <w:rsid w:val="5C4D133D"/>
    <w:rsid w:val="5E6AC315"/>
    <w:rsid w:val="5E787985"/>
    <w:rsid w:val="5EC0B582"/>
    <w:rsid w:val="6098AFBF"/>
    <w:rsid w:val="610404CF"/>
    <w:rsid w:val="61068CF2"/>
    <w:rsid w:val="6109712C"/>
    <w:rsid w:val="613E621C"/>
    <w:rsid w:val="62143F85"/>
    <w:rsid w:val="63A289AF"/>
    <w:rsid w:val="64E45380"/>
    <w:rsid w:val="65367F8B"/>
    <w:rsid w:val="6553ACF8"/>
    <w:rsid w:val="6594C5BB"/>
    <w:rsid w:val="65AB3C1A"/>
    <w:rsid w:val="661B0A19"/>
    <w:rsid w:val="669870E8"/>
    <w:rsid w:val="671895B7"/>
    <w:rsid w:val="6839A707"/>
    <w:rsid w:val="68D1DB4A"/>
    <w:rsid w:val="68EB2C99"/>
    <w:rsid w:val="6B1DA083"/>
    <w:rsid w:val="6B26BC88"/>
    <w:rsid w:val="6B952C12"/>
    <w:rsid w:val="6BCA808B"/>
    <w:rsid w:val="6C6C4722"/>
    <w:rsid w:val="6CBA975D"/>
    <w:rsid w:val="6E36C505"/>
    <w:rsid w:val="6E94BDC3"/>
    <w:rsid w:val="6FD8D8B0"/>
    <w:rsid w:val="712941FC"/>
    <w:rsid w:val="713B8A24"/>
    <w:rsid w:val="724FDDBA"/>
    <w:rsid w:val="73C5612D"/>
    <w:rsid w:val="73CEABE8"/>
    <w:rsid w:val="740AECF3"/>
    <w:rsid w:val="74A10198"/>
    <w:rsid w:val="75F8E3E5"/>
    <w:rsid w:val="76190FFE"/>
    <w:rsid w:val="7677CE73"/>
    <w:rsid w:val="76C555A8"/>
    <w:rsid w:val="7755E536"/>
    <w:rsid w:val="777C748F"/>
    <w:rsid w:val="77853F9C"/>
    <w:rsid w:val="778C7B08"/>
    <w:rsid w:val="77ABB2FB"/>
    <w:rsid w:val="78930591"/>
    <w:rsid w:val="78F1D5E2"/>
    <w:rsid w:val="78FD3C7C"/>
    <w:rsid w:val="79160707"/>
    <w:rsid w:val="7996AF81"/>
    <w:rsid w:val="79B5B649"/>
    <w:rsid w:val="79E3EEF8"/>
    <w:rsid w:val="79EC70CC"/>
    <w:rsid w:val="7B717E39"/>
    <w:rsid w:val="7C0417AA"/>
    <w:rsid w:val="7C082BAD"/>
    <w:rsid w:val="7C42CDDE"/>
    <w:rsid w:val="7C5A9217"/>
    <w:rsid w:val="7CEC0C93"/>
    <w:rsid w:val="7D718CC0"/>
    <w:rsid w:val="7F0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2721"/>
  <w15:docId w15:val="{BBC43D97-356A-4100-B282-4547DB46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664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8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86647"/>
    <w:pPr>
      <w:ind w:left="720"/>
      <w:contextualSpacing/>
    </w:pPr>
  </w:style>
  <w:style w:type="paragraph" w:styleId="Pataisymai">
    <w:name w:val="Revision"/>
    <w:hidden/>
    <w:uiPriority w:val="99"/>
    <w:semiHidden/>
    <w:rsid w:val="00357A6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853AD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3AD2"/>
    <w:rPr>
      <w:color w:val="605E5C"/>
      <w:shd w:val="clear" w:color="auto" w:fill="E1DFDD"/>
    </w:rPr>
  </w:style>
  <w:style w:type="character" w:styleId="Komentaronuoroda">
    <w:name w:val="annotation reference"/>
    <w:uiPriority w:val="99"/>
    <w:rsid w:val="001F5E23"/>
    <w:rPr>
      <w:sz w:val="16"/>
      <w:szCs w:val="16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Diagrama Diagrama"/>
    <w:basedOn w:val="prastasis"/>
    <w:link w:val="KomentarotekstasDiagrama"/>
    <w:uiPriority w:val="99"/>
    <w:qFormat/>
    <w:rsid w:val="001F5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aliases w:val="Diagrama Diagrama Diagrama Diagrama1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1F5E2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61120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6112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customStyle="1" w:styleId="Tekstas">
    <w:name w:val="Tekstas"/>
    <w:basedOn w:val="prastasis"/>
    <w:link w:val="TekstasDiagrama"/>
    <w:uiPriority w:val="1"/>
    <w:qFormat/>
    <w:rsid w:val="76C555A8"/>
    <w:pPr>
      <w:tabs>
        <w:tab w:val="left" w:pos="851"/>
      </w:tabs>
      <w:spacing w:after="0"/>
      <w:ind w:firstLine="567"/>
      <w:jc w:val="both"/>
    </w:pPr>
    <w:rPr>
      <w:rFonts w:eastAsiaTheme="minorEastAsia"/>
      <w:sz w:val="24"/>
      <w:szCs w:val="24"/>
      <w:lang w:bidi="en-US"/>
    </w:rPr>
  </w:style>
  <w:style w:type="character" w:customStyle="1" w:styleId="TekstasDiagrama">
    <w:name w:val="Tekstas Diagrama"/>
    <w:basedOn w:val="Numatytasispastraiposriftas"/>
    <w:link w:val="Tekstas"/>
    <w:uiPriority w:val="1"/>
    <w:rsid w:val="76C555A8"/>
    <w:rPr>
      <w:rFonts w:asciiTheme="minorHAnsi" w:eastAsiaTheme="minorEastAsia" w:hAnsiTheme="minorHAnsi" w:cstheme="minorBid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BFBEFDE921F2542A2610EF291788451" ma:contentTypeVersion="3" ma:contentTypeDescription="Kurkite naują dokumentą." ma:contentTypeScope="" ma:versionID="32edc1d598477a59ad07986bb7744376">
  <xsd:schema xmlns:xsd="http://www.w3.org/2001/XMLSchema" xmlns:xs="http://www.w3.org/2001/XMLSchema" xmlns:p="http://schemas.microsoft.com/office/2006/metadata/properties" xmlns:ns2="0143a8db-21df-47b7-9f3c-12c00832b4e4" targetNamespace="http://schemas.microsoft.com/office/2006/metadata/properties" ma:root="true" ma:fieldsID="fe8a0a9e8c99835e4283de617f19308e" ns2:_="">
    <xsd:import namespace="0143a8db-21df-47b7-9f3c-12c00832b4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3a8db-21df-47b7-9f3c-12c00832b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13B82-B5AD-4D1F-9C41-04F8D40A8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3a8db-21df-47b7-9f3c-12c00832b4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1F206-F041-4EB5-8670-F19FC089DA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38137D-F19D-4AC1-96C1-06261ABBD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3557</Words>
  <Characters>2028</Characters>
  <Application>Microsoft Office Word</Application>
  <DocSecurity>0</DocSecurity>
  <Lines>16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Stankevičienė</dc:creator>
  <cp:lastModifiedBy>Edita Stankevičienė</cp:lastModifiedBy>
  <cp:revision>2</cp:revision>
  <dcterms:created xsi:type="dcterms:W3CDTF">2025-04-15T07:57:00Z</dcterms:created>
  <dcterms:modified xsi:type="dcterms:W3CDTF">2025-04-15T07:57:00Z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0x0101000BFBEFDE921F2542A2610EF291788451</vt:lpwstr>
  </property>
</Properties>
</file>