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7906" w14:textId="77777777" w:rsidR="004D3650" w:rsidRPr="004D3650" w:rsidRDefault="004D3650" w:rsidP="004D3650">
      <w:pPr>
        <w:spacing w:after="0"/>
      </w:pPr>
    </w:p>
    <w:p w14:paraId="754CDC9C" w14:textId="4EF244DD" w:rsidR="001436EB" w:rsidRPr="001436EB" w:rsidRDefault="001436EB" w:rsidP="001436EB">
      <w:pPr>
        <w:spacing w:line="240" w:lineRule="auto"/>
        <w:jc w:val="right"/>
        <w:rPr>
          <w:rFonts w:cstheme="minorHAnsi"/>
        </w:rPr>
      </w:pPr>
      <w:bookmarkStart w:id="0" w:name="_Hlk195454475"/>
      <w:r>
        <w:rPr>
          <w:rFonts w:cstheme="minorHAnsi"/>
        </w:rPr>
        <w:t xml:space="preserve">                                                                                                      </w:t>
      </w:r>
      <w:r w:rsidRPr="00AA05AD">
        <w:rPr>
          <w:rFonts w:cstheme="minorHAnsi"/>
        </w:rPr>
        <w:t xml:space="preserve">Pirkimo sąlygų 2 priedas „Tiekėjų kvalifikacijos reikalavimai </w:t>
      </w:r>
      <w:r>
        <w:rPr>
          <w:rFonts w:cstheme="minorHAnsi"/>
        </w:rPr>
        <w:t xml:space="preserve">  </w:t>
      </w:r>
      <w:r w:rsidRPr="00AA05AD">
        <w:rPr>
          <w:rFonts w:cstheme="minorHAnsi"/>
        </w:rPr>
        <w:t>ir reikalaujami kokybės bei aplinkos apsaugos vadybos sistemų standartai“</w:t>
      </w:r>
    </w:p>
    <w:p w14:paraId="20B84CE0" w14:textId="77777777" w:rsidR="001436EB" w:rsidRPr="00AA05AD" w:rsidRDefault="001436EB" w:rsidP="001436EB">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969FF1F" w14:textId="77777777" w:rsidR="001436EB" w:rsidRPr="008F2D15" w:rsidRDefault="001436EB" w:rsidP="001436EB">
      <w:pPr>
        <w:spacing w:line="240" w:lineRule="auto"/>
        <w:ind w:firstLine="567"/>
        <w:rPr>
          <w:rFonts w:eastAsia="Arial" w:cstheme="minorHAnsi"/>
        </w:rPr>
      </w:pPr>
      <w:sdt>
        <w:sdtPr>
          <w:rPr>
            <w:rFonts w:cstheme="minorHAnsi"/>
          </w:rPr>
          <w:tag w:val="goog_rdk_129"/>
          <w:id w:val="-1599392971"/>
          <w:placeholder>
            <w:docPart w:val="2B9C553639C74224A36BC9B4BC926E51"/>
          </w:placeholder>
        </w:sdtPr>
        <w:sdtContent>
          <w:r w:rsidRPr="008F2D15">
            <w:rPr>
              <w:rFonts w:cstheme="minorHAnsi"/>
            </w:rPr>
            <w:t>1.</w:t>
          </w:r>
        </w:sdtContent>
      </w:sdt>
      <w:r w:rsidRPr="008F2D15">
        <w:rPr>
          <w:rFonts w:eastAsia="Arial" w:cstheme="minorHAnsi"/>
        </w:rPr>
        <w:t xml:space="preserve">Tiekėjo kvalifikacija turi atitikti šiame priede nustatytus reikalavimus kvalifikacijai. </w:t>
      </w:r>
    </w:p>
    <w:p w14:paraId="511F5A70" w14:textId="520771B6" w:rsidR="006475E8" w:rsidRDefault="001436EB" w:rsidP="001436EB">
      <w:pPr>
        <w:spacing w:line="240" w:lineRule="auto"/>
        <w:ind w:left="567"/>
        <w:rPr>
          <w:rFonts w:eastAsia="Arial" w:cstheme="minorHAnsi"/>
        </w:rPr>
      </w:pPr>
      <w:r>
        <w:rPr>
          <w:rFonts w:eastAsia="Arial" w:cstheme="minorHAnsi"/>
        </w:rPr>
        <w:t>2</w:t>
      </w:r>
      <w:r w:rsidRPr="00D75609">
        <w:rPr>
          <w:rFonts w:eastAsia="Arial" w:cstheme="minorHAnsi"/>
        </w:rPr>
        <w:t xml:space="preserve">. </w:t>
      </w:r>
      <w:r w:rsidRPr="00D94720">
        <w:rPr>
          <w:rFonts w:eastAsia="Arial" w:cstheme="minorHAnsi"/>
        </w:rPr>
        <w:t xml:space="preserve">Perkančioji organizacija nereikalauja, kad tiekėjai laikytųsi </w:t>
      </w:r>
      <w:r w:rsidRPr="00F974F9">
        <w:rPr>
          <w:rFonts w:eastAsia="Arial" w:cstheme="minorHAnsi"/>
        </w:rPr>
        <w:t>kokybės vadybos sistemos ir (arba) aplinkos apsaugos vadybos sistemos standartų.</w:t>
      </w:r>
    </w:p>
    <w:p w14:paraId="294411B0" w14:textId="77777777" w:rsidR="001436EB" w:rsidRPr="001436EB" w:rsidRDefault="001436EB" w:rsidP="001436EB">
      <w:pPr>
        <w:spacing w:before="60" w:after="60" w:line="256" w:lineRule="auto"/>
        <w:ind w:firstLine="567"/>
        <w:rPr>
          <w:rFonts w:cstheme="minorHAnsi"/>
          <w:bCs/>
          <w:sz w:val="22"/>
          <w:szCs w:val="22"/>
        </w:rPr>
      </w:pPr>
      <w:r>
        <w:rPr>
          <w:rFonts w:eastAsia="Arial" w:cstheme="minorHAnsi"/>
        </w:rPr>
        <w:t xml:space="preserve">3. </w:t>
      </w:r>
      <w:r w:rsidRPr="001436EB">
        <w:rPr>
          <w:rFonts w:cstheme="minorHAnsi"/>
          <w:bCs/>
          <w:sz w:val="22"/>
          <w:szCs w:val="22"/>
        </w:rPr>
        <w:t>Jeigu tiekėjo kvalifikacija dėl teisės verstis atitinkama veikla nebuvo tikrinama arba tikrinama ne visa apimtimi, tiekėjas įsipareigoja, kad pirkimo sutartį vykdys tik tokią teisę turintys asmenys</w:t>
      </w:r>
    </w:p>
    <w:tbl>
      <w:tblPr>
        <w:tblStyle w:val="TableGrid3"/>
        <w:tblpPr w:leftFromText="180" w:rightFromText="180" w:vertAnchor="page" w:horzAnchor="margin" w:tblpY="4533"/>
        <w:tblW w:w="5000" w:type="pct"/>
        <w:tblLook w:val="04A0" w:firstRow="1" w:lastRow="0" w:firstColumn="1" w:lastColumn="0" w:noHBand="0" w:noVBand="1"/>
      </w:tblPr>
      <w:tblGrid>
        <w:gridCol w:w="644"/>
        <w:gridCol w:w="3140"/>
        <w:gridCol w:w="3411"/>
        <w:gridCol w:w="2767"/>
      </w:tblGrid>
      <w:tr w:rsidR="001436EB" w:rsidRPr="00CA19BB" w14:paraId="4C8AB219" w14:textId="77777777" w:rsidTr="00AF76B9">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bookmarkEnd w:id="0"/>
          <w:p w14:paraId="6DDBB54F" w14:textId="77777777" w:rsidR="001436EB" w:rsidRPr="00CA19BB" w:rsidRDefault="001436EB" w:rsidP="00AF76B9">
            <w:pPr>
              <w:spacing w:before="60" w:after="60" w:line="256" w:lineRule="auto"/>
              <w:jc w:val="center"/>
              <w:rPr>
                <w:b/>
                <w:bCs/>
              </w:rPr>
            </w:pPr>
            <w:r w:rsidRPr="00CA19BB">
              <w:rPr>
                <w:rFonts w:eastAsia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20C787F2" w14:textId="77777777" w:rsidR="001436EB" w:rsidRPr="00CA19BB" w:rsidRDefault="001436EB" w:rsidP="00AF76B9">
            <w:pPr>
              <w:spacing w:before="60" w:after="60" w:line="256" w:lineRule="auto"/>
              <w:jc w:val="center"/>
              <w:rPr>
                <w:b/>
                <w:bCs/>
              </w:rPr>
            </w:pPr>
            <w:r w:rsidRPr="00CA19BB">
              <w:rPr>
                <w:b/>
                <w:bCs/>
                <w:color w:val="000000"/>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21B7064A" w14:textId="77777777" w:rsidR="001436EB" w:rsidRPr="00CA19BB" w:rsidRDefault="001436EB" w:rsidP="00AF76B9">
            <w:pPr>
              <w:autoSpaceDE w:val="0"/>
              <w:autoSpaceDN w:val="0"/>
              <w:adjustRightInd w:val="0"/>
              <w:jc w:val="center"/>
              <w:rPr>
                <w:b/>
                <w:bCs/>
                <w:color w:val="000000"/>
              </w:rPr>
            </w:pPr>
            <w:r w:rsidRPr="00CA19BB">
              <w:rPr>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05790147" w14:textId="77777777" w:rsidR="001436EB" w:rsidRPr="00CA19BB" w:rsidRDefault="001436EB" w:rsidP="00AF76B9">
            <w:pPr>
              <w:autoSpaceDE w:val="0"/>
              <w:autoSpaceDN w:val="0"/>
              <w:adjustRightInd w:val="0"/>
              <w:jc w:val="center"/>
              <w:rPr>
                <w:b/>
                <w:bCs/>
                <w:color w:val="000000"/>
              </w:rPr>
            </w:pPr>
            <w:r w:rsidRPr="00CA19BB">
              <w:rPr>
                <w:b/>
                <w:bCs/>
                <w:color w:val="000000"/>
              </w:rPr>
              <w:t>Subjektas, kuris turi atitikti reikalavimą</w:t>
            </w:r>
          </w:p>
          <w:p w14:paraId="0E32C3B5" w14:textId="77777777" w:rsidR="001436EB" w:rsidRPr="00CA19BB" w:rsidRDefault="001436EB" w:rsidP="00AF76B9">
            <w:pPr>
              <w:autoSpaceDE w:val="0"/>
              <w:autoSpaceDN w:val="0"/>
              <w:adjustRightInd w:val="0"/>
              <w:jc w:val="center"/>
              <w:rPr>
                <w:b/>
                <w:bCs/>
                <w:color w:val="000000"/>
              </w:rPr>
            </w:pPr>
          </w:p>
        </w:tc>
      </w:tr>
      <w:tr w:rsidR="001436EB" w:rsidRPr="00CA19BB" w14:paraId="16CE8C32" w14:textId="77777777" w:rsidTr="00AF76B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F3D86" w14:textId="77777777" w:rsidR="001436EB" w:rsidRPr="00CA19BB" w:rsidRDefault="001436EB" w:rsidP="00AF76B9">
            <w:pPr>
              <w:pStyle w:val="Sraopastraipa"/>
              <w:numPr>
                <w:ilvl w:val="0"/>
                <w:numId w:val="1"/>
              </w:numPr>
              <w:spacing w:before="60" w:after="60" w:line="257"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832B8" w14:textId="77777777" w:rsidR="001436EB" w:rsidRPr="00CA19BB" w:rsidRDefault="001436EB" w:rsidP="00AF76B9">
            <w:pPr>
              <w:autoSpaceDE w:val="0"/>
              <w:autoSpaceDN w:val="0"/>
              <w:adjustRightInd w:val="0"/>
              <w:rPr>
                <w:b/>
                <w:bCs/>
                <w:color w:val="000000"/>
              </w:rPr>
            </w:pPr>
            <w:r w:rsidRPr="00CA19BB">
              <w:rPr>
                <w:b/>
                <w:bCs/>
                <w:color w:val="000000"/>
              </w:rPr>
              <w:t>Techninis ir profesinis pajėgumas</w:t>
            </w:r>
          </w:p>
        </w:tc>
      </w:tr>
      <w:tr w:rsidR="001436EB" w:rsidRPr="00CA19BB" w14:paraId="057A8CE7" w14:textId="77777777" w:rsidTr="00AF76B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51B5B" w14:textId="77777777" w:rsidR="001436EB" w:rsidRPr="00CA19BB" w:rsidRDefault="001436EB" w:rsidP="00AF76B9">
            <w:pPr>
              <w:pStyle w:val="Sraopastraipa"/>
              <w:numPr>
                <w:ilvl w:val="1"/>
                <w:numId w:val="1"/>
              </w:numPr>
              <w:spacing w:before="60" w:after="60" w:line="257" w:lineRule="auto"/>
              <w:ind w:left="357" w:hanging="357"/>
              <w:jc w:val="right"/>
              <w:rPr>
                <w:rFonts w:eastAsia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C572695" w14:textId="77777777" w:rsidR="001436EB" w:rsidRPr="00CA19BB" w:rsidRDefault="001436EB" w:rsidP="00AF76B9">
            <w:pPr>
              <w:tabs>
                <w:tab w:val="left" w:pos="1980"/>
              </w:tabs>
              <w:ind w:right="11"/>
              <w:jc w:val="both"/>
              <w:rPr>
                <w:color w:val="000000"/>
                <w:sz w:val="24"/>
                <w:szCs w:val="24"/>
              </w:rPr>
            </w:pPr>
            <w:r w:rsidRPr="00CA19BB">
              <w:rPr>
                <w:color w:val="000000"/>
                <w:sz w:val="24"/>
                <w:szCs w:val="24"/>
              </w:rPr>
              <w:t>Teikėjas privalo paskirti:</w:t>
            </w:r>
          </w:p>
          <w:p w14:paraId="467008A1" w14:textId="77777777" w:rsidR="001436EB" w:rsidRPr="00CA19BB" w:rsidRDefault="001436EB" w:rsidP="00AF76B9">
            <w:pPr>
              <w:pStyle w:val="Betarp"/>
              <w:jc w:val="both"/>
              <w:rPr>
                <w:sz w:val="24"/>
                <w:szCs w:val="24"/>
                <w:lang w:eastAsia="en-US"/>
              </w:rPr>
            </w:pPr>
            <w:r w:rsidRPr="005A2D92">
              <w:rPr>
                <w:b/>
                <w:sz w:val="24"/>
                <w:szCs w:val="24"/>
              </w:rPr>
              <w:t>ne mažiau kaip 1</w:t>
            </w:r>
            <w:r w:rsidRPr="005A2D92">
              <w:rPr>
                <w:b/>
                <w:i/>
                <w:sz w:val="24"/>
                <w:szCs w:val="24"/>
              </w:rPr>
              <w:t xml:space="preserve"> </w:t>
            </w:r>
            <w:r>
              <w:rPr>
                <w:b/>
                <w:sz w:val="24"/>
                <w:szCs w:val="24"/>
              </w:rPr>
              <w:t>specialistą</w:t>
            </w:r>
            <w:r w:rsidRPr="005A2D92">
              <w:rPr>
                <w:b/>
                <w:sz w:val="24"/>
                <w:szCs w:val="24"/>
              </w:rPr>
              <w:t xml:space="preserve">, </w:t>
            </w:r>
            <w:r w:rsidRPr="005A2D92">
              <w:rPr>
                <w:bCs/>
                <w:sz w:val="24"/>
                <w:szCs w:val="24"/>
              </w:rPr>
              <w:t>turintį</w:t>
            </w:r>
            <w:r w:rsidRPr="005A2D92">
              <w:rPr>
                <w:b/>
                <w:sz w:val="24"/>
                <w:szCs w:val="24"/>
              </w:rPr>
              <w:t xml:space="preserve"> </w:t>
            </w:r>
            <w:r w:rsidRPr="005A2D92">
              <w:rPr>
                <w:sz w:val="24"/>
                <w:szCs w:val="24"/>
              </w:rPr>
              <w:t xml:space="preserve"> architekto</w:t>
            </w:r>
            <w:r w:rsidRPr="00CA19BB">
              <w:rPr>
                <w:sz w:val="24"/>
                <w:szCs w:val="24"/>
              </w:rPr>
              <w:t xml:space="preserve"> išsilavinimą (pagal Statybos įstatymo 2 str. 1 ir 92 dalis)</w:t>
            </w:r>
          </w:p>
          <w:p w14:paraId="5307F4E9" w14:textId="77777777" w:rsidR="001436EB" w:rsidRPr="00CA19BB" w:rsidRDefault="001436EB" w:rsidP="00AF76B9">
            <w:pPr>
              <w:autoSpaceDE w:val="0"/>
              <w:autoSpaceDN w:val="0"/>
              <w:adjustRightInd w:val="0"/>
              <w:rPr>
                <w:b/>
              </w:rPr>
            </w:pPr>
            <w:r w:rsidRPr="00CA19BB">
              <w:rPr>
                <w:b/>
              </w:rPr>
              <w:t xml:space="preserve"> </w:t>
            </w:r>
          </w:p>
          <w:p w14:paraId="734B621D" w14:textId="77777777" w:rsidR="001436EB" w:rsidRPr="005A2D92" w:rsidRDefault="001436EB" w:rsidP="00AF76B9">
            <w:pPr>
              <w:autoSpaceDE w:val="0"/>
              <w:autoSpaceDN w:val="0"/>
              <w:adjustRightInd w:val="0"/>
              <w:jc w:val="both"/>
              <w:rPr>
                <w:i/>
              </w:rPr>
            </w:pPr>
            <w:r w:rsidRPr="00CA19BB">
              <w:rPr>
                <w:i/>
              </w:rPr>
              <w:t>Architektas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DFFD9B6" w14:textId="77777777" w:rsidR="001436EB" w:rsidRPr="00CA19BB" w:rsidRDefault="001436EB" w:rsidP="00AF76B9">
            <w:pPr>
              <w:autoSpaceDE w:val="0"/>
              <w:autoSpaceDN w:val="0"/>
              <w:adjustRightInd w:val="0"/>
              <w:rPr>
                <w:sz w:val="24"/>
                <w:szCs w:val="24"/>
              </w:rPr>
            </w:pPr>
            <w:r w:rsidRPr="00CA19BB">
              <w:rPr>
                <w:sz w:val="24"/>
                <w:szCs w:val="24"/>
              </w:rPr>
              <w:t>1.</w:t>
            </w:r>
            <w:r w:rsidRPr="00CA19BB">
              <w:rPr>
                <w:b/>
                <w:bCs/>
                <w:sz w:val="24"/>
                <w:szCs w:val="24"/>
                <w:bdr w:val="none" w:sz="0" w:space="0" w:color="auto" w:frame="1"/>
              </w:rPr>
              <w:t> </w:t>
            </w:r>
            <w:r w:rsidRPr="00CA19BB">
              <w:rPr>
                <w:sz w:val="24"/>
                <w:szCs w:val="24"/>
                <w:bdr w:val="none" w:sz="0" w:space="0" w:color="auto" w:frame="1"/>
              </w:rPr>
              <w:t>Siūlomų specialistų sąrašas</w:t>
            </w:r>
          </w:p>
          <w:p w14:paraId="4B4FF99A" w14:textId="77777777" w:rsidR="001436EB" w:rsidRPr="00CA19BB" w:rsidRDefault="001436EB" w:rsidP="00AF76B9">
            <w:pPr>
              <w:autoSpaceDE w:val="0"/>
              <w:autoSpaceDN w:val="0"/>
              <w:adjustRightInd w:val="0"/>
              <w:rPr>
                <w:sz w:val="24"/>
                <w:szCs w:val="24"/>
              </w:rPr>
            </w:pPr>
            <w:r w:rsidRPr="00CA19BB">
              <w:rPr>
                <w:sz w:val="24"/>
                <w:szCs w:val="24"/>
              </w:rPr>
              <w:t>2.</w:t>
            </w:r>
            <w:r>
              <w:rPr>
                <w:sz w:val="24"/>
                <w:szCs w:val="24"/>
              </w:rPr>
              <w:t xml:space="preserve"> </w:t>
            </w:r>
            <w:r w:rsidRPr="00CA19BB">
              <w:rPr>
                <w:sz w:val="24"/>
                <w:szCs w:val="24"/>
              </w:rPr>
              <w:t>Išsilavinimą liudijančių diplomų kopijos.</w:t>
            </w:r>
          </w:p>
          <w:p w14:paraId="562764A8" w14:textId="77777777" w:rsidR="001436EB" w:rsidRPr="00CA19BB" w:rsidRDefault="001436EB" w:rsidP="00AF76B9">
            <w:pPr>
              <w:autoSpaceDE w:val="0"/>
              <w:autoSpaceDN w:val="0"/>
              <w:adjustRightInd w:val="0"/>
              <w:rPr>
                <w:sz w:val="24"/>
                <w:szCs w:val="24"/>
              </w:rPr>
            </w:pPr>
          </w:p>
          <w:p w14:paraId="404D6775" w14:textId="77777777" w:rsidR="001436EB" w:rsidRPr="00CA19BB" w:rsidRDefault="001436EB" w:rsidP="00AF76B9">
            <w:pPr>
              <w:autoSpaceDE w:val="0"/>
              <w:autoSpaceDN w:val="0"/>
              <w:adjustRightInd w:val="0"/>
              <w:rPr>
                <w:sz w:val="24"/>
                <w:szCs w:val="24"/>
              </w:rPr>
            </w:pPr>
          </w:p>
          <w:p w14:paraId="7486D8F4" w14:textId="77777777" w:rsidR="001436EB" w:rsidRPr="00CA19BB" w:rsidRDefault="001436EB" w:rsidP="00AF76B9">
            <w:pPr>
              <w:autoSpaceDE w:val="0"/>
              <w:autoSpaceDN w:val="0"/>
              <w:adjustRightInd w:val="0"/>
              <w:jc w:val="both"/>
              <w:rPr>
                <w:i/>
                <w:sz w:val="24"/>
                <w:szCs w:val="24"/>
              </w:rPr>
            </w:pPr>
            <w:r w:rsidRPr="00CA19BB">
              <w:rPr>
                <w:i/>
              </w:rPr>
              <w:t>Užsienio šalies specialistams išduoti dokumentai, patvirtinantys turimą išsilavinimą kilmės šalyje ar jų kopijos;</w:t>
            </w:r>
          </w:p>
          <w:p w14:paraId="743E0698" w14:textId="77777777" w:rsidR="001436EB" w:rsidRPr="00CA19BB" w:rsidRDefault="001436EB" w:rsidP="00AF76B9">
            <w:pPr>
              <w:jc w:val="both"/>
              <w:rPr>
                <w:i/>
              </w:rPr>
            </w:pPr>
          </w:p>
          <w:p w14:paraId="0A8FDC19" w14:textId="77777777" w:rsidR="001436EB" w:rsidRPr="00CA19BB" w:rsidRDefault="001436EB" w:rsidP="00AF76B9">
            <w:pPr>
              <w:jc w:val="both"/>
              <w:rPr>
                <w:i/>
              </w:rPr>
            </w:pPr>
            <w:r w:rsidRPr="00CA19BB">
              <w:rPr>
                <w:i/>
              </w:rPr>
              <w:t>Trečiojoje šalyje įgyta architekto profesinė kvalifikacija pripažįstama vadovaujantis „Trečiųjų šalių piliečių architekto profesinės kvalifikacijos pripažinimo Lietuvos Respublikoje tvarkos aprašu“;</w:t>
            </w:r>
          </w:p>
          <w:p w14:paraId="4BFB6DB1" w14:textId="77777777" w:rsidR="001436EB" w:rsidRPr="00CA19BB" w:rsidRDefault="001436EB" w:rsidP="00AF76B9">
            <w:pPr>
              <w:jc w:val="both"/>
              <w:rPr>
                <w:i/>
                <w:iCs/>
                <w:bdr w:val="none" w:sz="0" w:space="0" w:color="auto" w:frame="1"/>
              </w:rPr>
            </w:pPr>
          </w:p>
          <w:p w14:paraId="07AC0B80" w14:textId="77777777" w:rsidR="001436EB" w:rsidRPr="00CA19BB" w:rsidRDefault="001436EB" w:rsidP="00AF76B9">
            <w:pPr>
              <w:jc w:val="both"/>
              <w:rPr>
                <w:i/>
                <w:iCs/>
                <w:bdr w:val="none" w:sz="0" w:space="0" w:color="auto" w:frame="1"/>
              </w:rPr>
            </w:pPr>
            <w:r w:rsidRPr="00CA19BB">
              <w:rPr>
                <w:i/>
                <w:iCs/>
                <w:bdr w:val="none" w:sz="0" w:space="0" w:color="auto" w:frame="1"/>
              </w:rPr>
              <w:t>Jei pasitelkiami specialistai nėra tiekėjo ar tiekėjo pasitelkiamo subtiekėjo darbuotojai pasiūlymo pateikimo metu, turi būti pateikti dokumentai, įrodantys, kad laimėjimo atveju jie bus įdarbinti.</w:t>
            </w:r>
          </w:p>
          <w:p w14:paraId="6E41EC10" w14:textId="77777777" w:rsidR="001436EB" w:rsidRPr="00CA19BB" w:rsidRDefault="001436EB" w:rsidP="00AF76B9">
            <w:pPr>
              <w:autoSpaceDE w:val="0"/>
              <w:autoSpaceDN w:val="0"/>
              <w:adjustRightInd w:val="0"/>
              <w:rPr>
                <w:i/>
                <w:u w:val="single"/>
              </w:rPr>
            </w:pPr>
          </w:p>
          <w:p w14:paraId="720A1559" w14:textId="77777777" w:rsidR="001436EB" w:rsidRPr="00CA19BB" w:rsidRDefault="001436EB" w:rsidP="00AF76B9">
            <w:pPr>
              <w:autoSpaceDE w:val="0"/>
              <w:autoSpaceDN w:val="0"/>
              <w:adjustRightInd w:val="0"/>
              <w:rPr>
                <w:i/>
                <w:u w:val="single"/>
              </w:rPr>
            </w:pPr>
          </w:p>
          <w:p w14:paraId="07E1FB22" w14:textId="77777777" w:rsidR="001436EB" w:rsidRPr="00CA19BB" w:rsidRDefault="001436EB" w:rsidP="00AF76B9">
            <w:pPr>
              <w:autoSpaceDE w:val="0"/>
              <w:autoSpaceDN w:val="0"/>
              <w:adjustRightInd w:val="0"/>
              <w:rPr>
                <w:color w:val="000000"/>
              </w:rPr>
            </w:pPr>
            <w:r w:rsidRPr="00CA19BB">
              <w:rPr>
                <w:i/>
                <w:u w:val="single"/>
              </w:rPr>
              <w:t>Pateikiama dokumentų skaitmeninės kopijos CVPIS priemonėmis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C0E50" w14:textId="77777777" w:rsidR="001436EB" w:rsidRPr="00CA19BB" w:rsidRDefault="001436EB" w:rsidP="00AF76B9">
            <w:pPr>
              <w:autoSpaceDE w:val="0"/>
              <w:autoSpaceDN w:val="0"/>
              <w:adjustRightInd w:val="0"/>
              <w:jc w:val="both"/>
            </w:pPr>
            <w:r w:rsidRPr="00CA19BB">
              <w:sym w:font="Symbol" w:char="F0B7"/>
            </w:r>
            <w:r w:rsidRPr="00CA19BB">
              <w:sym w:font="Symbol" w:char="F020"/>
            </w:r>
            <w:r w:rsidRPr="00CA19BB">
              <w:t>jeigu pasiūlymą teikia ūkio subjektų grupė – reikalavimą turi atitikti ūkio subjektų grupės nario (-</w:t>
            </w:r>
            <w:proofErr w:type="spellStart"/>
            <w:r w:rsidRPr="00CA19BB">
              <w:t>ių</w:t>
            </w:r>
            <w:proofErr w:type="spellEnd"/>
            <w:r w:rsidRPr="00CA19BB">
              <w:t xml:space="preserve">) specialistai, atsižvelgiant į jų prisiimamus įsipareigojimus pirkimo sutarčiai vykdyti; </w:t>
            </w:r>
          </w:p>
          <w:p w14:paraId="636DC710" w14:textId="77777777" w:rsidR="001436EB" w:rsidRPr="00CA19BB" w:rsidRDefault="001436EB" w:rsidP="00AF76B9">
            <w:pPr>
              <w:autoSpaceDE w:val="0"/>
              <w:autoSpaceDN w:val="0"/>
              <w:adjustRightInd w:val="0"/>
              <w:jc w:val="both"/>
              <w:rPr>
                <w:color w:val="000000"/>
              </w:rPr>
            </w:pPr>
            <w:r w:rsidRPr="00CA19BB">
              <w:sym w:font="Symbol" w:char="F0B7"/>
            </w:r>
            <w:r w:rsidRPr="00CA19BB">
              <w:sym w:font="Symbol" w:char="F020"/>
            </w:r>
            <w:r w:rsidRPr="00CA19BB">
              <w:t xml:space="preserve">tiekėjas gali remtis kitų ūkio subjektų pajėgumais tik tuo atveju, jeigu tie subjektai (jų darbuotojai) patys vykdys tą pirkimo sutarties dalį, kuriai reikia jų turimų pajėgumų; </w:t>
            </w:r>
            <w:r w:rsidRPr="00CA19BB">
              <w:sym w:font="Symbol" w:char="F0B7"/>
            </w:r>
            <w:r w:rsidRPr="00CA19BB">
              <w:sym w:font="Symbol" w:char="F020"/>
            </w:r>
            <w:r w:rsidRPr="00CA19B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58688C0" w14:textId="33674942" w:rsidR="001436EB" w:rsidRPr="001436EB" w:rsidRDefault="001436EB" w:rsidP="001436EB">
      <w:pPr>
        <w:spacing w:line="240" w:lineRule="auto"/>
        <w:rPr>
          <w:rFonts w:eastAsia="Arial" w:cstheme="minorHAnsi"/>
        </w:rPr>
      </w:pPr>
    </w:p>
    <w:sectPr w:rsidR="001436EB" w:rsidRPr="001436EB" w:rsidSect="001436EB">
      <w:pgSz w:w="12240" w:h="15840"/>
      <w:pgMar w:top="851" w:right="567" w:bottom="1134"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8E07" w14:textId="77777777" w:rsidR="00BF7431" w:rsidRDefault="00BF7431" w:rsidP="001436EB">
      <w:pPr>
        <w:spacing w:after="0" w:line="240" w:lineRule="auto"/>
      </w:pPr>
      <w:r>
        <w:separator/>
      </w:r>
    </w:p>
  </w:endnote>
  <w:endnote w:type="continuationSeparator" w:id="0">
    <w:p w14:paraId="04821401" w14:textId="77777777" w:rsidR="00BF7431" w:rsidRDefault="00BF7431" w:rsidP="0014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0FAB" w14:textId="77777777" w:rsidR="00BF7431" w:rsidRDefault="00BF7431" w:rsidP="001436EB">
      <w:pPr>
        <w:spacing w:after="0" w:line="240" w:lineRule="auto"/>
      </w:pPr>
      <w:r>
        <w:separator/>
      </w:r>
    </w:p>
  </w:footnote>
  <w:footnote w:type="continuationSeparator" w:id="0">
    <w:p w14:paraId="48866A01" w14:textId="77777777" w:rsidR="00BF7431" w:rsidRDefault="00BF7431" w:rsidP="00143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2628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E8"/>
    <w:rsid w:val="00054F2B"/>
    <w:rsid w:val="001436EB"/>
    <w:rsid w:val="00194F66"/>
    <w:rsid w:val="002B2049"/>
    <w:rsid w:val="002E2817"/>
    <w:rsid w:val="00373AE7"/>
    <w:rsid w:val="004D3650"/>
    <w:rsid w:val="005A2D92"/>
    <w:rsid w:val="006475E8"/>
    <w:rsid w:val="006556E2"/>
    <w:rsid w:val="00696CA6"/>
    <w:rsid w:val="006E7801"/>
    <w:rsid w:val="00936ADE"/>
    <w:rsid w:val="00943DC0"/>
    <w:rsid w:val="0098057C"/>
    <w:rsid w:val="00AE0C95"/>
    <w:rsid w:val="00B2445C"/>
    <w:rsid w:val="00BC129A"/>
    <w:rsid w:val="00BF7431"/>
    <w:rsid w:val="00C038ED"/>
    <w:rsid w:val="00DA6C20"/>
    <w:rsid w:val="00DE5A02"/>
    <w:rsid w:val="00E16A14"/>
    <w:rsid w:val="00E83326"/>
    <w:rsid w:val="00F171D4"/>
    <w:rsid w:val="00F61465"/>
    <w:rsid w:val="00F8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4B58"/>
  <w15:chartTrackingRefBased/>
  <w15:docId w15:val="{E389F661-0FC6-48E9-9D05-48AFD7DE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75E8"/>
    <w:pPr>
      <w:spacing w:after="160"/>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6475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unhideWhenUsed/>
    <w:qFormat/>
    <w:rsid w:val="006475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6475E8"/>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6475E8"/>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6475E8"/>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6475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75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475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75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75E8"/>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rsid w:val="006475E8"/>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6475E8"/>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6475E8"/>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6475E8"/>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6475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75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475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75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47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75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75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75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75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75E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75E8"/>
    <w:pPr>
      <w:ind w:left="720"/>
      <w:contextualSpacing/>
    </w:pPr>
  </w:style>
  <w:style w:type="character" w:styleId="Rykuspabraukimas">
    <w:name w:val="Intense Emphasis"/>
    <w:basedOn w:val="Numatytasispastraiposriftas"/>
    <w:uiPriority w:val="21"/>
    <w:qFormat/>
    <w:rsid w:val="006475E8"/>
    <w:rPr>
      <w:i/>
      <w:iCs/>
      <w:color w:val="365F91" w:themeColor="accent1" w:themeShade="BF"/>
    </w:rPr>
  </w:style>
  <w:style w:type="paragraph" w:styleId="Iskirtacitata">
    <w:name w:val="Intense Quote"/>
    <w:basedOn w:val="prastasis"/>
    <w:next w:val="prastasis"/>
    <w:link w:val="IskirtacitataDiagrama"/>
    <w:uiPriority w:val="30"/>
    <w:qFormat/>
    <w:rsid w:val="006475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6475E8"/>
    <w:rPr>
      <w:i/>
      <w:iCs/>
      <w:color w:val="365F91" w:themeColor="accent1" w:themeShade="BF"/>
    </w:rPr>
  </w:style>
  <w:style w:type="character" w:styleId="Rykinuoroda">
    <w:name w:val="Intense Reference"/>
    <w:basedOn w:val="Numatytasispastraiposriftas"/>
    <w:uiPriority w:val="32"/>
    <w:qFormat/>
    <w:rsid w:val="006475E8"/>
    <w:rPr>
      <w:b/>
      <w:bCs/>
      <w:smallCaps/>
      <w:color w:val="365F9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75E8"/>
  </w:style>
  <w:style w:type="paragraph" w:styleId="Porat">
    <w:name w:val="footer"/>
    <w:basedOn w:val="prastasis"/>
    <w:link w:val="PoratDiagrama"/>
    <w:uiPriority w:val="99"/>
    <w:unhideWhenUsed/>
    <w:rsid w:val="006475E8"/>
    <w:pPr>
      <w:tabs>
        <w:tab w:val="center" w:pos="4513"/>
        <w:tab w:val="right" w:pos="9026"/>
      </w:tabs>
    </w:pPr>
  </w:style>
  <w:style w:type="character" w:customStyle="1" w:styleId="PoratDiagrama">
    <w:name w:val="Poraštė Diagrama"/>
    <w:basedOn w:val="Numatytasispastraiposriftas"/>
    <w:link w:val="Porat"/>
    <w:uiPriority w:val="99"/>
    <w:rsid w:val="006475E8"/>
    <w:rPr>
      <w:rFonts w:eastAsiaTheme="minorEastAsia"/>
      <w:kern w:val="0"/>
      <w:sz w:val="21"/>
      <w:szCs w:val="21"/>
      <w:lang w:val="lt-LT" w:eastAsia="lt-LT"/>
      <w14:ligatures w14:val="none"/>
    </w:rPr>
  </w:style>
  <w:style w:type="paragraph" w:styleId="Betarp">
    <w:name w:val="No Spacing"/>
    <w:link w:val="BetarpDiagrama"/>
    <w:uiPriority w:val="1"/>
    <w:qFormat/>
    <w:rsid w:val="006475E8"/>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6475E8"/>
    <w:rPr>
      <w:rFonts w:eastAsiaTheme="minorEastAsia"/>
      <w:kern w:val="0"/>
      <w:sz w:val="21"/>
      <w:szCs w:val="21"/>
      <w:lang w:val="lt-LT" w:eastAsia="lt-LT"/>
      <w14:ligatures w14:val="none"/>
    </w:rPr>
  </w:style>
  <w:style w:type="table" w:customStyle="1" w:styleId="TableGrid3">
    <w:name w:val="Table Grid3"/>
    <w:basedOn w:val="prastojilentel"/>
    <w:next w:val="Lentelstinklelis"/>
    <w:uiPriority w:val="39"/>
    <w:rsid w:val="006475E8"/>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47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E2817"/>
    <w:rPr>
      <w:sz w:val="16"/>
      <w:szCs w:val="16"/>
    </w:rPr>
  </w:style>
  <w:style w:type="paragraph" w:styleId="Komentarotekstas">
    <w:name w:val="annotation text"/>
    <w:basedOn w:val="prastasis"/>
    <w:link w:val="KomentarotekstasDiagrama"/>
    <w:uiPriority w:val="99"/>
    <w:unhideWhenUsed/>
    <w:rsid w:val="002E28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2817"/>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2E2817"/>
    <w:rPr>
      <w:b/>
      <w:bCs/>
    </w:rPr>
  </w:style>
  <w:style w:type="character" w:customStyle="1" w:styleId="KomentarotemaDiagrama">
    <w:name w:val="Komentaro tema Diagrama"/>
    <w:basedOn w:val="KomentarotekstasDiagrama"/>
    <w:link w:val="Komentarotema"/>
    <w:uiPriority w:val="99"/>
    <w:semiHidden/>
    <w:rsid w:val="002E2817"/>
    <w:rPr>
      <w:rFonts w:eastAsiaTheme="minorEastAsia"/>
      <w:b/>
      <w:bCs/>
      <w:kern w:val="0"/>
      <w:sz w:val="20"/>
      <w:szCs w:val="20"/>
      <w:lang w:val="lt-LT" w:eastAsia="lt-LT"/>
      <w14:ligatures w14:val="none"/>
    </w:rPr>
  </w:style>
  <w:style w:type="paragraph" w:styleId="Antrats">
    <w:name w:val="header"/>
    <w:basedOn w:val="prastasis"/>
    <w:link w:val="AntratsDiagrama"/>
    <w:uiPriority w:val="99"/>
    <w:unhideWhenUsed/>
    <w:rsid w:val="001436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36EB"/>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C553639C74224A36BC9B4BC926E51"/>
        <w:category>
          <w:name w:val="Bendrosios nuostatos"/>
          <w:gallery w:val="placeholder"/>
        </w:category>
        <w:types>
          <w:type w:val="bbPlcHdr"/>
        </w:types>
        <w:behaviors>
          <w:behavior w:val="content"/>
        </w:behaviors>
        <w:guid w:val="{53E120F7-97D9-49A6-A99F-A6230AE8EE53}"/>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5C"/>
    <w:rsid w:val="0080145C"/>
    <w:rsid w:val="00B24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1817</Words>
  <Characters>1036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Aistė Bagdonaitė-Česnienė</cp:lastModifiedBy>
  <cp:revision>2</cp:revision>
  <dcterms:created xsi:type="dcterms:W3CDTF">2025-04-13T13:37:00Z</dcterms:created>
  <dcterms:modified xsi:type="dcterms:W3CDTF">2025-04-13T13:37:00Z</dcterms:modified>
</cp:coreProperties>
</file>