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6AD7D" w14:textId="3B7E0DDD" w:rsidR="007A0B09" w:rsidRPr="00284137" w:rsidRDefault="007A0B09" w:rsidP="007A0B09">
      <w:pPr>
        <w:jc w:val="center"/>
        <w:rPr>
          <w:b/>
        </w:rPr>
      </w:pPr>
      <w:r w:rsidRPr="00284137">
        <w:rPr>
          <w:b/>
        </w:rPr>
        <w:t xml:space="preserve">KLAIPĖDOS UNIVERSITETO LIGONINĖS (KUL)  INFORMACINĖS SISTEMOS (HIS) </w:t>
      </w:r>
    </w:p>
    <w:p w14:paraId="5A18CFB1" w14:textId="47D2D344" w:rsidR="007A0B09" w:rsidRPr="00284137" w:rsidRDefault="007A0B09" w:rsidP="007A0B09">
      <w:pPr>
        <w:jc w:val="center"/>
        <w:rPr>
          <w:b/>
        </w:rPr>
      </w:pPr>
      <w:r w:rsidRPr="00284137">
        <w:rPr>
          <w:b/>
        </w:rPr>
        <w:t>MODERNIZAVIMO IR PLĖTROS PASLAUGŲ PIRKIMAS</w:t>
      </w:r>
    </w:p>
    <w:p w14:paraId="718F42A5" w14:textId="77777777" w:rsidR="007A0B09" w:rsidRPr="00284137" w:rsidRDefault="007A0B09" w:rsidP="007A0B09">
      <w:pPr>
        <w:jc w:val="center"/>
        <w:rPr>
          <w:b/>
        </w:rPr>
      </w:pPr>
    </w:p>
    <w:p w14:paraId="6BF1F517" w14:textId="02853999" w:rsidR="00091ABC" w:rsidRPr="00284137" w:rsidRDefault="007A0B09" w:rsidP="00091ABC">
      <w:pPr>
        <w:jc w:val="center"/>
        <w:rPr>
          <w:b/>
        </w:rPr>
      </w:pPr>
      <w:r w:rsidRPr="00284137">
        <w:rPr>
          <w:b/>
        </w:rPr>
        <w:t xml:space="preserve">RINKOS KONSULTACIJOS </w:t>
      </w:r>
      <w:r w:rsidR="00091ABC" w:rsidRPr="00284137">
        <w:rPr>
          <w:b/>
        </w:rPr>
        <w:t>DERINIMO PAŽYMA</w:t>
      </w:r>
    </w:p>
    <w:p w14:paraId="4DE2DE69" w14:textId="77777777" w:rsidR="00091ABC" w:rsidRPr="00284137" w:rsidRDefault="00091ABC" w:rsidP="00285A18">
      <w:pPr>
        <w:jc w:val="center"/>
      </w:pPr>
    </w:p>
    <w:p w14:paraId="05520FA3" w14:textId="1DB90D35" w:rsidR="009531D6" w:rsidRPr="00284137" w:rsidRDefault="009531D6" w:rsidP="00285A18">
      <w:pPr>
        <w:jc w:val="center"/>
      </w:pPr>
      <w:r w:rsidRPr="00284137">
        <w:t>202</w:t>
      </w:r>
      <w:r w:rsidR="00DC4EFE" w:rsidRPr="00284137">
        <w:t>5</w:t>
      </w:r>
      <w:r w:rsidRPr="00284137">
        <w:t xml:space="preserve"> m. </w:t>
      </w:r>
      <w:r w:rsidR="00DC4EFE" w:rsidRPr="00284137">
        <w:t>vasario 27</w:t>
      </w:r>
      <w:r w:rsidRPr="00284137">
        <w:t xml:space="preserve"> d.</w:t>
      </w:r>
    </w:p>
    <w:p w14:paraId="382E97AA" w14:textId="77777777" w:rsidR="009531D6" w:rsidRPr="00284137" w:rsidRDefault="009531D6" w:rsidP="00285A18">
      <w:pPr>
        <w:jc w:val="cente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7399"/>
        <w:gridCol w:w="7088"/>
      </w:tblGrid>
      <w:tr w:rsidR="00284137" w:rsidRPr="00284137" w14:paraId="41F759B1" w14:textId="77777777" w:rsidTr="00C334BF">
        <w:trPr>
          <w:trHeight w:val="20"/>
          <w:tblHeader/>
        </w:trPr>
        <w:tc>
          <w:tcPr>
            <w:tcW w:w="676" w:type="dxa"/>
            <w:tcBorders>
              <w:top w:val="single" w:sz="4" w:space="0" w:color="auto"/>
              <w:left w:val="single" w:sz="4" w:space="0" w:color="auto"/>
              <w:bottom w:val="single" w:sz="4" w:space="0" w:color="auto"/>
              <w:right w:val="single" w:sz="4" w:space="0" w:color="auto"/>
            </w:tcBorders>
            <w:vAlign w:val="center"/>
            <w:hideMark/>
          </w:tcPr>
          <w:p w14:paraId="6E7D181E" w14:textId="77777777" w:rsidR="00284137" w:rsidRPr="00284137" w:rsidRDefault="00284137" w:rsidP="00284137">
            <w:pPr>
              <w:jc w:val="center"/>
              <w:rPr>
                <w:b/>
                <w:sz w:val="22"/>
                <w:szCs w:val="22"/>
              </w:rPr>
            </w:pPr>
            <w:bookmarkStart w:id="0" w:name="_Hlk11941645"/>
            <w:r w:rsidRPr="00284137">
              <w:rPr>
                <w:b/>
                <w:sz w:val="22"/>
                <w:szCs w:val="22"/>
              </w:rPr>
              <w:t>Eil. Nr.</w:t>
            </w:r>
          </w:p>
        </w:tc>
        <w:tc>
          <w:tcPr>
            <w:tcW w:w="7399" w:type="dxa"/>
            <w:tcBorders>
              <w:top w:val="single" w:sz="4" w:space="0" w:color="auto"/>
              <w:left w:val="single" w:sz="4" w:space="0" w:color="auto"/>
              <w:bottom w:val="single" w:sz="4" w:space="0" w:color="auto"/>
              <w:right w:val="single" w:sz="4" w:space="0" w:color="auto"/>
            </w:tcBorders>
            <w:vAlign w:val="center"/>
            <w:hideMark/>
          </w:tcPr>
          <w:p w14:paraId="082800F5" w14:textId="77777777" w:rsidR="00284137" w:rsidRPr="00284137" w:rsidRDefault="00284137" w:rsidP="00284137">
            <w:pPr>
              <w:jc w:val="center"/>
              <w:rPr>
                <w:b/>
                <w:sz w:val="22"/>
                <w:szCs w:val="22"/>
              </w:rPr>
            </w:pPr>
            <w:r w:rsidRPr="00284137">
              <w:rPr>
                <w:b/>
                <w:sz w:val="22"/>
                <w:szCs w:val="22"/>
              </w:rPr>
              <w:t>Pastabų, pasiūlymų turinys</w:t>
            </w:r>
          </w:p>
        </w:tc>
        <w:tc>
          <w:tcPr>
            <w:tcW w:w="7088" w:type="dxa"/>
            <w:tcBorders>
              <w:top w:val="single" w:sz="4" w:space="0" w:color="auto"/>
              <w:left w:val="single" w:sz="4" w:space="0" w:color="auto"/>
              <w:bottom w:val="single" w:sz="4" w:space="0" w:color="auto"/>
              <w:right w:val="single" w:sz="4" w:space="0" w:color="auto"/>
            </w:tcBorders>
            <w:vAlign w:val="center"/>
            <w:hideMark/>
          </w:tcPr>
          <w:p w14:paraId="01B96F81" w14:textId="77777777" w:rsidR="00284137" w:rsidRPr="00284137" w:rsidRDefault="00284137" w:rsidP="00284137">
            <w:pPr>
              <w:ind w:left="-108"/>
              <w:jc w:val="center"/>
              <w:rPr>
                <w:b/>
                <w:sz w:val="22"/>
                <w:szCs w:val="22"/>
              </w:rPr>
            </w:pPr>
            <w:r w:rsidRPr="00284137">
              <w:rPr>
                <w:b/>
                <w:sz w:val="22"/>
                <w:szCs w:val="22"/>
              </w:rPr>
              <w:t>Pastabų, pasiūlymų įvertinimas</w:t>
            </w:r>
          </w:p>
        </w:tc>
        <w:bookmarkEnd w:id="0"/>
      </w:tr>
      <w:tr w:rsidR="00284137" w:rsidRPr="00284137" w14:paraId="6DC78E61" w14:textId="77777777" w:rsidTr="00C334BF">
        <w:trPr>
          <w:trHeight w:val="20"/>
        </w:trPr>
        <w:tc>
          <w:tcPr>
            <w:tcW w:w="676" w:type="dxa"/>
            <w:vMerge w:val="restart"/>
            <w:tcBorders>
              <w:top w:val="single" w:sz="4" w:space="0" w:color="auto"/>
              <w:left w:val="single" w:sz="4" w:space="0" w:color="auto"/>
              <w:right w:val="single" w:sz="4" w:space="0" w:color="auto"/>
            </w:tcBorders>
            <w:shd w:val="clear" w:color="auto" w:fill="FFFFFF" w:themeFill="background1"/>
          </w:tcPr>
          <w:p w14:paraId="54A432C4" w14:textId="77777777" w:rsidR="00284137" w:rsidRPr="00284137" w:rsidRDefault="00284137" w:rsidP="00284137">
            <w:pPr>
              <w:jc w:val="center"/>
              <w:rPr>
                <w:bCs/>
                <w:sz w:val="22"/>
                <w:szCs w:val="22"/>
              </w:rPr>
            </w:pPr>
            <w:r w:rsidRPr="00284137">
              <w:rPr>
                <w:bCs/>
                <w:sz w:val="22"/>
                <w:szCs w:val="22"/>
              </w:rPr>
              <w:t>1.</w:t>
            </w:r>
          </w:p>
          <w:p w14:paraId="5A00DB80" w14:textId="5985EEC2" w:rsidR="00284137" w:rsidRPr="00284137" w:rsidRDefault="00284137" w:rsidP="00284137">
            <w:pPr>
              <w:rPr>
                <w:bCs/>
                <w:sz w:val="22"/>
                <w:szCs w:val="22"/>
              </w:rPr>
            </w:pPr>
          </w:p>
        </w:tc>
        <w:tc>
          <w:tcPr>
            <w:tcW w:w="73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A7BBC9" w14:textId="77777777" w:rsidR="00284137" w:rsidRPr="00284137" w:rsidRDefault="00284137" w:rsidP="00284137">
            <w:pPr>
              <w:pStyle w:val="Default"/>
              <w:jc w:val="both"/>
              <w:rPr>
                <w:sz w:val="22"/>
                <w:szCs w:val="22"/>
              </w:rPr>
            </w:pPr>
            <w:r w:rsidRPr="00284137">
              <w:rPr>
                <w:sz w:val="22"/>
                <w:szCs w:val="22"/>
              </w:rPr>
              <w:t xml:space="preserve">Techninės specifikacijos projekte (toliau – TS) pirkimo objektas aprašomas įvairiomis ir turinio prasme netapačiomis sąvokomis: „IS modernizavimas ir plėtra“, „IS sukūrimas“ ir pan. Dėl to kyla neaiškumas, koks yra pirkimo tikslas ir sutarties veiklos. Siūlome TS patikslinti ir numatyti, kad Perkančioji organizacija (toliau – PO) siekia įsigyti visiškai naujos IS sukūrimą arba įsigyti jau veikiančią ir kitose Lietuvos gydymo įstaigose naudojamą IS, ją modernizuojant ir/ar papildant naujais funkcionalumais tokioje apimtyje, kuri yra nurodyta TS 7 skyriuje – „Funkcinių reikalavimų aprašas“. Toks pirkimo objekto „išgryninimas“ leistų potencialiems tiekėjams geriau įvertinti darbų apimtis bei padidintų konkurenciją, nes galėtų dalyvauti tiek šalies rinkoje jau veikiantys IS tiekėjai, tiek ir tiekėjai, turintys analogiškų IS diegimo patirties kituose ūkio sektoriuose ar kitose šalyse. PO, savo ruožtu, galėtų geriau valdyti numatomas darbų apimtis bei darbų atlikimo terminus ir iš to kylančias rizikas. Tuo tikslu reiktų: </w:t>
            </w:r>
          </w:p>
          <w:p w14:paraId="319A8FDE" w14:textId="7F238E86" w:rsidR="00284137" w:rsidRPr="00284137" w:rsidRDefault="00284137" w:rsidP="00C334BF">
            <w:pPr>
              <w:pStyle w:val="Default"/>
              <w:numPr>
                <w:ilvl w:val="0"/>
                <w:numId w:val="6"/>
              </w:numPr>
              <w:ind w:left="340" w:hanging="283"/>
              <w:jc w:val="both"/>
              <w:rPr>
                <w:sz w:val="22"/>
                <w:szCs w:val="22"/>
              </w:rPr>
            </w:pPr>
            <w:r w:rsidRPr="00284137">
              <w:rPr>
                <w:sz w:val="22"/>
                <w:szCs w:val="22"/>
              </w:rPr>
              <w:t>patikslinti TS 2 skyrių „Pirkimo tikslas ir sutarties veiklos“ ir nurodyti, kad potencialūs tiekėjai gali teikti siūlymus tiek sukurti naują IS, tiek siūlyti įdiegti kitose LNSS įstaigose, kurių teikiamų paslaugų apimtys sudaro ne mažiau kaip 30 procentų PO teikiamų sveikatos priežiūros paslaugų (ambulatoriniai apsilankymai ir stacionarinio gydymo atvejai) apimčių.</w:t>
            </w:r>
          </w:p>
          <w:p w14:paraId="71545ACF" w14:textId="4F89C622" w:rsidR="00284137" w:rsidRPr="00284137" w:rsidRDefault="00284137" w:rsidP="00C334BF">
            <w:pPr>
              <w:pStyle w:val="Default"/>
              <w:numPr>
                <w:ilvl w:val="0"/>
                <w:numId w:val="6"/>
              </w:numPr>
              <w:ind w:left="340" w:hanging="283"/>
              <w:jc w:val="both"/>
              <w:rPr>
                <w:sz w:val="22"/>
                <w:szCs w:val="22"/>
              </w:rPr>
            </w:pPr>
            <w:r w:rsidRPr="00284137">
              <w:rPr>
                <w:sz w:val="22"/>
                <w:szCs w:val="22"/>
              </w:rPr>
              <w:t>patikslinti TS 8 skyrių „Nefunkciniai reikalavimai“ esamą redakciją, numatant, kad naujai kuriamai IS (įskaitant Lietuvos specifikai adaptuojamą kitose šalyse naudojamą IS) arba tik naujai kuriamiems IS funkcionalumams (kai diegėjas siūlo kitose šalies gydymo įstaigose jau naudojamą IS) taikomi esamos 8 skyriaus redakcijos reikalavimai;</w:t>
            </w:r>
          </w:p>
          <w:p w14:paraId="689DF265" w14:textId="0F7DDA08" w:rsidR="00284137" w:rsidRPr="00284137" w:rsidRDefault="00284137" w:rsidP="00C334BF">
            <w:pPr>
              <w:pStyle w:val="Default"/>
              <w:numPr>
                <w:ilvl w:val="0"/>
                <w:numId w:val="6"/>
              </w:numPr>
              <w:ind w:left="340" w:hanging="283"/>
              <w:jc w:val="both"/>
              <w:rPr>
                <w:bCs/>
                <w:sz w:val="22"/>
                <w:szCs w:val="22"/>
              </w:rPr>
            </w:pPr>
            <w:r w:rsidRPr="00284137">
              <w:rPr>
                <w:sz w:val="22"/>
                <w:szCs w:val="22"/>
              </w:rPr>
              <w:t xml:space="preserve">Papildyti TS nauju – 9 skyriumi (arba išplėsti esamą 8 skyrių), nurodant, kad diegiant kitose LNSS įstaigose naudojamą IS, netaikomi reikalavimai atlikti detalią poreikių analizę ir projektavimą bei parengti ir su PO suderinti atitinkamus šio etapo dokumentus. Praleidus šį etapą, galėtų būti iš karto atliekamas esamų funkcionalumų demonstravimas ir įvertinimas, kokioje </w:t>
            </w:r>
            <w:r w:rsidRPr="00284137">
              <w:rPr>
                <w:sz w:val="22"/>
                <w:szCs w:val="22"/>
              </w:rPr>
              <w:lastRenderedPageBreak/>
              <w:t>apimtyje reikia modernizuoti esamus funkcionalumus, kad jie atitiktų PO TS nurodytus funkcinius reikalavimus.</w:t>
            </w:r>
          </w:p>
        </w:tc>
        <w:tc>
          <w:tcPr>
            <w:tcW w:w="7088" w:type="dxa"/>
            <w:tcBorders>
              <w:top w:val="single" w:sz="4" w:space="0" w:color="auto"/>
              <w:left w:val="single" w:sz="4" w:space="0" w:color="auto"/>
              <w:bottom w:val="single" w:sz="4" w:space="0" w:color="auto"/>
              <w:right w:val="single" w:sz="4" w:space="0" w:color="auto"/>
            </w:tcBorders>
            <w:shd w:val="clear" w:color="auto" w:fill="FFFFFF" w:themeFill="background1"/>
          </w:tcPr>
          <w:p w14:paraId="35CC0CFC" w14:textId="57873678" w:rsidR="00284137" w:rsidRPr="00284137" w:rsidRDefault="00284137" w:rsidP="00284137">
            <w:pPr>
              <w:pStyle w:val="Sraopastraipa"/>
              <w:numPr>
                <w:ilvl w:val="0"/>
                <w:numId w:val="9"/>
              </w:numPr>
              <w:jc w:val="both"/>
              <w:rPr>
                <w:bCs/>
                <w:sz w:val="22"/>
                <w:szCs w:val="22"/>
              </w:rPr>
            </w:pPr>
            <w:r w:rsidRPr="00284137">
              <w:rPr>
                <w:bCs/>
                <w:sz w:val="22"/>
                <w:szCs w:val="22"/>
              </w:rPr>
              <w:lastRenderedPageBreak/>
              <w:t xml:space="preserve">Perkančiosios organizacijos tikslas - įsigyti techninėje specifikacijoje keliamus reikalavimus atitinkančią informacinę sistemą, kurią galėtų pradėti eksploatuoti savo veikloje techninėje specifikacijoje nustatytais terminais. KUL nėra svarbu, ar bus modernizuota kuri nors šiuo metu  eksploatuojama sistema, ar sukurta / modifikuota bei įdiegta nauja sistema. Nepaisant to, pažymėtina, kad </w:t>
            </w:r>
            <w:r w:rsidRPr="00284137">
              <w:rPr>
                <w:b/>
                <w:sz w:val="22"/>
                <w:szCs w:val="22"/>
                <w:u w:val="single"/>
              </w:rPr>
              <w:t>Tiekėjai, kaip atsakingi ūkio subjektai, turi įsivertinti galimybes laiku ir tinkamai suteikti pirkimo sąlygose ir techninėje specifikacijoje keliamus reikalavimus atitinkančias paslaugas.</w:t>
            </w:r>
            <w:r w:rsidRPr="00284137">
              <w:rPr>
                <w:bCs/>
                <w:sz w:val="22"/>
                <w:szCs w:val="22"/>
              </w:rPr>
              <w:t xml:space="preserve"> Patikslinta techninė specifikacija papildant pastaba. </w:t>
            </w:r>
          </w:p>
          <w:p w14:paraId="6411A279" w14:textId="77777777" w:rsidR="00284137" w:rsidRPr="00284137" w:rsidRDefault="00284137" w:rsidP="00284137">
            <w:pPr>
              <w:pStyle w:val="Sraopastraipa"/>
              <w:numPr>
                <w:ilvl w:val="0"/>
                <w:numId w:val="9"/>
              </w:numPr>
              <w:jc w:val="both"/>
              <w:rPr>
                <w:bCs/>
                <w:sz w:val="22"/>
                <w:szCs w:val="22"/>
              </w:rPr>
            </w:pPr>
            <w:r w:rsidRPr="00284137">
              <w:rPr>
                <w:bCs/>
                <w:sz w:val="22"/>
                <w:szCs w:val="22"/>
              </w:rPr>
              <w:t>Techninės specifikacijos 8 skyriaus visi nefunkciniai reikalavimai yra taikomi visam KUL HIS sprendimui, nepaisant ar jis kuriamas naujai, modernizuojamas, pritaikomas ar pan.</w:t>
            </w:r>
          </w:p>
          <w:p w14:paraId="0E6903E8" w14:textId="5A5C9BAE" w:rsidR="00284137" w:rsidRPr="00284137" w:rsidRDefault="00284137" w:rsidP="00284137">
            <w:pPr>
              <w:pStyle w:val="Sraopastraipa"/>
              <w:numPr>
                <w:ilvl w:val="0"/>
                <w:numId w:val="9"/>
              </w:numPr>
              <w:jc w:val="both"/>
              <w:rPr>
                <w:bCs/>
                <w:sz w:val="22"/>
                <w:szCs w:val="22"/>
              </w:rPr>
            </w:pPr>
            <w:r w:rsidRPr="00284137">
              <w:rPr>
                <w:bCs/>
                <w:sz w:val="22"/>
                <w:szCs w:val="22"/>
              </w:rPr>
              <w:t>Analizės ir projektavimo etapai turi būti vykdomi KUL HIS, kaip objektui, o ne kiekvienai LNSS. Turės būti pateikti rezultatai, kurie numatyti analizės etape ir projektavimo etape, nepaisant kiek ir kokių įstaigų naudos KUL HIS.</w:t>
            </w:r>
          </w:p>
        </w:tc>
      </w:tr>
      <w:tr w:rsidR="00284137" w:rsidRPr="00284137" w14:paraId="6F8002F6" w14:textId="77777777" w:rsidTr="00C334BF">
        <w:trPr>
          <w:trHeight w:val="20"/>
        </w:trPr>
        <w:tc>
          <w:tcPr>
            <w:tcW w:w="676" w:type="dxa"/>
            <w:vMerge/>
            <w:tcBorders>
              <w:left w:val="single" w:sz="4" w:space="0" w:color="auto"/>
              <w:right w:val="single" w:sz="4" w:space="0" w:color="auto"/>
            </w:tcBorders>
            <w:shd w:val="clear" w:color="auto" w:fill="FFFFFF" w:themeFill="background1"/>
          </w:tcPr>
          <w:p w14:paraId="02724F5A" w14:textId="22526340" w:rsidR="00284137" w:rsidRPr="00284137" w:rsidRDefault="00284137" w:rsidP="00284137">
            <w:pPr>
              <w:jc w:val="center"/>
              <w:rPr>
                <w:bCs/>
                <w:sz w:val="22"/>
                <w:szCs w:val="22"/>
              </w:rPr>
            </w:pPr>
          </w:p>
        </w:tc>
        <w:tc>
          <w:tcPr>
            <w:tcW w:w="73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A176F6" w14:textId="40979008" w:rsidR="00284137" w:rsidRPr="00284137" w:rsidRDefault="00284137" w:rsidP="00284137">
            <w:pPr>
              <w:jc w:val="both"/>
              <w:rPr>
                <w:bCs/>
                <w:sz w:val="22"/>
                <w:szCs w:val="22"/>
              </w:rPr>
            </w:pPr>
            <w:r w:rsidRPr="00284137">
              <w:rPr>
                <w:bCs/>
                <w:sz w:val="22"/>
                <w:szCs w:val="22"/>
              </w:rPr>
              <w:t xml:space="preserve">TS 7 skyriuje pateiktas Funkcinių reikalavimų aprašas. Norime pažymėti, kad aprašant konkretaus IS modulio / komponento realizavimą TS dažnai aprašoma ne tik kokias funkcijas turi leisti atlikti aptariamas IS modulis, bet ir labai smulkiai nurodoma, kaip tos funkcijos turi būti realizuotos, pavyzdžiui, pateikiami duomenų rinkiniai ir net jų pateikimo formos. Mūsų turima sveikatos priežiūros veiklai skirtų IS kūrimo ir plėtojimo patirtis rodo, kad detalios analizės ir galutinių sprendimų derinimo su naudotojais etape neretai paaiškėja, kad naudotojų pageidaujamo funkcionalumo realizavimo būdas ir forma neatitinka smulkmeniškų TS reikalavimų. Toks neatitikimas labai apsunkina tiek diegėjo, tiek PO situaciją, nes vykdant sutartį negalima nukrypti nuo TS, tačiau TS reikalavimai neatitinka naudotojų poreikių. Pavyzdžiui, TS 154.1 papunktyje yra pateiktas reikalavimas nurodyti „pacientų amžių, kuriame esant galima skiepyti“. Tačiau tą patį rezultatą - tinkamai informuoti naudotoją apie tai, ar galima skiepyti konkretų pacientą konkrečia vakcina - galima įgyvendinti ir kitais būdais, pvz, pateikiant ne amžių pilnais metais, o priklausomumą amžiaus intervalams arba pateikiant tik požymį Galima/Negalima arba laiko intervalą, nuo kada iki kada galima skiepyti ir pan.. Atsižvelgiant į tai, siūlome papildyti 8.1 poskyrį nauju punktu, jį išdėstant šia redakcija: </w:t>
            </w:r>
            <w:r w:rsidRPr="00284137">
              <w:rPr>
                <w:b/>
                <w:i/>
                <w:iCs/>
                <w:sz w:val="22"/>
                <w:szCs w:val="22"/>
              </w:rPr>
              <w:t>&lt;479</w:t>
            </w:r>
            <w:r w:rsidRPr="00284137">
              <w:rPr>
                <w:b/>
                <w:i/>
                <w:iCs/>
                <w:sz w:val="22"/>
                <w:szCs w:val="22"/>
                <w:vertAlign w:val="superscript"/>
              </w:rPr>
              <w:t>1</w:t>
            </w:r>
            <w:r w:rsidRPr="00284137">
              <w:rPr>
                <w:b/>
                <w:i/>
                <w:iCs/>
                <w:sz w:val="22"/>
                <w:szCs w:val="22"/>
              </w:rPr>
              <w:t>. Funkciniai reikalavimuose nurodyti duomenų rinkiniai bei jų atvaizdavimo ir redagavimo būdai ir formos gali būti keičiami, jei detalios analizės ir / ar demonstracijos metu paaiškėja, kad tokie pokyčiai leidžia efektyviau užtikrinti Perkančiosios organizacijos poreikius.&gt; .</w:t>
            </w:r>
          </w:p>
        </w:tc>
        <w:tc>
          <w:tcPr>
            <w:tcW w:w="7088" w:type="dxa"/>
            <w:tcBorders>
              <w:top w:val="single" w:sz="4" w:space="0" w:color="auto"/>
              <w:left w:val="single" w:sz="4" w:space="0" w:color="auto"/>
              <w:bottom w:val="single" w:sz="4" w:space="0" w:color="auto"/>
              <w:right w:val="single" w:sz="4" w:space="0" w:color="auto"/>
            </w:tcBorders>
            <w:shd w:val="clear" w:color="auto" w:fill="FFFFFF" w:themeFill="background1"/>
          </w:tcPr>
          <w:p w14:paraId="4D4F1493" w14:textId="1E9E1BD9" w:rsidR="00284137" w:rsidRPr="00284137" w:rsidRDefault="00284137" w:rsidP="00284137">
            <w:pPr>
              <w:jc w:val="both"/>
              <w:rPr>
                <w:bCs/>
                <w:sz w:val="22"/>
                <w:szCs w:val="22"/>
              </w:rPr>
            </w:pPr>
            <w:r w:rsidRPr="00284137">
              <w:rPr>
                <w:bCs/>
                <w:sz w:val="22"/>
                <w:szCs w:val="22"/>
              </w:rPr>
              <w:t>Atsižvelgta. 8.1 skyrius papildytas nauju punktu taip:</w:t>
            </w:r>
          </w:p>
          <w:p w14:paraId="055D833A" w14:textId="5F1E4CC2" w:rsidR="00284137" w:rsidRPr="00284137" w:rsidRDefault="00284137" w:rsidP="00284137">
            <w:pPr>
              <w:jc w:val="both"/>
              <w:rPr>
                <w:b/>
                <w:sz w:val="22"/>
                <w:szCs w:val="22"/>
              </w:rPr>
            </w:pPr>
            <w:r w:rsidRPr="00284137">
              <w:rPr>
                <w:bCs/>
                <w:sz w:val="22"/>
                <w:szCs w:val="22"/>
              </w:rPr>
              <w:t>“Funkciniai reikalavimuose nurodyti duomenų rinkiniai bei jų atvaizdavimo ir redagavimo būdai ir formos gali būti keičiami, jei detalios analizės ir / ar demonstracijos metu tokie pokyčiai arba siūlomi realizacijos būdai suderinami su Perkančiąja organizacija ir tokie pokyčiai leidžia efektyviau užtikrinti Perkančiosios organizacijos poreikius.”.</w:t>
            </w:r>
          </w:p>
        </w:tc>
      </w:tr>
      <w:tr w:rsidR="00284137" w:rsidRPr="00284137" w14:paraId="4FB317C7" w14:textId="77777777" w:rsidTr="00C334BF">
        <w:trPr>
          <w:trHeight w:val="20"/>
        </w:trPr>
        <w:tc>
          <w:tcPr>
            <w:tcW w:w="676" w:type="dxa"/>
            <w:vMerge/>
            <w:tcBorders>
              <w:left w:val="single" w:sz="4" w:space="0" w:color="auto"/>
              <w:right w:val="single" w:sz="4" w:space="0" w:color="auto"/>
            </w:tcBorders>
            <w:shd w:val="clear" w:color="auto" w:fill="FFFFFF" w:themeFill="background1"/>
          </w:tcPr>
          <w:p w14:paraId="49102986" w14:textId="4F6C7E6E" w:rsidR="00284137" w:rsidRPr="00284137" w:rsidRDefault="00284137" w:rsidP="00284137">
            <w:pPr>
              <w:jc w:val="center"/>
              <w:rPr>
                <w:bCs/>
                <w:sz w:val="22"/>
                <w:szCs w:val="22"/>
              </w:rPr>
            </w:pPr>
          </w:p>
        </w:tc>
        <w:tc>
          <w:tcPr>
            <w:tcW w:w="73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DC83F5" w14:textId="48D24698" w:rsidR="00284137" w:rsidRPr="00284137" w:rsidRDefault="00284137" w:rsidP="00284137">
            <w:pPr>
              <w:jc w:val="both"/>
              <w:rPr>
                <w:bCs/>
                <w:sz w:val="22"/>
                <w:szCs w:val="22"/>
              </w:rPr>
            </w:pPr>
            <w:r w:rsidRPr="00284137">
              <w:rPr>
                <w:bCs/>
                <w:sz w:val="22"/>
                <w:szCs w:val="22"/>
              </w:rPr>
              <w:t xml:space="preserve">TS 494 punkte nurodyta, kad Diegėjas </w:t>
            </w:r>
            <w:r w:rsidRPr="00284137">
              <w:rPr>
                <w:bCs/>
                <w:i/>
                <w:iCs/>
                <w:sz w:val="22"/>
                <w:szCs w:val="22"/>
              </w:rPr>
              <w:t>&lt;... turi užtikrinti, kad KUL HIS prieinamumas būtų ne mažesnis nei 99% laiko visą parą.</w:t>
            </w:r>
            <w:r w:rsidRPr="00284137">
              <w:rPr>
                <w:bCs/>
                <w:sz w:val="22"/>
                <w:szCs w:val="22"/>
              </w:rPr>
              <w:t xml:space="preserve">&gt; Norime atkreipti dėmesį, kad pasirinktas prieinamumo matavimo intervalas yra pernelyg trumpas. Leistini iki 1 proc. paros trukmės prieinamumo sutrikimai sudaro tik 14,4 minučių. Taigi, akivaizdu, kad toks reikalavimas negalės būti užtikrintas ne tik absoliučia dauguma programinės įrangos gedimų atvejų (neįmanoma per 14 min. užregistruoti problemą, nustatyti jos atsiradimo priežastis bei jas pašalinti), bet labai dažnai net ir atliekant planinę priežiūrą (pavyzdžiui, diegiant naujas programinės įrangos versijas). Dėl šių priežasčių siūlytume taikyti ne paros, o metų intervalą arba nustatyti ženkliai mažesnį procentinės išraiškos rodiklį, pavyzdžiui, 90 procentų, kas sudarytų 2,4 val. per parą. Taip pat norime atkreipti dėmesį, kad IS prieinamumas priklauso nuo naudojamos infrastruktūros </w:t>
            </w:r>
            <w:r w:rsidRPr="00284137">
              <w:rPr>
                <w:bCs/>
                <w:sz w:val="22"/>
                <w:szCs w:val="22"/>
              </w:rPr>
              <w:lastRenderedPageBreak/>
              <w:t>prieinamumo ir programinės įrangos prieinamumas visada bus mažesnis nei naudojamas infrastruktūros prieinamumas.</w:t>
            </w:r>
          </w:p>
        </w:tc>
        <w:tc>
          <w:tcPr>
            <w:tcW w:w="7088" w:type="dxa"/>
            <w:tcBorders>
              <w:top w:val="single" w:sz="4" w:space="0" w:color="auto"/>
              <w:left w:val="single" w:sz="4" w:space="0" w:color="auto"/>
              <w:bottom w:val="single" w:sz="4" w:space="0" w:color="auto"/>
              <w:right w:val="single" w:sz="4" w:space="0" w:color="auto"/>
            </w:tcBorders>
            <w:shd w:val="clear" w:color="auto" w:fill="FFFFFF" w:themeFill="background1"/>
          </w:tcPr>
          <w:p w14:paraId="5376AFF7" w14:textId="77777777" w:rsidR="00284137" w:rsidRPr="00284137" w:rsidRDefault="00284137" w:rsidP="00284137">
            <w:pPr>
              <w:jc w:val="both"/>
              <w:rPr>
                <w:sz w:val="22"/>
                <w:szCs w:val="22"/>
              </w:rPr>
            </w:pPr>
            <w:r w:rsidRPr="00284137">
              <w:rPr>
                <w:sz w:val="22"/>
                <w:szCs w:val="22"/>
              </w:rPr>
              <w:lastRenderedPageBreak/>
              <w:t>Reikalavimas pakoreguotas procentinę išraišką taikant ne parai, o metams.</w:t>
            </w:r>
          </w:p>
          <w:p w14:paraId="5BBF29CA" w14:textId="46AB1A6F" w:rsidR="00284137" w:rsidRPr="00284137" w:rsidRDefault="00284137" w:rsidP="00284137">
            <w:pPr>
              <w:jc w:val="both"/>
              <w:rPr>
                <w:bCs/>
                <w:sz w:val="22"/>
                <w:szCs w:val="22"/>
              </w:rPr>
            </w:pPr>
            <w:r w:rsidRPr="00284137">
              <w:rPr>
                <w:sz w:val="22"/>
                <w:szCs w:val="22"/>
                <w:highlight w:val="cyan"/>
              </w:rPr>
              <w:t>Reikalavimas nustatytas remiantis Lietuvos Respublikos Vyriausybė</w:t>
            </w:r>
            <w:r w:rsidR="0083137C">
              <w:rPr>
                <w:sz w:val="22"/>
                <w:szCs w:val="22"/>
                <w:highlight w:val="cyan"/>
              </w:rPr>
              <w:t>s</w:t>
            </w:r>
            <w:r w:rsidRPr="00284137">
              <w:rPr>
                <w:sz w:val="22"/>
                <w:szCs w:val="22"/>
                <w:highlight w:val="cyan"/>
              </w:rPr>
              <w:t xml:space="preserve"> 2024 m. lapkričio 6 d. Nr. 945 nutarimu dėl Lietuvos Respublikos Vyriausybės 2018 m. rugpjūčio 13 d. nutarimo Nr. 818 „Dėl Lietuvos Respublikos kibernetinio saugumo įstatymo įgyvendinimo“ pakeitimo penkto skirsnio lentelės Nr. 2 16.2 punktu.</w:t>
            </w:r>
          </w:p>
        </w:tc>
      </w:tr>
      <w:tr w:rsidR="00284137" w:rsidRPr="00284137" w14:paraId="6F970453" w14:textId="77777777" w:rsidTr="00C334BF">
        <w:trPr>
          <w:trHeight w:val="20"/>
        </w:trPr>
        <w:tc>
          <w:tcPr>
            <w:tcW w:w="676" w:type="dxa"/>
            <w:vMerge/>
            <w:tcBorders>
              <w:left w:val="single" w:sz="4" w:space="0" w:color="auto"/>
              <w:right w:val="single" w:sz="4" w:space="0" w:color="auto"/>
            </w:tcBorders>
            <w:shd w:val="clear" w:color="auto" w:fill="FFFFFF" w:themeFill="background1"/>
          </w:tcPr>
          <w:p w14:paraId="057CE5FF" w14:textId="352D2217" w:rsidR="00284137" w:rsidRPr="00284137" w:rsidRDefault="00284137" w:rsidP="00284137">
            <w:pPr>
              <w:jc w:val="center"/>
              <w:rPr>
                <w:bCs/>
                <w:sz w:val="22"/>
                <w:szCs w:val="22"/>
              </w:rPr>
            </w:pPr>
          </w:p>
        </w:tc>
        <w:tc>
          <w:tcPr>
            <w:tcW w:w="73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B47EF4" w14:textId="1CB4CE21" w:rsidR="00284137" w:rsidRPr="00284137" w:rsidRDefault="00284137" w:rsidP="00284137">
            <w:pPr>
              <w:jc w:val="both"/>
              <w:rPr>
                <w:bCs/>
                <w:sz w:val="22"/>
                <w:szCs w:val="22"/>
              </w:rPr>
            </w:pPr>
            <w:r w:rsidRPr="00284137">
              <w:rPr>
                <w:bCs/>
                <w:sz w:val="22"/>
                <w:szCs w:val="22"/>
              </w:rPr>
              <w:t>Siūlome TS 503.2.3. papunktį išdėstyti nauja redakcija: &lt;</w:t>
            </w:r>
            <w:r w:rsidRPr="00284137">
              <w:rPr>
                <w:b/>
                <w:i/>
                <w:iCs/>
                <w:sz w:val="22"/>
                <w:szCs w:val="22"/>
              </w:rPr>
              <w:t>kokius įrašus peržiūrėjo</w:t>
            </w:r>
            <w:r w:rsidRPr="00284137">
              <w:rPr>
                <w:bCs/>
                <w:sz w:val="22"/>
                <w:szCs w:val="22"/>
              </w:rPr>
              <w:t>&gt;. Auditavimo įrašai leidžia fiksuoti, kokį duomenų bazės įrašą naudotojas „atsidarė“, bet nėra jokių technologinių galimybių nustatyti ir fiksuoti, kokius tame įraše esančius duomenis (turinį) naudotojas perskaitė, o kokių -ne.</w:t>
            </w:r>
          </w:p>
        </w:tc>
        <w:tc>
          <w:tcPr>
            <w:tcW w:w="7088" w:type="dxa"/>
            <w:tcBorders>
              <w:top w:val="single" w:sz="4" w:space="0" w:color="auto"/>
              <w:left w:val="single" w:sz="4" w:space="0" w:color="auto"/>
              <w:bottom w:val="single" w:sz="4" w:space="0" w:color="auto"/>
              <w:right w:val="single" w:sz="4" w:space="0" w:color="auto"/>
            </w:tcBorders>
            <w:shd w:val="clear" w:color="auto" w:fill="FFFFFF" w:themeFill="background1"/>
          </w:tcPr>
          <w:p w14:paraId="63773772" w14:textId="3410EA7F" w:rsidR="00284137" w:rsidRPr="00284137" w:rsidRDefault="00284137" w:rsidP="00284137">
            <w:pPr>
              <w:ind w:left="-9" w:firstLine="9"/>
              <w:jc w:val="both"/>
              <w:rPr>
                <w:bCs/>
                <w:sz w:val="22"/>
                <w:szCs w:val="22"/>
              </w:rPr>
            </w:pPr>
            <w:r w:rsidRPr="00284137">
              <w:rPr>
                <w:bCs/>
                <w:sz w:val="22"/>
                <w:szCs w:val="22"/>
              </w:rPr>
              <w:t>Atsižvelgta, punktas pakoreguotas.</w:t>
            </w:r>
          </w:p>
        </w:tc>
      </w:tr>
      <w:tr w:rsidR="00284137" w:rsidRPr="00284137" w14:paraId="14CF53FC" w14:textId="77777777" w:rsidTr="00C334BF">
        <w:trPr>
          <w:trHeight w:val="20"/>
        </w:trPr>
        <w:tc>
          <w:tcPr>
            <w:tcW w:w="676" w:type="dxa"/>
            <w:vMerge/>
            <w:tcBorders>
              <w:left w:val="single" w:sz="4" w:space="0" w:color="auto"/>
              <w:right w:val="single" w:sz="4" w:space="0" w:color="auto"/>
            </w:tcBorders>
            <w:shd w:val="clear" w:color="auto" w:fill="FFFFFF" w:themeFill="background1"/>
          </w:tcPr>
          <w:p w14:paraId="4C7A4AB3" w14:textId="711A2AB8" w:rsidR="00284137" w:rsidRPr="00284137" w:rsidRDefault="00284137" w:rsidP="00284137">
            <w:pPr>
              <w:jc w:val="center"/>
              <w:rPr>
                <w:bCs/>
                <w:sz w:val="22"/>
                <w:szCs w:val="22"/>
              </w:rPr>
            </w:pPr>
          </w:p>
        </w:tc>
        <w:tc>
          <w:tcPr>
            <w:tcW w:w="73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3544BF" w14:textId="0905AC96" w:rsidR="00284137" w:rsidRPr="00284137" w:rsidRDefault="00284137" w:rsidP="00284137">
            <w:pPr>
              <w:tabs>
                <w:tab w:val="left" w:pos="1134"/>
              </w:tabs>
              <w:overflowPunct w:val="0"/>
              <w:autoSpaceDE w:val="0"/>
              <w:autoSpaceDN w:val="0"/>
              <w:adjustRightInd w:val="0"/>
              <w:jc w:val="both"/>
              <w:rPr>
                <w:sz w:val="22"/>
                <w:szCs w:val="22"/>
              </w:rPr>
            </w:pPr>
            <w:r w:rsidRPr="00284137">
              <w:rPr>
                <w:sz w:val="22"/>
                <w:szCs w:val="22"/>
              </w:rPr>
              <w:t>TS 8.13.2 skyriuje pateikti reikalavimai analizei ir projektavimui. Tai pats svarbiausiais etapas, nes jo metu yra analizuojami įstaigos veiklos procesai ir pagal analizės rezultatus projektuojami IS elementai. Analizės ir projektavimo klaidų tikimybė šiame etape labai didelė, o jų taisymas vėlesniu laikotarpiu, kuomet jau sukurta IS architektūra ir naudotojo sąsaja, reikalauja daug finansinių ir laiko išteklių ir kelia didžiules rizikas, kad nebus savalaikiai pasiekti projekto tikslai. Siekiant sumažinti šiame etape kylančias rizikas, būtinas ypač efektyvus PO ir Diegėjo bendradarbiavimas, derinant kuriamos ar modernizuojamos IS funkcines galimybes. Tačiau minėtame punkte pateikiami reikalavimai tik Diegėjui, nenurodant, ką iš savo pusės turi užtikrinti PO (skirtingai nuo TS 8.13.3 skyriaus – „Reikalavimai kūrimui ir demonstracijoms“). Dėl šių priežasčių siūlome šį skyrių papildyti nauju 557</w:t>
            </w:r>
            <w:r w:rsidRPr="00284137">
              <w:rPr>
                <w:sz w:val="22"/>
                <w:szCs w:val="22"/>
                <w:vertAlign w:val="superscript"/>
              </w:rPr>
              <w:t>1</w:t>
            </w:r>
            <w:r w:rsidRPr="00284137">
              <w:rPr>
                <w:sz w:val="22"/>
                <w:szCs w:val="22"/>
              </w:rPr>
              <w:t xml:space="preserve"> punktu ir jį išdėstyti šia redakcija: </w:t>
            </w:r>
            <w:r w:rsidRPr="00284137">
              <w:rPr>
                <w:b/>
                <w:bCs/>
                <w:i/>
                <w:iCs/>
                <w:sz w:val="22"/>
                <w:szCs w:val="22"/>
              </w:rPr>
              <w:t>&lt;557</w:t>
            </w:r>
            <w:r w:rsidRPr="00284137">
              <w:rPr>
                <w:b/>
                <w:bCs/>
                <w:i/>
                <w:iCs/>
                <w:sz w:val="22"/>
                <w:szCs w:val="22"/>
                <w:vertAlign w:val="superscript"/>
              </w:rPr>
              <w:t>1</w:t>
            </w:r>
            <w:r w:rsidRPr="00284137">
              <w:rPr>
                <w:b/>
                <w:bCs/>
                <w:i/>
                <w:iCs/>
                <w:sz w:val="22"/>
                <w:szCs w:val="22"/>
              </w:rPr>
              <w:t>. Perkančioji organizacija iš savo organizacijos veiklos specialistų bei techninės priežiūros paslaugų teikėjų atstovų sudaro darbo grupes pagal atskiras veiklos sritis, kurios turi įvertinti, teikti pastabas ir tvirtinti Diegėjo parengtus detalios reikalavimų analizės ir projektavimo dokumentus. Darbo grupių veiklai koordinuoti Perkančioji organizacija skiria atsakingą asmenį (projekto vadovą).&gt;</w:t>
            </w:r>
          </w:p>
        </w:tc>
        <w:tc>
          <w:tcPr>
            <w:tcW w:w="7088" w:type="dxa"/>
            <w:tcBorders>
              <w:top w:val="single" w:sz="4" w:space="0" w:color="auto"/>
              <w:left w:val="single" w:sz="4" w:space="0" w:color="auto"/>
              <w:bottom w:val="single" w:sz="4" w:space="0" w:color="auto"/>
              <w:right w:val="single" w:sz="4" w:space="0" w:color="auto"/>
            </w:tcBorders>
            <w:shd w:val="clear" w:color="auto" w:fill="FFFFFF" w:themeFill="background1"/>
          </w:tcPr>
          <w:p w14:paraId="189B31B9" w14:textId="387D04B9" w:rsidR="00284137" w:rsidRPr="00284137" w:rsidRDefault="00284137" w:rsidP="00284137">
            <w:pPr>
              <w:ind w:left="-9" w:firstLine="9"/>
              <w:jc w:val="both"/>
              <w:rPr>
                <w:sz w:val="22"/>
                <w:szCs w:val="22"/>
              </w:rPr>
            </w:pPr>
            <w:r w:rsidRPr="00284137">
              <w:rPr>
                <w:sz w:val="22"/>
                <w:szCs w:val="22"/>
              </w:rPr>
              <w:t>Atsižvelgta, punktas įtrauktas.</w:t>
            </w:r>
          </w:p>
        </w:tc>
      </w:tr>
      <w:tr w:rsidR="00284137" w:rsidRPr="00284137" w14:paraId="32105217" w14:textId="77777777" w:rsidTr="00C334BF">
        <w:trPr>
          <w:trHeight w:val="20"/>
        </w:trPr>
        <w:tc>
          <w:tcPr>
            <w:tcW w:w="676" w:type="dxa"/>
            <w:vMerge/>
            <w:tcBorders>
              <w:left w:val="single" w:sz="4" w:space="0" w:color="auto"/>
              <w:right w:val="single" w:sz="4" w:space="0" w:color="auto"/>
            </w:tcBorders>
            <w:shd w:val="clear" w:color="auto" w:fill="92D050"/>
          </w:tcPr>
          <w:p w14:paraId="59A0723C" w14:textId="337F74CC" w:rsidR="00284137" w:rsidRPr="00284137" w:rsidRDefault="00284137" w:rsidP="00284137">
            <w:pPr>
              <w:jc w:val="center"/>
              <w:rPr>
                <w:bCs/>
                <w:sz w:val="22"/>
                <w:szCs w:val="22"/>
              </w:rPr>
            </w:pPr>
          </w:p>
        </w:tc>
        <w:tc>
          <w:tcPr>
            <w:tcW w:w="7399" w:type="dxa"/>
            <w:tcBorders>
              <w:top w:val="single" w:sz="4" w:space="0" w:color="auto"/>
              <w:left w:val="single" w:sz="4" w:space="0" w:color="auto"/>
              <w:bottom w:val="single" w:sz="4" w:space="0" w:color="auto"/>
              <w:right w:val="single" w:sz="4" w:space="0" w:color="auto"/>
            </w:tcBorders>
            <w:shd w:val="clear" w:color="auto" w:fill="auto"/>
            <w:vAlign w:val="center"/>
          </w:tcPr>
          <w:p w14:paraId="125E0DAA" w14:textId="44CF58D6" w:rsidR="00284137" w:rsidRPr="00284137" w:rsidRDefault="00284137" w:rsidP="00284137">
            <w:pPr>
              <w:tabs>
                <w:tab w:val="left" w:pos="1134"/>
              </w:tabs>
              <w:overflowPunct w:val="0"/>
              <w:autoSpaceDE w:val="0"/>
              <w:autoSpaceDN w:val="0"/>
              <w:adjustRightInd w:val="0"/>
              <w:jc w:val="both"/>
              <w:rPr>
                <w:sz w:val="22"/>
                <w:szCs w:val="22"/>
              </w:rPr>
            </w:pPr>
            <w:r w:rsidRPr="00284137">
              <w:rPr>
                <w:sz w:val="22"/>
                <w:szCs w:val="22"/>
              </w:rPr>
              <w:t>TS 8.13.3 skyriuje pateikti reikalavimai kūrimui ir demonstracijoms. Atsižvelgiant į argumentus, išdėstytus pasiūlymuose dėl 8.13.2. skyriaus nuostatų tikslinimo, siūlome šį skyrių papildyti nauju 557</w:t>
            </w:r>
            <w:r w:rsidRPr="00284137">
              <w:rPr>
                <w:sz w:val="22"/>
                <w:szCs w:val="22"/>
                <w:vertAlign w:val="superscript"/>
              </w:rPr>
              <w:t>2</w:t>
            </w:r>
            <w:r w:rsidRPr="00284137">
              <w:rPr>
                <w:sz w:val="22"/>
                <w:szCs w:val="22"/>
              </w:rPr>
              <w:t xml:space="preserve"> punktu ir jį išdėstyti šia redakcija: &lt;</w:t>
            </w:r>
            <w:r w:rsidRPr="00284137">
              <w:rPr>
                <w:i/>
                <w:iCs/>
                <w:sz w:val="22"/>
                <w:szCs w:val="22"/>
              </w:rPr>
              <w:t>557</w:t>
            </w:r>
            <w:r w:rsidRPr="00284137">
              <w:rPr>
                <w:i/>
                <w:iCs/>
                <w:sz w:val="22"/>
                <w:szCs w:val="22"/>
                <w:vertAlign w:val="superscript"/>
              </w:rPr>
              <w:t>2</w:t>
            </w:r>
            <w:r w:rsidRPr="00284137">
              <w:rPr>
                <w:i/>
                <w:iCs/>
                <w:sz w:val="22"/>
                <w:szCs w:val="22"/>
              </w:rPr>
              <w:t>. IS kūrimas ir modernizavimas pradedamas vykdyti Perkančiajai organizacijai patvirtinus 554 punkte nurodytus dokumentus</w:t>
            </w:r>
            <w:r w:rsidRPr="00284137">
              <w:rPr>
                <w:sz w:val="22"/>
                <w:szCs w:val="22"/>
              </w:rPr>
              <w:t>.&gt; bei patikslinti 560 punktą ir jį išdėstyti šia redakcija: &lt;</w:t>
            </w:r>
            <w:r w:rsidRPr="00284137">
              <w:rPr>
                <w:i/>
                <w:iCs/>
                <w:sz w:val="22"/>
                <w:szCs w:val="22"/>
              </w:rPr>
              <w:t xml:space="preserve">560. Demonstracijų tikslas – supažindinti Perkančiąją organizaciją su modernizuojamu KUL HIS bei gauti atsiliepimus dėl kuriamo funkcionalumo. </w:t>
            </w:r>
            <w:r w:rsidRPr="00284137">
              <w:rPr>
                <w:b/>
                <w:bCs/>
                <w:i/>
                <w:iCs/>
                <w:sz w:val="22"/>
                <w:szCs w:val="22"/>
              </w:rPr>
              <w:t>Pastabos (atsiliepimai) šiame etape teikiami tik dėl naudotojo sąsajos (GUI) bei tais atvejais, kai demonstruojamas funkcionalumas neatitinka su šiuo funkcionalumu susijusių ir Perkančiosios organizacijos patvirtintų 554 punkte nurodytų detalios reikalavimų analizės ir projektavimo dokumentų.&gt;.</w:t>
            </w:r>
          </w:p>
        </w:tc>
        <w:tc>
          <w:tcPr>
            <w:tcW w:w="7088" w:type="dxa"/>
            <w:tcBorders>
              <w:top w:val="single" w:sz="4" w:space="0" w:color="auto"/>
              <w:left w:val="single" w:sz="4" w:space="0" w:color="auto"/>
              <w:bottom w:val="single" w:sz="4" w:space="0" w:color="auto"/>
              <w:right w:val="single" w:sz="4" w:space="0" w:color="auto"/>
            </w:tcBorders>
            <w:shd w:val="clear" w:color="auto" w:fill="auto"/>
          </w:tcPr>
          <w:p w14:paraId="224F3AA3" w14:textId="77777777" w:rsidR="00284137" w:rsidRPr="00284137" w:rsidRDefault="00284137" w:rsidP="00284137">
            <w:pPr>
              <w:jc w:val="both"/>
              <w:rPr>
                <w:sz w:val="22"/>
                <w:szCs w:val="22"/>
              </w:rPr>
            </w:pPr>
            <w:r w:rsidRPr="00284137">
              <w:rPr>
                <w:sz w:val="22"/>
                <w:szCs w:val="22"/>
              </w:rPr>
              <w:t>Atsižvelgta dalinai. Siūloma 557 punkto redakcija neįtraukta, nes demonstracijų vykdymas jau numatytas kūrimo etape (žr. 8.14 skyrius, 8.1 lentelė, 1.4 eilutė), o taip pat siūloma punkto redakcija apribotų Diegėjo galimybes vykdyti demonstracijas kitų (ne tik kūrimo etapo) etapų metu, pavyzdžiui analizės etape, jeigu Diegėjas turi programinę įrangą (HIS), kurios funkcijos pilnai ar dalinai tenkina techninės specifikacijos reikalavimus ir gali būti naudojamos detalios analizės tikslais.</w:t>
            </w:r>
          </w:p>
          <w:p w14:paraId="3D3EECD4" w14:textId="200F747C" w:rsidR="00284137" w:rsidRPr="00284137" w:rsidRDefault="00284137" w:rsidP="00284137">
            <w:pPr>
              <w:jc w:val="both"/>
              <w:rPr>
                <w:sz w:val="22"/>
                <w:szCs w:val="22"/>
              </w:rPr>
            </w:pPr>
            <w:r w:rsidRPr="00284137">
              <w:rPr>
                <w:sz w:val="22"/>
                <w:szCs w:val="22"/>
              </w:rPr>
              <w:t>Atsižvelgta į antrą šios pastabos dalį – įtrauktas tikslinantis punktas dėl pastabų teikimo demonstracijų metu.</w:t>
            </w:r>
          </w:p>
        </w:tc>
      </w:tr>
      <w:tr w:rsidR="00284137" w:rsidRPr="00284137" w14:paraId="414145FD" w14:textId="77777777" w:rsidTr="00C334BF">
        <w:trPr>
          <w:trHeight w:val="20"/>
        </w:trPr>
        <w:tc>
          <w:tcPr>
            <w:tcW w:w="676" w:type="dxa"/>
            <w:vMerge/>
            <w:tcBorders>
              <w:left w:val="single" w:sz="4" w:space="0" w:color="auto"/>
              <w:right w:val="single" w:sz="4" w:space="0" w:color="auto"/>
            </w:tcBorders>
            <w:shd w:val="clear" w:color="auto" w:fill="FFFFFF" w:themeFill="background1"/>
          </w:tcPr>
          <w:p w14:paraId="7E5651B2" w14:textId="088B2255" w:rsidR="00284137" w:rsidRPr="00284137" w:rsidRDefault="00284137" w:rsidP="00284137">
            <w:pPr>
              <w:jc w:val="center"/>
              <w:rPr>
                <w:bCs/>
                <w:sz w:val="22"/>
                <w:szCs w:val="22"/>
              </w:rPr>
            </w:pPr>
          </w:p>
        </w:tc>
        <w:tc>
          <w:tcPr>
            <w:tcW w:w="73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A72E5E" w14:textId="1E3CA757" w:rsidR="00284137" w:rsidRPr="00284137" w:rsidRDefault="00284137" w:rsidP="00284137">
            <w:pPr>
              <w:tabs>
                <w:tab w:val="left" w:pos="1134"/>
              </w:tabs>
              <w:overflowPunct w:val="0"/>
              <w:autoSpaceDE w:val="0"/>
              <w:autoSpaceDN w:val="0"/>
              <w:adjustRightInd w:val="0"/>
              <w:jc w:val="both"/>
              <w:rPr>
                <w:sz w:val="22"/>
                <w:szCs w:val="22"/>
              </w:rPr>
            </w:pPr>
            <w:r w:rsidRPr="00284137">
              <w:rPr>
                <w:sz w:val="22"/>
                <w:szCs w:val="22"/>
              </w:rPr>
              <w:t xml:space="preserve">Mūsų, kaip gydymo įstaigų IS priežiūrą ir palaikymą vykdančio tiekėjo patirties rodo, kad tokio sudėtingumo ir tiek daug integracijų su išorinėmis IS turinčiai IS </w:t>
            </w:r>
            <w:r w:rsidRPr="00284137">
              <w:rPr>
                <w:sz w:val="22"/>
                <w:szCs w:val="22"/>
              </w:rPr>
              <w:lastRenderedPageBreak/>
              <w:t>įvairus programinės įrangos atnaujinimai gali būti atliekami net ir kelis kartus per mėnesį. Atsižvelgiant į tai, siūlome patikslinti TS 601 punktą, nurodant, kad atnaujinti išeities kodai pateikiami ne rečiau kaip 1 kartą per pusmetį arba šalims suderinus neplaninį išeities tekstų atnaujinimą. Toks reikalavimas leistų diegėjui sumažinti nereikalingo darbo apimtis, dėl ko mažėtų ir diegėjo teikiamo siūlymo kaina.</w:t>
            </w:r>
          </w:p>
        </w:tc>
        <w:tc>
          <w:tcPr>
            <w:tcW w:w="7088" w:type="dxa"/>
            <w:tcBorders>
              <w:top w:val="single" w:sz="4" w:space="0" w:color="auto"/>
              <w:left w:val="single" w:sz="4" w:space="0" w:color="auto"/>
              <w:bottom w:val="single" w:sz="4" w:space="0" w:color="auto"/>
              <w:right w:val="single" w:sz="4" w:space="0" w:color="auto"/>
            </w:tcBorders>
            <w:shd w:val="clear" w:color="auto" w:fill="FFFFFF" w:themeFill="background1"/>
          </w:tcPr>
          <w:p w14:paraId="2FAAA9CF" w14:textId="4C69635C" w:rsidR="00284137" w:rsidRPr="00284137" w:rsidRDefault="00284137" w:rsidP="00284137">
            <w:pPr>
              <w:jc w:val="both"/>
              <w:rPr>
                <w:sz w:val="22"/>
                <w:szCs w:val="22"/>
              </w:rPr>
            </w:pPr>
            <w:r w:rsidRPr="00284137">
              <w:rPr>
                <w:sz w:val="22"/>
                <w:szCs w:val="22"/>
              </w:rPr>
              <w:lastRenderedPageBreak/>
              <w:t xml:space="preserve">Atsižvelgta dalinai. Punktas išdėstytas taip: „448.450. Garantinės priežiūros metu atnaujinus KUL HIS funkcionalumus atitinkamai turi būti pakoreguota </w:t>
            </w:r>
            <w:r w:rsidRPr="00284137">
              <w:rPr>
                <w:sz w:val="22"/>
                <w:szCs w:val="22"/>
              </w:rPr>
              <w:lastRenderedPageBreak/>
              <w:t xml:space="preserve">visa susijusi KUL HIS dokumentacija, pateikti atnaujinti išeities tekstai ir kiti programiniai komponentai </w:t>
            </w:r>
            <w:r w:rsidRPr="00284137">
              <w:rPr>
                <w:b/>
                <w:sz w:val="22"/>
                <w:szCs w:val="22"/>
              </w:rPr>
              <w:t>pagal su Perkančiąja organizacija suderintą grafiką.</w:t>
            </w:r>
            <w:r w:rsidRPr="00284137">
              <w:rPr>
                <w:sz w:val="22"/>
                <w:szCs w:val="22"/>
              </w:rPr>
              <w:t>“</w:t>
            </w:r>
          </w:p>
        </w:tc>
      </w:tr>
      <w:tr w:rsidR="00284137" w:rsidRPr="00284137" w14:paraId="60BDF905" w14:textId="77777777" w:rsidTr="00C334BF">
        <w:trPr>
          <w:trHeight w:val="20"/>
        </w:trPr>
        <w:tc>
          <w:tcPr>
            <w:tcW w:w="676" w:type="dxa"/>
            <w:vMerge/>
            <w:tcBorders>
              <w:left w:val="single" w:sz="4" w:space="0" w:color="auto"/>
              <w:right w:val="single" w:sz="4" w:space="0" w:color="auto"/>
            </w:tcBorders>
            <w:shd w:val="clear" w:color="auto" w:fill="FFFFFF" w:themeFill="background1"/>
          </w:tcPr>
          <w:p w14:paraId="5303E7FD" w14:textId="40A6992D" w:rsidR="00284137" w:rsidRPr="00284137" w:rsidRDefault="00284137" w:rsidP="00284137">
            <w:pPr>
              <w:jc w:val="center"/>
              <w:rPr>
                <w:bCs/>
                <w:sz w:val="22"/>
                <w:szCs w:val="22"/>
              </w:rPr>
            </w:pPr>
          </w:p>
        </w:tc>
        <w:tc>
          <w:tcPr>
            <w:tcW w:w="73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E5025B" w14:textId="1443571E" w:rsidR="00284137" w:rsidRPr="00284137" w:rsidRDefault="00284137" w:rsidP="00284137">
            <w:pPr>
              <w:tabs>
                <w:tab w:val="left" w:pos="1134"/>
              </w:tabs>
              <w:overflowPunct w:val="0"/>
              <w:autoSpaceDE w:val="0"/>
              <w:autoSpaceDN w:val="0"/>
              <w:adjustRightInd w:val="0"/>
              <w:jc w:val="both"/>
              <w:rPr>
                <w:sz w:val="22"/>
                <w:szCs w:val="22"/>
              </w:rPr>
            </w:pPr>
            <w:r w:rsidRPr="00284137">
              <w:rPr>
                <w:sz w:val="22"/>
                <w:szCs w:val="22"/>
              </w:rPr>
              <w:t>Siūlome iš esmės keisti TS 613 punktą ir paslaugų suteikimo terminą skaičiuoti nuo sutarties pasirašymo datos. Fiksuota paslaugų suteikimo data labai didina potencialių diegėjų riziką, kad pateikus pasiūlymą ir užsitęsus sutarties sudarymui, faktinis darbų atlikimui skirtas laikas bus ženkliai trumpesnis, nei buvo galima prognozuoti pasiūlymo pateikimo dieną. Jei diegėjui tokia rizika išlieka, atitinkamai šios rizikos suvaldymui potencialūs diegėjai turės didinti teikiamo pasiūlymo kainą.</w:t>
            </w:r>
          </w:p>
        </w:tc>
        <w:tc>
          <w:tcPr>
            <w:tcW w:w="7088" w:type="dxa"/>
            <w:tcBorders>
              <w:top w:val="single" w:sz="4" w:space="0" w:color="auto"/>
              <w:left w:val="single" w:sz="4" w:space="0" w:color="auto"/>
              <w:bottom w:val="single" w:sz="4" w:space="0" w:color="auto"/>
              <w:right w:val="single" w:sz="4" w:space="0" w:color="auto"/>
            </w:tcBorders>
            <w:shd w:val="clear" w:color="auto" w:fill="FFFFFF" w:themeFill="background1"/>
          </w:tcPr>
          <w:p w14:paraId="79983F36" w14:textId="34B2A431" w:rsidR="00284137" w:rsidRPr="00284137" w:rsidRDefault="00284137" w:rsidP="00284137">
            <w:pPr>
              <w:jc w:val="both"/>
              <w:rPr>
                <w:sz w:val="22"/>
                <w:szCs w:val="22"/>
              </w:rPr>
            </w:pPr>
            <w:r w:rsidRPr="00284137">
              <w:rPr>
                <w:sz w:val="22"/>
                <w:szCs w:val="22"/>
              </w:rPr>
              <w:t>KUL vykdomas projektas „Medicininių klasterių duomenų mainų ir stebėsenos platforma“ turi aiškius laiko apribojimus, todėl nėra galimybės keisti techninėje specifikacijoje nustatytų terminų.</w:t>
            </w:r>
          </w:p>
        </w:tc>
      </w:tr>
      <w:tr w:rsidR="00284137" w:rsidRPr="00284137" w14:paraId="196587AF" w14:textId="77777777" w:rsidTr="00C334BF">
        <w:trPr>
          <w:trHeight w:val="20"/>
        </w:trPr>
        <w:tc>
          <w:tcPr>
            <w:tcW w:w="676" w:type="dxa"/>
            <w:vMerge/>
            <w:tcBorders>
              <w:left w:val="single" w:sz="4" w:space="0" w:color="auto"/>
              <w:right w:val="single" w:sz="4" w:space="0" w:color="auto"/>
            </w:tcBorders>
            <w:shd w:val="clear" w:color="auto" w:fill="FFFFFF" w:themeFill="background1"/>
          </w:tcPr>
          <w:p w14:paraId="40B8D084" w14:textId="3908A9E2" w:rsidR="00284137" w:rsidRPr="00284137" w:rsidRDefault="00284137" w:rsidP="00284137">
            <w:pPr>
              <w:jc w:val="center"/>
              <w:rPr>
                <w:bCs/>
                <w:sz w:val="22"/>
                <w:szCs w:val="22"/>
              </w:rPr>
            </w:pPr>
          </w:p>
        </w:tc>
        <w:tc>
          <w:tcPr>
            <w:tcW w:w="73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6EF7BD" w14:textId="683621EB" w:rsidR="00284137" w:rsidRPr="00284137" w:rsidRDefault="00284137" w:rsidP="00284137">
            <w:pPr>
              <w:tabs>
                <w:tab w:val="left" w:pos="1134"/>
              </w:tabs>
              <w:overflowPunct w:val="0"/>
              <w:autoSpaceDE w:val="0"/>
              <w:autoSpaceDN w:val="0"/>
              <w:adjustRightInd w:val="0"/>
              <w:jc w:val="both"/>
              <w:rPr>
                <w:sz w:val="22"/>
                <w:szCs w:val="22"/>
              </w:rPr>
            </w:pPr>
            <w:r w:rsidRPr="00284137">
              <w:rPr>
                <w:sz w:val="22"/>
                <w:szCs w:val="22"/>
              </w:rPr>
              <w:t>Siūlome papildyti TS 8.1 lentelės 1.7 eilutės „Mokymai“ stulpelį „Reikalavimai etapo rezultatams“, nurodant, kad PO užtikrina naudotojų dalyvavimą mokymuose pagal suderintą mokymų grafiką. Atkreipiame dėmesį, kad diegėjas neturi administracinių svertų užtikrinti reikalaujamą mokymų lankomumą. Dėl šios priežasties kyla rizika nepasiekti numatytų mokymų apimčių arba ženkliai vėluoti įvykdyti šias veiklas nustatytais terminais.</w:t>
            </w:r>
          </w:p>
        </w:tc>
        <w:tc>
          <w:tcPr>
            <w:tcW w:w="7088" w:type="dxa"/>
            <w:tcBorders>
              <w:top w:val="single" w:sz="4" w:space="0" w:color="auto"/>
              <w:left w:val="single" w:sz="4" w:space="0" w:color="auto"/>
              <w:bottom w:val="single" w:sz="4" w:space="0" w:color="auto"/>
              <w:right w:val="single" w:sz="4" w:space="0" w:color="auto"/>
            </w:tcBorders>
            <w:shd w:val="clear" w:color="auto" w:fill="FFFFFF" w:themeFill="background1"/>
          </w:tcPr>
          <w:p w14:paraId="1F22E986" w14:textId="2436D746" w:rsidR="00284137" w:rsidRPr="00284137" w:rsidRDefault="00284137" w:rsidP="00284137">
            <w:pPr>
              <w:ind w:left="-108" w:firstLine="108"/>
              <w:jc w:val="both"/>
              <w:rPr>
                <w:sz w:val="22"/>
                <w:szCs w:val="22"/>
              </w:rPr>
            </w:pPr>
            <w:r w:rsidRPr="00284137">
              <w:rPr>
                <w:sz w:val="22"/>
                <w:szCs w:val="22"/>
              </w:rPr>
              <w:t>Atsižvelgta.</w:t>
            </w:r>
          </w:p>
        </w:tc>
      </w:tr>
      <w:tr w:rsidR="00284137" w:rsidRPr="00284137" w14:paraId="453334B2" w14:textId="77777777" w:rsidTr="00C334BF">
        <w:trPr>
          <w:trHeight w:val="20"/>
        </w:trPr>
        <w:tc>
          <w:tcPr>
            <w:tcW w:w="676" w:type="dxa"/>
            <w:vMerge/>
            <w:tcBorders>
              <w:left w:val="single" w:sz="4" w:space="0" w:color="auto"/>
              <w:right w:val="single" w:sz="4" w:space="0" w:color="auto"/>
            </w:tcBorders>
            <w:shd w:val="clear" w:color="auto" w:fill="FFFFFF" w:themeFill="background1"/>
          </w:tcPr>
          <w:p w14:paraId="32FA289E" w14:textId="47D52A52" w:rsidR="00284137" w:rsidRPr="00284137" w:rsidRDefault="00284137" w:rsidP="00284137">
            <w:pPr>
              <w:jc w:val="center"/>
              <w:rPr>
                <w:bCs/>
                <w:sz w:val="22"/>
                <w:szCs w:val="22"/>
              </w:rPr>
            </w:pPr>
          </w:p>
        </w:tc>
        <w:tc>
          <w:tcPr>
            <w:tcW w:w="73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D53A29" w14:textId="10A0AAA0" w:rsidR="00284137" w:rsidRPr="00284137" w:rsidRDefault="00284137" w:rsidP="00284137">
            <w:pPr>
              <w:tabs>
                <w:tab w:val="left" w:pos="1134"/>
              </w:tabs>
              <w:overflowPunct w:val="0"/>
              <w:autoSpaceDE w:val="0"/>
              <w:autoSpaceDN w:val="0"/>
              <w:adjustRightInd w:val="0"/>
              <w:jc w:val="both"/>
              <w:rPr>
                <w:sz w:val="22"/>
                <w:szCs w:val="22"/>
              </w:rPr>
            </w:pPr>
            <w:r w:rsidRPr="00284137">
              <w:rPr>
                <w:sz w:val="22"/>
                <w:szCs w:val="22"/>
              </w:rPr>
              <w:t>Atsižvelgiant į keliamus reikalavimus (7.6.1. skyrius) numatančius openEHR naudojimą siūlome papildyti koncepcinę architektūros schema joje numatant (i) openEHR formato duomenų saugojimą, (ii) openEHR duomenų modeliavimo įrankius, (iii) openEHR pagrindu veikiančias formas. Taip pat siūlytume numatyti, kad konkurso dalyviai (tiekėjai) turėtų pateikti savo siūlymo sprendimo architektūrinius aprašymus ir tai atitinkamai turėtų būti vertinama ekonominio naudingumo vertinime.</w:t>
            </w:r>
          </w:p>
        </w:tc>
        <w:tc>
          <w:tcPr>
            <w:tcW w:w="7088" w:type="dxa"/>
            <w:tcBorders>
              <w:top w:val="single" w:sz="4" w:space="0" w:color="auto"/>
              <w:left w:val="single" w:sz="4" w:space="0" w:color="auto"/>
              <w:bottom w:val="single" w:sz="4" w:space="0" w:color="auto"/>
              <w:right w:val="single" w:sz="4" w:space="0" w:color="auto"/>
            </w:tcBorders>
            <w:shd w:val="clear" w:color="auto" w:fill="FFFFFF" w:themeFill="background1"/>
          </w:tcPr>
          <w:p w14:paraId="009FE334" w14:textId="0D88F2D2" w:rsidR="00284137" w:rsidRPr="00284137" w:rsidRDefault="00284137" w:rsidP="00284137">
            <w:pPr>
              <w:jc w:val="both"/>
              <w:rPr>
                <w:sz w:val="22"/>
                <w:szCs w:val="22"/>
              </w:rPr>
            </w:pPr>
            <w:r w:rsidRPr="00284137">
              <w:rPr>
                <w:sz w:val="22"/>
                <w:szCs w:val="22"/>
              </w:rPr>
              <w:t>Atsižvelgta. Pagal 7.6.1 skyriaus atliktus papildymus, pakoreguota 7.1 paveiksle KUL HIS koncepcinė funkcinės architektūros schema</w:t>
            </w:r>
          </w:p>
          <w:p w14:paraId="20F805AE" w14:textId="25457A7B" w:rsidR="00284137" w:rsidRPr="00284137" w:rsidRDefault="00284137" w:rsidP="00284137">
            <w:pPr>
              <w:jc w:val="both"/>
              <w:rPr>
                <w:sz w:val="22"/>
                <w:szCs w:val="22"/>
              </w:rPr>
            </w:pPr>
            <w:r w:rsidRPr="00284137">
              <w:rPr>
                <w:sz w:val="22"/>
                <w:szCs w:val="22"/>
              </w:rPr>
              <w:t>Dėl pateikto diegėjo pasiūlymo „</w:t>
            </w:r>
            <w:r w:rsidRPr="00284137">
              <w:rPr>
                <w:i/>
                <w:sz w:val="22"/>
                <w:szCs w:val="22"/>
              </w:rPr>
              <w:t>Taip pat siūlytume numatyti, kad konkurso dalyviai (tiekėjai) turėtų pateikti savo siūlymo sprendimo architektūrinius aprašymus ir tai atitinkamai turėtų būti vertinama ekonominio naudingumo vertinime“</w:t>
            </w:r>
            <w:r w:rsidRPr="00284137">
              <w:rPr>
                <w:i/>
                <w:iCs/>
                <w:sz w:val="22"/>
                <w:szCs w:val="22"/>
              </w:rPr>
              <w:t xml:space="preserve"> -  </w:t>
            </w:r>
            <w:r w:rsidRPr="00284137">
              <w:rPr>
                <w:sz w:val="22"/>
                <w:szCs w:val="22"/>
              </w:rPr>
              <w:t>Perkančioji organizacija dėl viešųjų pirkimų teisinio reglamentavimo ribojimo neturi galimybės atsižvelgti į pateiktą pastabą – įtraukti vertinimo kriterijų „siūlomo architektūrinio sprendimo aprašymas“, kadangi:</w:t>
            </w:r>
          </w:p>
          <w:p w14:paraId="65FEB655" w14:textId="4669959C" w:rsidR="00284137" w:rsidRPr="00284137" w:rsidRDefault="00284137" w:rsidP="00284137">
            <w:pPr>
              <w:jc w:val="both"/>
              <w:rPr>
                <w:sz w:val="22"/>
                <w:szCs w:val="22"/>
              </w:rPr>
            </w:pPr>
            <w:r w:rsidRPr="00284137">
              <w:rPr>
                <w:sz w:val="22"/>
                <w:szCs w:val="22"/>
              </w:rPr>
              <w:t>1. Architektūrinis sprendimas taip turi būti pateikiami sutarties vykdymo metu, todėl nėra aišku kokią pridėtinę naudą šie kriterijai suteikia, kad būtų verta už tai skirti balus. Pažymėtina, kad ekonominio naudingumo vertinimo balai turi būti skiriami už geresnes, pranašesnes funkcijas ar savybes ir pan.</w:t>
            </w:r>
          </w:p>
          <w:p w14:paraId="77A5B7B6" w14:textId="3CB92590" w:rsidR="00284137" w:rsidRPr="00284137" w:rsidRDefault="00284137" w:rsidP="00284137">
            <w:pPr>
              <w:jc w:val="both"/>
              <w:rPr>
                <w:sz w:val="22"/>
                <w:szCs w:val="22"/>
              </w:rPr>
            </w:pPr>
            <w:r w:rsidRPr="00284137">
              <w:rPr>
                <w:sz w:val="22"/>
                <w:szCs w:val="22"/>
              </w:rPr>
              <w:t xml:space="preserve">2. Šis kriterijus yra aprašomojo pobūdžio, todėl tiekėjų pateiktų pasiūlymų vertinimas pagal šiuos kriterijus iš esmės vyktų pagal „gražiausio rašinėlio“ konkursą. Tačiau nėra aišku kaip Perkančioji organizacija užtikrintų šių kriterijų, pagal kuriuos buvo išrinktas pirkimo laimėtojas, laikymąsi viso </w:t>
            </w:r>
            <w:r w:rsidRPr="00284137">
              <w:rPr>
                <w:sz w:val="22"/>
                <w:szCs w:val="22"/>
              </w:rPr>
              <w:lastRenderedPageBreak/>
              <w:t xml:space="preserve">sutarties vykdymo metu, ypač tuo atveju, jeigu pagal parametrus nebuvo skirtas aukščiausias balas, arba jeigu sutarties vykdymo metu tektų įgyvendinti kitaip nei tiekėjas buvo pateikęs savo pasiūlyme pasiūlymų vertinimo metu. </w:t>
            </w:r>
          </w:p>
          <w:p w14:paraId="29058B51" w14:textId="77777777" w:rsidR="00284137" w:rsidRPr="00284137" w:rsidRDefault="00284137" w:rsidP="00284137">
            <w:pPr>
              <w:jc w:val="both"/>
              <w:rPr>
                <w:sz w:val="22"/>
                <w:szCs w:val="22"/>
              </w:rPr>
            </w:pPr>
            <w:r w:rsidRPr="00284137">
              <w:rPr>
                <w:sz w:val="22"/>
                <w:szCs w:val="22"/>
              </w:rPr>
              <w:t xml:space="preserve">3. Nurodytas vertinimo kriterijaus galimos vertinimo metodikos neužtikrina objektyvaus laimėtojo išrinkimo. </w:t>
            </w:r>
          </w:p>
          <w:p w14:paraId="297B5E7C" w14:textId="54BE5F57" w:rsidR="00284137" w:rsidRPr="00284137" w:rsidRDefault="00284137" w:rsidP="00284137">
            <w:pPr>
              <w:jc w:val="both"/>
              <w:rPr>
                <w:sz w:val="22"/>
                <w:szCs w:val="22"/>
              </w:rPr>
            </w:pPr>
            <w:r w:rsidRPr="00284137">
              <w:rPr>
                <w:sz w:val="22"/>
                <w:szCs w:val="22"/>
              </w:rPr>
              <w:t xml:space="preserve">Tuo atveju, jei sprendžiant dėl tiekėjų pasiūlymų ekonominio naudingumo, vertinamas ne konkretus matmuo (pvz., fizikinis dydis), tačiau prašoma pateikti nurodyto kriterijaus aprašymą, perkančiajai organizacijai kyla pareiga kuo tiksliau ir detaliau aprašyti vertinimo kriterijus, kuriais remiantis bus skiriami konkretūs ekonominio naudingumo balai. </w:t>
            </w:r>
          </w:p>
          <w:p w14:paraId="62251F6B" w14:textId="1AF127D6" w:rsidR="00284137" w:rsidRPr="00284137" w:rsidRDefault="00284137" w:rsidP="00284137">
            <w:pPr>
              <w:jc w:val="both"/>
              <w:rPr>
                <w:sz w:val="22"/>
                <w:szCs w:val="22"/>
              </w:rPr>
            </w:pPr>
            <w:r w:rsidRPr="00284137">
              <w:rPr>
                <w:sz w:val="22"/>
                <w:szCs w:val="22"/>
              </w:rPr>
              <w:t>Lietuvos Aukščiausiasis teismas pažymėjo, kad pirkimo sąlygose dėl ekonomiškai naudingiausio pasiūlymo kriterijų nenustačius detalios kriterijų vertinimo sistemos, susiklosto situacija, kai konkretaus pasiūlymo vertinimas priklausys nuo subjektyvaus vertintojo požiūrio, perkančiosios organizacijos poreikių ar motyvų, o tai neatitinka VPĮ įtvirtinto skaidrumo imperatyvo. Pasiūlymų vertinimo kriterijus aprašius vartojant nekonkrečius, bendro, vertinamojo pobūdžio teiginius ir sąvokas, detaliau nepaaiškinus jų turinio, nenurodant jų reikšmės bei įtakos balų skyrimui, tiek atskiri tiekėjai, tiek perkančioji organizacija gali juos skirtingai suprasti ir tai turės neigiamą įtaką objektyviam vertinimui (Lietuvos Aukščiausiojo Teismo 2018-10-31 nutartis civilinėje byloje Nr. e3K-3-398-469/2018, 2018-05-03 nutartis civilinėje byloje Nr. e3K-3-178-378/2018).</w:t>
            </w:r>
          </w:p>
        </w:tc>
      </w:tr>
      <w:tr w:rsidR="00284137" w:rsidRPr="00284137" w14:paraId="1BDCE652" w14:textId="77777777" w:rsidTr="00C334BF">
        <w:trPr>
          <w:trHeight w:val="20"/>
        </w:trPr>
        <w:tc>
          <w:tcPr>
            <w:tcW w:w="676" w:type="dxa"/>
            <w:vMerge/>
            <w:tcBorders>
              <w:left w:val="single" w:sz="4" w:space="0" w:color="auto"/>
              <w:right w:val="single" w:sz="4" w:space="0" w:color="auto"/>
            </w:tcBorders>
            <w:shd w:val="clear" w:color="auto" w:fill="FFFFFF" w:themeFill="background1"/>
          </w:tcPr>
          <w:p w14:paraId="444B1340" w14:textId="20FB5E33" w:rsidR="00284137" w:rsidRPr="00284137" w:rsidRDefault="00284137" w:rsidP="00284137">
            <w:pPr>
              <w:jc w:val="center"/>
              <w:rPr>
                <w:bCs/>
                <w:sz w:val="22"/>
                <w:szCs w:val="22"/>
              </w:rPr>
            </w:pPr>
          </w:p>
        </w:tc>
        <w:tc>
          <w:tcPr>
            <w:tcW w:w="73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FC7E4C" w14:textId="4EC3CB47" w:rsidR="00284137" w:rsidRPr="00284137" w:rsidRDefault="00284137" w:rsidP="00284137">
            <w:pPr>
              <w:tabs>
                <w:tab w:val="left" w:pos="1134"/>
              </w:tabs>
              <w:overflowPunct w:val="0"/>
              <w:autoSpaceDE w:val="0"/>
              <w:autoSpaceDN w:val="0"/>
              <w:adjustRightInd w:val="0"/>
              <w:jc w:val="both"/>
              <w:rPr>
                <w:sz w:val="22"/>
                <w:szCs w:val="22"/>
              </w:rPr>
            </w:pPr>
            <w:r w:rsidRPr="00284137">
              <w:rPr>
                <w:sz w:val="22"/>
                <w:szCs w:val="22"/>
              </w:rPr>
              <w:t>Siūlome TS 7.6.1. skyrių išskaidyti bent į du skyrius/dalis: (i) įrankiai (priemonės) skirtos valdyti ir kurti openEHR formato duomenų modelius (archetipai ir templates) bei (ii) įrankis (priemonė) skirtas formų kūrimui paremtų openEHR duomenų modeliais, t.y. galimybė generuoti formas iš openEHR templates. Atsižvelgiant į tai, kad bus siūlomi tiek komerciniai, tiek atviro kodo sprendimai - būtina nurodyti kiek naudotojų dirbs su openEHR modeliavimo ir kiek su formų kūrimo uždaviniais. Taip pat siūlytume numatyti galimybę kūrimo įrankius naudoti iš programinės įrangos tiekėjo infrastruktūros.</w:t>
            </w:r>
          </w:p>
        </w:tc>
        <w:tc>
          <w:tcPr>
            <w:tcW w:w="7088" w:type="dxa"/>
            <w:tcBorders>
              <w:top w:val="single" w:sz="4" w:space="0" w:color="auto"/>
              <w:left w:val="single" w:sz="4" w:space="0" w:color="auto"/>
              <w:bottom w:val="single" w:sz="4" w:space="0" w:color="auto"/>
              <w:right w:val="single" w:sz="4" w:space="0" w:color="auto"/>
            </w:tcBorders>
            <w:shd w:val="clear" w:color="auto" w:fill="FFFFFF" w:themeFill="background1"/>
          </w:tcPr>
          <w:p w14:paraId="689F0AFA" w14:textId="0F14C60E" w:rsidR="00284137" w:rsidRPr="00284137" w:rsidRDefault="00284137" w:rsidP="00284137">
            <w:pPr>
              <w:jc w:val="both"/>
              <w:rPr>
                <w:sz w:val="22"/>
                <w:szCs w:val="22"/>
              </w:rPr>
            </w:pPr>
            <w:r w:rsidRPr="00284137">
              <w:rPr>
                <w:sz w:val="22"/>
                <w:szCs w:val="22"/>
              </w:rPr>
              <w:t xml:space="preserve">Atsižvelgta. Skyriuje </w:t>
            </w:r>
            <w:r w:rsidRPr="00284137">
              <w:rPr>
                <w:sz w:val="22"/>
                <w:szCs w:val="22"/>
                <w:lang w:val="en-US"/>
              </w:rPr>
              <w:t xml:space="preserve">7.6.1 </w:t>
            </w:r>
            <w:r w:rsidRPr="00284137">
              <w:rPr>
                <w:sz w:val="22"/>
                <w:szCs w:val="22"/>
              </w:rPr>
              <w:t>papildyti reikalavimai tiek openEHR modeliavimo įrankiui, tiek ir papildomų formų generavimo įrankiui pagal paruoštus modeliavimo rezultatus. Taip pat atnaujinta 7.1 paveiksle KUL HIS koncepcinė funkcinės architektūros schema.</w:t>
            </w:r>
          </w:p>
          <w:p w14:paraId="4BB2B0F9" w14:textId="6F0C31FC" w:rsidR="00284137" w:rsidRPr="00284137" w:rsidRDefault="00284137" w:rsidP="00284137">
            <w:pPr>
              <w:jc w:val="both"/>
              <w:rPr>
                <w:sz w:val="22"/>
                <w:szCs w:val="22"/>
              </w:rPr>
            </w:pPr>
            <w:r w:rsidRPr="00284137">
              <w:rPr>
                <w:sz w:val="22"/>
                <w:szCs w:val="22"/>
              </w:rPr>
              <w:t xml:space="preserve">Reikalingas licencijų naudotojams kiekis ir pateikimo terminas šiems openEHR įrankiams nurodytas 8.12 skyriuje. </w:t>
            </w:r>
          </w:p>
          <w:p w14:paraId="7D8614E7" w14:textId="3DCF1653" w:rsidR="00284137" w:rsidRPr="00284137" w:rsidRDefault="00284137" w:rsidP="00284137">
            <w:pPr>
              <w:jc w:val="both"/>
              <w:rPr>
                <w:sz w:val="22"/>
                <w:szCs w:val="22"/>
              </w:rPr>
            </w:pPr>
            <w:r w:rsidRPr="00284137">
              <w:rPr>
                <w:sz w:val="22"/>
                <w:szCs w:val="22"/>
              </w:rPr>
              <w:t xml:space="preserve">Taip, diegėjas gali pateikti šias priemones kaip paslaugą iš programinės įrangos teikiančio tiekėjo infrastruktūros pagal šį naują papildytą reikalavimo punktą techninėje specifikacijoje: „Jeigu tam tikri KUL HIS komponentai bus teikiami, kaip trečiųjų šalių paslauga (Software as a Service), tai Diegėjas turi užtikrinti, kad KUL HIS programiniai komponentai bus diegiami ir KUL HIS duomenys bus saugomi Europos Ekonominės Erdvės (EEE) valstybės teritorijoje esančiame duomenų centre, kuriam taikomas Europos Sąjungos </w:t>
            </w:r>
            <w:r w:rsidRPr="00284137">
              <w:rPr>
                <w:sz w:val="22"/>
                <w:szCs w:val="22"/>
              </w:rPr>
              <w:lastRenderedPageBreak/>
              <w:t>(ES) teisinis reguliavimas ir duomenų centras bei jo teikiamos paslaugos tenkina tokius reikalavimus“.</w:t>
            </w:r>
          </w:p>
        </w:tc>
      </w:tr>
      <w:tr w:rsidR="00284137" w:rsidRPr="00284137" w14:paraId="188E1670" w14:textId="77777777" w:rsidTr="00C334BF">
        <w:trPr>
          <w:trHeight w:val="20"/>
        </w:trPr>
        <w:tc>
          <w:tcPr>
            <w:tcW w:w="676" w:type="dxa"/>
            <w:vMerge/>
            <w:tcBorders>
              <w:left w:val="single" w:sz="4" w:space="0" w:color="auto"/>
              <w:right w:val="single" w:sz="4" w:space="0" w:color="auto"/>
            </w:tcBorders>
            <w:shd w:val="clear" w:color="auto" w:fill="FFFFFF" w:themeFill="background1"/>
          </w:tcPr>
          <w:p w14:paraId="4BF989D5" w14:textId="5584EB99" w:rsidR="00284137" w:rsidRPr="00284137" w:rsidRDefault="00284137" w:rsidP="00284137">
            <w:pPr>
              <w:jc w:val="center"/>
              <w:rPr>
                <w:bCs/>
                <w:sz w:val="22"/>
                <w:szCs w:val="22"/>
              </w:rPr>
            </w:pPr>
          </w:p>
        </w:tc>
        <w:tc>
          <w:tcPr>
            <w:tcW w:w="73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DBBEAB" w14:textId="79E576E2" w:rsidR="00284137" w:rsidRPr="00284137" w:rsidRDefault="00284137" w:rsidP="00284137">
            <w:pPr>
              <w:tabs>
                <w:tab w:val="left" w:pos="1134"/>
              </w:tabs>
              <w:overflowPunct w:val="0"/>
              <w:autoSpaceDE w:val="0"/>
              <w:autoSpaceDN w:val="0"/>
              <w:adjustRightInd w:val="0"/>
              <w:jc w:val="both"/>
              <w:rPr>
                <w:sz w:val="22"/>
                <w:szCs w:val="22"/>
              </w:rPr>
            </w:pPr>
            <w:r w:rsidRPr="00284137">
              <w:rPr>
                <w:sz w:val="22"/>
                <w:szCs w:val="22"/>
              </w:rPr>
              <w:t>Atsižvelgiant į tai, kad numatytas openEHR naudojimas, siūlome įvardinti, kad visos openEHR pagrindu sukurtos formos duomenis turi saugoti openEHR specifikaciją atitinkančioje duomenų saugykloje.</w:t>
            </w:r>
          </w:p>
        </w:tc>
        <w:tc>
          <w:tcPr>
            <w:tcW w:w="7088" w:type="dxa"/>
            <w:tcBorders>
              <w:top w:val="single" w:sz="4" w:space="0" w:color="auto"/>
              <w:left w:val="single" w:sz="4" w:space="0" w:color="auto"/>
              <w:bottom w:val="single" w:sz="4" w:space="0" w:color="auto"/>
              <w:right w:val="single" w:sz="4" w:space="0" w:color="auto"/>
            </w:tcBorders>
            <w:shd w:val="clear" w:color="auto" w:fill="FFFFFF" w:themeFill="background1"/>
          </w:tcPr>
          <w:p w14:paraId="3E2E7D6A" w14:textId="1AFE38C0" w:rsidR="00284137" w:rsidRPr="00284137" w:rsidRDefault="00284137" w:rsidP="00284137">
            <w:pPr>
              <w:jc w:val="both"/>
              <w:rPr>
                <w:sz w:val="22"/>
                <w:szCs w:val="22"/>
              </w:rPr>
            </w:pPr>
            <w:r w:rsidRPr="00284137">
              <w:rPr>
                <w:sz w:val="22"/>
                <w:szCs w:val="22"/>
              </w:rPr>
              <w:t>Atsižvelgta.</w:t>
            </w:r>
          </w:p>
        </w:tc>
      </w:tr>
      <w:tr w:rsidR="00284137" w:rsidRPr="00284137" w14:paraId="316D0105" w14:textId="77777777" w:rsidTr="00C334BF">
        <w:trPr>
          <w:trHeight w:val="20"/>
        </w:trPr>
        <w:tc>
          <w:tcPr>
            <w:tcW w:w="676" w:type="dxa"/>
            <w:vMerge/>
            <w:tcBorders>
              <w:left w:val="single" w:sz="4" w:space="0" w:color="auto"/>
              <w:right w:val="single" w:sz="4" w:space="0" w:color="auto"/>
            </w:tcBorders>
            <w:shd w:val="clear" w:color="auto" w:fill="FFFFFF" w:themeFill="background1"/>
          </w:tcPr>
          <w:p w14:paraId="715E3570" w14:textId="3E809DD8" w:rsidR="00284137" w:rsidRPr="00284137" w:rsidRDefault="00284137" w:rsidP="00284137">
            <w:pPr>
              <w:jc w:val="center"/>
              <w:rPr>
                <w:bCs/>
                <w:sz w:val="22"/>
                <w:szCs w:val="22"/>
              </w:rPr>
            </w:pPr>
          </w:p>
        </w:tc>
        <w:tc>
          <w:tcPr>
            <w:tcW w:w="73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39B379" w14:textId="09E63747" w:rsidR="00284137" w:rsidRPr="00284137" w:rsidRDefault="00284137" w:rsidP="00284137">
            <w:pPr>
              <w:tabs>
                <w:tab w:val="left" w:pos="1134"/>
              </w:tabs>
              <w:overflowPunct w:val="0"/>
              <w:autoSpaceDE w:val="0"/>
              <w:autoSpaceDN w:val="0"/>
              <w:adjustRightInd w:val="0"/>
              <w:jc w:val="both"/>
              <w:rPr>
                <w:sz w:val="22"/>
                <w:szCs w:val="22"/>
              </w:rPr>
            </w:pPr>
            <w:r w:rsidRPr="00284137">
              <w:rPr>
                <w:sz w:val="22"/>
                <w:szCs w:val="22"/>
              </w:rPr>
              <w:t>TS „414. Reikalavimai dokumentų šablonų tvarkymui:“ numatyti reikalavimai dokumentų šablonų kūrimui. Manome, kad turėtų būti tikslinamas šis skyrius ir jo reikalavimai, nurodant, kad šablonai reikalingi sistemoje įvestų duomenų spausdinimui ir/ar pasirašymui el. parašu PDF formato dokumente. Atsižvelgiant į tai, reikalavimas dėl dokumentų registracijos žurnalų tikrai turėtų būti panaikintas. Taip pat reiktų įvertinti ir kitų funkcinių reikalavimų tikslingumą, nes šablonas yra skirtas tik jau esamų duomenų spausdinimui ar PDF dokumento suformavimui prieš pasirašant.</w:t>
            </w:r>
          </w:p>
        </w:tc>
        <w:tc>
          <w:tcPr>
            <w:tcW w:w="7088" w:type="dxa"/>
            <w:tcBorders>
              <w:top w:val="single" w:sz="4" w:space="0" w:color="auto"/>
              <w:left w:val="single" w:sz="4" w:space="0" w:color="auto"/>
              <w:bottom w:val="single" w:sz="4" w:space="0" w:color="auto"/>
              <w:right w:val="single" w:sz="4" w:space="0" w:color="auto"/>
            </w:tcBorders>
            <w:shd w:val="clear" w:color="auto" w:fill="FFFFFF" w:themeFill="background1"/>
          </w:tcPr>
          <w:p w14:paraId="12A72617" w14:textId="4E917A62" w:rsidR="00284137" w:rsidRPr="00284137" w:rsidRDefault="00284137" w:rsidP="00284137">
            <w:pPr>
              <w:jc w:val="both"/>
              <w:rPr>
                <w:bCs/>
                <w:sz w:val="22"/>
                <w:szCs w:val="22"/>
                <w:highlight w:val="yellow"/>
              </w:rPr>
            </w:pPr>
            <w:r w:rsidRPr="00284137">
              <w:rPr>
                <w:bCs/>
                <w:sz w:val="22"/>
                <w:szCs w:val="22"/>
              </w:rPr>
              <w:t>Atsižvelgta.</w:t>
            </w:r>
          </w:p>
        </w:tc>
      </w:tr>
      <w:tr w:rsidR="00284137" w:rsidRPr="00284137" w14:paraId="3EB27094" w14:textId="77777777" w:rsidTr="00C334BF">
        <w:trPr>
          <w:trHeight w:val="20"/>
        </w:trPr>
        <w:tc>
          <w:tcPr>
            <w:tcW w:w="676" w:type="dxa"/>
            <w:vMerge/>
            <w:tcBorders>
              <w:left w:val="single" w:sz="4" w:space="0" w:color="auto"/>
              <w:right w:val="single" w:sz="4" w:space="0" w:color="auto"/>
            </w:tcBorders>
            <w:shd w:val="clear" w:color="auto" w:fill="FFFFFF" w:themeFill="background1"/>
          </w:tcPr>
          <w:p w14:paraId="027025D7" w14:textId="37B7FEB3" w:rsidR="00284137" w:rsidRPr="00284137" w:rsidRDefault="00284137" w:rsidP="00284137">
            <w:pPr>
              <w:jc w:val="center"/>
              <w:rPr>
                <w:bCs/>
                <w:sz w:val="22"/>
                <w:szCs w:val="22"/>
              </w:rPr>
            </w:pPr>
          </w:p>
        </w:tc>
        <w:tc>
          <w:tcPr>
            <w:tcW w:w="73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E823F6" w14:textId="2E39204F" w:rsidR="00284137" w:rsidRPr="00284137" w:rsidRDefault="00284137" w:rsidP="00284137">
            <w:pPr>
              <w:tabs>
                <w:tab w:val="left" w:pos="1134"/>
              </w:tabs>
              <w:overflowPunct w:val="0"/>
              <w:autoSpaceDE w:val="0"/>
              <w:autoSpaceDN w:val="0"/>
              <w:adjustRightInd w:val="0"/>
              <w:jc w:val="both"/>
              <w:rPr>
                <w:sz w:val="22"/>
                <w:szCs w:val="22"/>
              </w:rPr>
            </w:pPr>
            <w:r w:rsidRPr="00284137">
              <w:rPr>
                <w:sz w:val="22"/>
                <w:szCs w:val="22"/>
              </w:rPr>
              <w:t>Skyriuje „431. Reikalavimai naudotojų administravimo funkcionalumui:“ siūlome įsivertinti ar naudotojų administravimas turi būti „vidinis“ siūlome sprendimo ar naudotojai (angl. - identities) turėtų būti valdomi išorinėse sistemose, tokiose kaip Microsoft Entra ID ir pan.</w:t>
            </w:r>
          </w:p>
        </w:tc>
        <w:tc>
          <w:tcPr>
            <w:tcW w:w="7088" w:type="dxa"/>
            <w:tcBorders>
              <w:top w:val="single" w:sz="4" w:space="0" w:color="auto"/>
              <w:left w:val="single" w:sz="4" w:space="0" w:color="auto"/>
              <w:bottom w:val="single" w:sz="4" w:space="0" w:color="auto"/>
              <w:right w:val="single" w:sz="4" w:space="0" w:color="auto"/>
            </w:tcBorders>
            <w:shd w:val="clear" w:color="auto" w:fill="FFFFFF" w:themeFill="background1"/>
          </w:tcPr>
          <w:p w14:paraId="59D9399B" w14:textId="77777777" w:rsidR="00284137" w:rsidRPr="00284137" w:rsidRDefault="00284137" w:rsidP="00284137">
            <w:pPr>
              <w:jc w:val="both"/>
              <w:rPr>
                <w:sz w:val="22"/>
                <w:szCs w:val="22"/>
              </w:rPr>
            </w:pPr>
            <w:r w:rsidRPr="00284137">
              <w:rPr>
                <w:sz w:val="22"/>
                <w:szCs w:val="22"/>
              </w:rPr>
              <w:t xml:space="preserve">Perkančioji organizacija numato naudotojus tvarkyti KUL HIS priemonėmis, tačiau Diegėjas gali analizės ir projektavimo etape siūlyti ir IDaaS sprendimus, jeigu jie tenkina techninės specifikacijos funkcinius reikalavimus keliamus naudotojų administravimui. </w:t>
            </w:r>
          </w:p>
          <w:p w14:paraId="42B8982B" w14:textId="7D16416F" w:rsidR="00284137" w:rsidRPr="00284137" w:rsidRDefault="00284137" w:rsidP="00284137">
            <w:pPr>
              <w:jc w:val="both"/>
              <w:rPr>
                <w:sz w:val="22"/>
                <w:szCs w:val="22"/>
              </w:rPr>
            </w:pPr>
            <w:r w:rsidRPr="00284137">
              <w:rPr>
                <w:sz w:val="22"/>
                <w:szCs w:val="22"/>
              </w:rPr>
              <w:t>Atitinkamai į techninę specifikaciją įtrauktas punktas: „Jeigu tam tikri KUL HIS komponentai bus teikiami, kaip trečiųjų šalių paslauga (Software as a Service), tai Diegėjas turi užtikrinti, kad KUL HIS programiniai komponentai bus diegiami ir KUL HIS duomenys bus saugomi Europos Ekonominės Erdvės (EEE) valstybės teritorijoje esančiame duomenų centre, kuriam taikomas Europos Sąjungos (ES) teisinis reguliavimas ir duomenų centras bei jo teikiamos paslaugos tenkina tokius reikalavimus“.</w:t>
            </w:r>
          </w:p>
        </w:tc>
      </w:tr>
      <w:tr w:rsidR="00284137" w:rsidRPr="00284137" w14:paraId="0D435D66" w14:textId="77777777" w:rsidTr="00C334BF">
        <w:trPr>
          <w:trHeight w:val="20"/>
        </w:trPr>
        <w:tc>
          <w:tcPr>
            <w:tcW w:w="676" w:type="dxa"/>
            <w:vMerge/>
            <w:tcBorders>
              <w:left w:val="single" w:sz="4" w:space="0" w:color="auto"/>
              <w:right w:val="single" w:sz="4" w:space="0" w:color="auto"/>
            </w:tcBorders>
            <w:shd w:val="clear" w:color="auto" w:fill="FFFFFF" w:themeFill="background1"/>
          </w:tcPr>
          <w:p w14:paraId="134D8D0C" w14:textId="0F83FF53" w:rsidR="00284137" w:rsidRPr="00284137" w:rsidRDefault="00284137" w:rsidP="00284137">
            <w:pPr>
              <w:jc w:val="center"/>
              <w:rPr>
                <w:bCs/>
                <w:sz w:val="22"/>
                <w:szCs w:val="22"/>
              </w:rPr>
            </w:pPr>
          </w:p>
        </w:tc>
        <w:tc>
          <w:tcPr>
            <w:tcW w:w="73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726DF3" w14:textId="1F1FAE94" w:rsidR="00284137" w:rsidRPr="00284137" w:rsidRDefault="00284137" w:rsidP="00284137">
            <w:pPr>
              <w:tabs>
                <w:tab w:val="left" w:pos="1134"/>
              </w:tabs>
              <w:overflowPunct w:val="0"/>
              <w:autoSpaceDE w:val="0"/>
              <w:autoSpaceDN w:val="0"/>
              <w:adjustRightInd w:val="0"/>
              <w:jc w:val="both"/>
              <w:rPr>
                <w:sz w:val="22"/>
                <w:szCs w:val="22"/>
              </w:rPr>
            </w:pPr>
            <w:r w:rsidRPr="00284137">
              <w:rPr>
                <w:sz w:val="22"/>
                <w:szCs w:val="22"/>
              </w:rPr>
              <w:t>Skyriuje „435. Informacinėje sistemoje turi būti sukurti ir pateikiami peržiūrai bei klinikinės informacijos registravimui standartizuoti klinikiniai klasifikatoriai, neapsiribojant:“ siūlytume įvardinti, kad turi būti galimybė naudotis ESPBI, VLK SVEIDRA ir kitose susijusiose (integruotose) sistemose naudojamus klasifikatorius bei administruoti įstaigos specifinius klasifikatorius, tokius kaip mokamos paslaugos. Manome, kad TNM, ICD-O-3, ICF galima yra pertekliniai ir nėra aiškūs jų šaltiniai.</w:t>
            </w:r>
          </w:p>
        </w:tc>
        <w:tc>
          <w:tcPr>
            <w:tcW w:w="7088" w:type="dxa"/>
            <w:tcBorders>
              <w:top w:val="single" w:sz="4" w:space="0" w:color="auto"/>
              <w:left w:val="single" w:sz="4" w:space="0" w:color="auto"/>
              <w:bottom w:val="single" w:sz="4" w:space="0" w:color="auto"/>
              <w:right w:val="single" w:sz="4" w:space="0" w:color="auto"/>
            </w:tcBorders>
            <w:shd w:val="clear" w:color="auto" w:fill="FFFFFF" w:themeFill="background1"/>
          </w:tcPr>
          <w:p w14:paraId="67028369" w14:textId="55F3F727" w:rsidR="00284137" w:rsidRPr="00284137" w:rsidRDefault="00284137" w:rsidP="00284137">
            <w:pPr>
              <w:jc w:val="both"/>
              <w:rPr>
                <w:b/>
                <w:bCs/>
                <w:sz w:val="22"/>
                <w:szCs w:val="22"/>
              </w:rPr>
            </w:pPr>
            <w:r w:rsidRPr="00284137">
              <w:rPr>
                <w:sz w:val="22"/>
                <w:szCs w:val="22"/>
              </w:rPr>
              <w:t>Atsižvelgta. Papildyti reikalavimai dėl klasifikatorių naudojimo ir administravimo.</w:t>
            </w:r>
          </w:p>
          <w:p w14:paraId="01F0C85E" w14:textId="382145AA" w:rsidR="00284137" w:rsidRPr="00284137" w:rsidRDefault="00284137" w:rsidP="00284137">
            <w:pPr>
              <w:jc w:val="both"/>
              <w:rPr>
                <w:sz w:val="22"/>
                <w:szCs w:val="22"/>
              </w:rPr>
            </w:pPr>
          </w:p>
        </w:tc>
      </w:tr>
      <w:tr w:rsidR="00284137" w:rsidRPr="00284137" w14:paraId="0AE0830F" w14:textId="77777777" w:rsidTr="00C334BF">
        <w:trPr>
          <w:trHeight w:val="20"/>
        </w:trPr>
        <w:tc>
          <w:tcPr>
            <w:tcW w:w="676" w:type="dxa"/>
            <w:vMerge/>
            <w:tcBorders>
              <w:left w:val="single" w:sz="4" w:space="0" w:color="auto"/>
              <w:right w:val="single" w:sz="4" w:space="0" w:color="auto"/>
            </w:tcBorders>
            <w:shd w:val="clear" w:color="auto" w:fill="FFFFFF" w:themeFill="background1"/>
          </w:tcPr>
          <w:p w14:paraId="7544C1A0" w14:textId="479A13CA" w:rsidR="00284137" w:rsidRPr="00284137" w:rsidRDefault="00284137" w:rsidP="00284137">
            <w:pPr>
              <w:jc w:val="center"/>
              <w:rPr>
                <w:bCs/>
                <w:sz w:val="22"/>
                <w:szCs w:val="22"/>
              </w:rPr>
            </w:pPr>
          </w:p>
        </w:tc>
        <w:tc>
          <w:tcPr>
            <w:tcW w:w="73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9B3D92" w14:textId="3D2B0F85" w:rsidR="00284137" w:rsidRPr="00284137" w:rsidRDefault="00284137" w:rsidP="00284137">
            <w:pPr>
              <w:tabs>
                <w:tab w:val="left" w:pos="1134"/>
              </w:tabs>
              <w:overflowPunct w:val="0"/>
              <w:autoSpaceDE w:val="0"/>
              <w:autoSpaceDN w:val="0"/>
              <w:adjustRightInd w:val="0"/>
              <w:jc w:val="both"/>
              <w:rPr>
                <w:sz w:val="22"/>
                <w:szCs w:val="22"/>
              </w:rPr>
            </w:pPr>
            <w:r w:rsidRPr="00284137">
              <w:rPr>
                <w:sz w:val="22"/>
                <w:szCs w:val="22"/>
              </w:rPr>
              <w:t xml:space="preserve">TS „7.7 REIKALAVIMAI EL. DOKUMENTŲ IR EL. PARAŠŲ KOMPONENTUI“ siūlome patikslinti ar norima programinio sprendimo galinčio veikti su įstaigos turimu (įsigyjamu) HSM ar Diegėjas / tiekėjas turi sudaryti galimybę iš pasiūlyto IS pasirašyti nurodytą kiekį (pvz. 1000 000) dokumentų ir </w:t>
            </w:r>
            <w:r w:rsidRPr="00284137">
              <w:rPr>
                <w:sz w:val="22"/>
                <w:szCs w:val="22"/>
              </w:rPr>
              <w:lastRenderedPageBreak/>
              <w:t>tai gali būti realizuota panaudojant trečios šalies sprendimą, tokį kaip Dokobit ar GoSign paslaugą.</w:t>
            </w:r>
          </w:p>
        </w:tc>
        <w:tc>
          <w:tcPr>
            <w:tcW w:w="7088" w:type="dxa"/>
            <w:tcBorders>
              <w:top w:val="single" w:sz="4" w:space="0" w:color="auto"/>
              <w:left w:val="single" w:sz="4" w:space="0" w:color="auto"/>
              <w:bottom w:val="single" w:sz="4" w:space="0" w:color="auto"/>
              <w:right w:val="single" w:sz="4" w:space="0" w:color="auto"/>
            </w:tcBorders>
            <w:shd w:val="clear" w:color="auto" w:fill="FFFFFF" w:themeFill="background1"/>
          </w:tcPr>
          <w:p w14:paraId="6395F4E3" w14:textId="74C7F11A" w:rsidR="00284137" w:rsidRPr="00284137" w:rsidRDefault="00284137" w:rsidP="00284137">
            <w:pPr>
              <w:jc w:val="both"/>
              <w:rPr>
                <w:sz w:val="22"/>
                <w:szCs w:val="22"/>
              </w:rPr>
            </w:pPr>
            <w:r w:rsidRPr="00284137">
              <w:rPr>
                <w:sz w:val="22"/>
                <w:szCs w:val="22"/>
              </w:rPr>
              <w:lastRenderedPageBreak/>
              <w:t xml:space="preserve">Perkančioji organizacija neplanuoja įsigyti ir eksploatuoti HSM. Diegėjas el. parašų ir el. spaudų sprendimus, kuriems reikalingas centralizuotai veikiantis kriptografinis įrenginys, turi pateikti kaip paslaugą. Pats el. dokumentų ir el. parašų funkcionalumas gali būti siūlomas diegti lokaliai ar būti pateikiamas </w:t>
            </w:r>
            <w:r w:rsidRPr="00284137">
              <w:rPr>
                <w:sz w:val="22"/>
                <w:szCs w:val="22"/>
              </w:rPr>
              <w:lastRenderedPageBreak/>
              <w:t>kaip paslauga. Vienu ar kitu atveju turi būti tenkinami techninės specifikacijos reikalavimai komponento funkcionalumui.</w:t>
            </w:r>
          </w:p>
        </w:tc>
      </w:tr>
      <w:tr w:rsidR="00284137" w:rsidRPr="00284137" w14:paraId="0B749D28" w14:textId="77777777" w:rsidTr="00C334BF">
        <w:trPr>
          <w:trHeight w:val="20"/>
        </w:trPr>
        <w:tc>
          <w:tcPr>
            <w:tcW w:w="676" w:type="dxa"/>
            <w:vMerge/>
            <w:tcBorders>
              <w:left w:val="single" w:sz="4" w:space="0" w:color="auto"/>
              <w:right w:val="single" w:sz="4" w:space="0" w:color="auto"/>
            </w:tcBorders>
            <w:shd w:val="clear" w:color="auto" w:fill="FFFFFF" w:themeFill="background1"/>
          </w:tcPr>
          <w:p w14:paraId="18417EF2" w14:textId="7FFFA4BD" w:rsidR="00284137" w:rsidRPr="00284137" w:rsidRDefault="00284137" w:rsidP="00284137">
            <w:pPr>
              <w:jc w:val="center"/>
              <w:rPr>
                <w:bCs/>
                <w:sz w:val="22"/>
                <w:szCs w:val="22"/>
              </w:rPr>
            </w:pPr>
          </w:p>
        </w:tc>
        <w:tc>
          <w:tcPr>
            <w:tcW w:w="73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D06DB1" w14:textId="70BAE373" w:rsidR="00284137" w:rsidRPr="00284137" w:rsidRDefault="00284137" w:rsidP="00284137">
            <w:pPr>
              <w:tabs>
                <w:tab w:val="left" w:pos="1134"/>
              </w:tabs>
              <w:overflowPunct w:val="0"/>
              <w:autoSpaceDE w:val="0"/>
              <w:autoSpaceDN w:val="0"/>
              <w:adjustRightInd w:val="0"/>
              <w:jc w:val="both"/>
              <w:rPr>
                <w:sz w:val="22"/>
                <w:szCs w:val="22"/>
              </w:rPr>
            </w:pPr>
            <w:r w:rsidRPr="00284137">
              <w:rPr>
                <w:sz w:val="22"/>
                <w:szCs w:val="22"/>
              </w:rPr>
              <w:t>TS „7.2 lentelė. Reikalavimai integracinių sąsajų realizavimui“ aprašytuose reikalavimuose siūlome nurodyti prie dar nesamų informacinių sistemų (pvz. Laboratorinės sistemos), kad integracijos gali būti įdiegtos garantinio laikotarpio metu.</w:t>
            </w:r>
          </w:p>
        </w:tc>
        <w:tc>
          <w:tcPr>
            <w:tcW w:w="7088" w:type="dxa"/>
            <w:tcBorders>
              <w:top w:val="single" w:sz="4" w:space="0" w:color="auto"/>
              <w:left w:val="single" w:sz="4" w:space="0" w:color="auto"/>
              <w:bottom w:val="single" w:sz="4" w:space="0" w:color="auto"/>
              <w:right w:val="single" w:sz="4" w:space="0" w:color="auto"/>
            </w:tcBorders>
            <w:shd w:val="clear" w:color="auto" w:fill="FFFFFF" w:themeFill="background1"/>
          </w:tcPr>
          <w:p w14:paraId="5F0CDC84" w14:textId="3F41FDD4" w:rsidR="00284137" w:rsidRPr="00284137" w:rsidRDefault="00284137" w:rsidP="00284137">
            <w:pPr>
              <w:jc w:val="both"/>
              <w:rPr>
                <w:b/>
                <w:bCs/>
                <w:sz w:val="22"/>
                <w:szCs w:val="22"/>
                <w:highlight w:val="yellow"/>
              </w:rPr>
            </w:pPr>
            <w:r w:rsidRPr="00284137">
              <w:rPr>
                <w:sz w:val="22"/>
                <w:szCs w:val="22"/>
              </w:rPr>
              <w:t xml:space="preserve">Neatsižvelgta. Visos paslaugos turi būti suteiktos iki projekto pabaigos t.y. iki garantinė priežiūros pradžios. </w:t>
            </w:r>
          </w:p>
        </w:tc>
      </w:tr>
      <w:tr w:rsidR="00284137" w:rsidRPr="00284137" w14:paraId="7CFACBB6" w14:textId="77777777" w:rsidTr="00C334BF">
        <w:trPr>
          <w:trHeight w:val="20"/>
        </w:trPr>
        <w:tc>
          <w:tcPr>
            <w:tcW w:w="676" w:type="dxa"/>
            <w:vMerge/>
            <w:tcBorders>
              <w:left w:val="single" w:sz="4" w:space="0" w:color="auto"/>
              <w:right w:val="single" w:sz="4" w:space="0" w:color="auto"/>
            </w:tcBorders>
            <w:shd w:val="clear" w:color="auto" w:fill="FFFFFF" w:themeFill="background1"/>
          </w:tcPr>
          <w:p w14:paraId="75A35778" w14:textId="076DBB02" w:rsidR="00284137" w:rsidRPr="00284137" w:rsidRDefault="00284137" w:rsidP="00284137">
            <w:pPr>
              <w:jc w:val="center"/>
              <w:rPr>
                <w:bCs/>
                <w:sz w:val="22"/>
                <w:szCs w:val="22"/>
              </w:rPr>
            </w:pPr>
          </w:p>
        </w:tc>
        <w:tc>
          <w:tcPr>
            <w:tcW w:w="73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82295B" w14:textId="46C065D5" w:rsidR="00284137" w:rsidRPr="00284137" w:rsidRDefault="00284137" w:rsidP="00284137">
            <w:pPr>
              <w:tabs>
                <w:tab w:val="left" w:pos="1134"/>
              </w:tabs>
              <w:overflowPunct w:val="0"/>
              <w:autoSpaceDE w:val="0"/>
              <w:autoSpaceDN w:val="0"/>
              <w:adjustRightInd w:val="0"/>
              <w:jc w:val="both"/>
              <w:rPr>
                <w:sz w:val="22"/>
                <w:szCs w:val="22"/>
              </w:rPr>
            </w:pPr>
            <w:r w:rsidRPr="00284137">
              <w:rPr>
                <w:sz w:val="22"/>
                <w:szCs w:val="22"/>
              </w:rPr>
              <w:t>TS „7.8 REIKALAVIMAI ATASKAITŲ IR INFORMACIJOS ANALIZĖS MODULIUI“ skyriuje siūlytume nurodyta ar gali būti siūlomas duomenų analizės sprendimas debesyje – pvz. Microsoft Fabric, DataBricks ir pan. Jei gali būti – siūlytume nurodyti, kad turi būti užtikrinamas 24 mėn. veikimas, tame tarp ir reikiamos licencijos.</w:t>
            </w:r>
          </w:p>
        </w:tc>
        <w:tc>
          <w:tcPr>
            <w:tcW w:w="7088" w:type="dxa"/>
            <w:tcBorders>
              <w:top w:val="single" w:sz="4" w:space="0" w:color="auto"/>
              <w:left w:val="single" w:sz="4" w:space="0" w:color="auto"/>
              <w:bottom w:val="single" w:sz="4" w:space="0" w:color="auto"/>
              <w:right w:val="single" w:sz="4" w:space="0" w:color="auto"/>
            </w:tcBorders>
            <w:shd w:val="clear" w:color="auto" w:fill="FFFFFF" w:themeFill="background1"/>
          </w:tcPr>
          <w:p w14:paraId="7232A463" w14:textId="57B2152F" w:rsidR="00284137" w:rsidRPr="00284137" w:rsidRDefault="00284137" w:rsidP="00284137">
            <w:pPr>
              <w:jc w:val="both"/>
              <w:rPr>
                <w:sz w:val="22"/>
                <w:szCs w:val="22"/>
              </w:rPr>
            </w:pPr>
            <w:r w:rsidRPr="00284137">
              <w:rPr>
                <w:sz w:val="22"/>
                <w:szCs w:val="22"/>
              </w:rPr>
              <w:t xml:space="preserve">Perkančioji organizacija numato naudotojus tvarkyti KUL HIS priemonėmis, tačiau Diegėjas gali analizės ir projektavimo etape siūlyti ir SaaS sprendimus, jeigu jie tenkina techninės specifikacijos funkcinius reikalavimus keliamus ataskaitų tvarkymui. </w:t>
            </w:r>
          </w:p>
          <w:p w14:paraId="0F5DD83D" w14:textId="77777777" w:rsidR="00284137" w:rsidRPr="00284137" w:rsidRDefault="00284137" w:rsidP="00284137">
            <w:pPr>
              <w:jc w:val="both"/>
              <w:rPr>
                <w:sz w:val="22"/>
                <w:szCs w:val="22"/>
              </w:rPr>
            </w:pPr>
            <w:r w:rsidRPr="00284137">
              <w:rPr>
                <w:sz w:val="22"/>
                <w:szCs w:val="22"/>
              </w:rPr>
              <w:t>Atitinkamai į techninę specifikaciją įtrauktas punktas: „Jeigu tam tikri KUL HIS komponentai bus teikiami, kaip trečiųjų šalių paslauga (Software as a Service), tai Diegėjas turi užtikrinti, kad KUL HIS programiniai komponentai bus diegiami ir KUL HIS duomenys bus saugomi Europos Ekonominės Erdvės (EEE) valstybės teritorijoje esančiame duomenų centre, kuriam taikomas Europos Sąjungos (ES) teisinis reguliavimas ir duomenų centras bei jo teikiamos paslaugos tenkina tokius reikalavimus“.</w:t>
            </w:r>
          </w:p>
          <w:p w14:paraId="7B797141" w14:textId="38561406" w:rsidR="00284137" w:rsidRPr="00284137" w:rsidRDefault="00284137" w:rsidP="00284137">
            <w:pPr>
              <w:jc w:val="both"/>
              <w:rPr>
                <w:sz w:val="22"/>
                <w:szCs w:val="22"/>
              </w:rPr>
            </w:pPr>
            <w:r w:rsidRPr="00284137">
              <w:rPr>
                <w:sz w:val="22"/>
                <w:szCs w:val="22"/>
              </w:rPr>
              <w:t>Reikalavimai programinės įrangos licencijoms pateikti 8.12 skyriuje.</w:t>
            </w:r>
          </w:p>
        </w:tc>
      </w:tr>
      <w:tr w:rsidR="00284137" w:rsidRPr="00284137" w14:paraId="37E1CDF1" w14:textId="77777777" w:rsidTr="00C334BF">
        <w:trPr>
          <w:trHeight w:val="20"/>
        </w:trPr>
        <w:tc>
          <w:tcPr>
            <w:tcW w:w="676" w:type="dxa"/>
            <w:vMerge/>
            <w:tcBorders>
              <w:left w:val="single" w:sz="4" w:space="0" w:color="auto"/>
              <w:right w:val="single" w:sz="4" w:space="0" w:color="auto"/>
            </w:tcBorders>
            <w:shd w:val="clear" w:color="auto" w:fill="FFFFFF" w:themeFill="background1"/>
          </w:tcPr>
          <w:p w14:paraId="58A3B2EA" w14:textId="5C92FE7D" w:rsidR="00284137" w:rsidRPr="00284137" w:rsidRDefault="00284137" w:rsidP="00284137">
            <w:pPr>
              <w:jc w:val="center"/>
              <w:rPr>
                <w:bCs/>
                <w:sz w:val="22"/>
                <w:szCs w:val="22"/>
              </w:rPr>
            </w:pPr>
          </w:p>
        </w:tc>
        <w:tc>
          <w:tcPr>
            <w:tcW w:w="73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EB3058" w14:textId="2BE551B1" w:rsidR="00284137" w:rsidRPr="00284137" w:rsidRDefault="00284137" w:rsidP="00284137">
            <w:pPr>
              <w:tabs>
                <w:tab w:val="left" w:pos="1134"/>
              </w:tabs>
              <w:overflowPunct w:val="0"/>
              <w:autoSpaceDE w:val="0"/>
              <w:autoSpaceDN w:val="0"/>
              <w:adjustRightInd w:val="0"/>
              <w:jc w:val="both"/>
              <w:rPr>
                <w:sz w:val="22"/>
                <w:szCs w:val="22"/>
              </w:rPr>
            </w:pPr>
            <w:r w:rsidRPr="00284137">
              <w:rPr>
                <w:sz w:val="22"/>
                <w:szCs w:val="22"/>
              </w:rPr>
              <w:t>TS reikalavime „504. Diegėjas turi sukurti KUL HIS naudotojo sąsajos dizainą, taikant geriausias UX (angl. User experience) ir UI (angl. User interface) praktikas.“ siūlome tikslinti formuluotes nurodant, kad Diegėjo siūlomo sprendimo naudotojo sąsaja turi būti kurta ir vystoma vadovaujantis nurodytomis gerosiomis praktikomis ir standartais. Dabartinė formuluotė sako, kad turi būti sukurta nauja naudotojo sąsaja skirta KUL, kas šio projekto terminais neįmanoma įgyvendinti.</w:t>
            </w:r>
          </w:p>
        </w:tc>
        <w:tc>
          <w:tcPr>
            <w:tcW w:w="7088" w:type="dxa"/>
            <w:tcBorders>
              <w:top w:val="single" w:sz="4" w:space="0" w:color="auto"/>
              <w:left w:val="single" w:sz="4" w:space="0" w:color="auto"/>
              <w:bottom w:val="single" w:sz="4" w:space="0" w:color="auto"/>
              <w:right w:val="single" w:sz="4" w:space="0" w:color="auto"/>
            </w:tcBorders>
            <w:shd w:val="clear" w:color="auto" w:fill="FFFFFF" w:themeFill="background1"/>
          </w:tcPr>
          <w:p w14:paraId="45AA789C" w14:textId="7D36C72D" w:rsidR="00284137" w:rsidRPr="00284137" w:rsidRDefault="00284137" w:rsidP="00284137">
            <w:pPr>
              <w:jc w:val="both"/>
              <w:rPr>
                <w:b/>
                <w:bCs/>
                <w:sz w:val="22"/>
                <w:szCs w:val="22"/>
              </w:rPr>
            </w:pPr>
            <w:r w:rsidRPr="00284137">
              <w:rPr>
                <w:sz w:val="22"/>
                <w:szCs w:val="22"/>
              </w:rPr>
              <w:t>Atsižvelgta.</w:t>
            </w:r>
          </w:p>
        </w:tc>
      </w:tr>
      <w:tr w:rsidR="00284137" w:rsidRPr="00284137" w14:paraId="3F00B0A1" w14:textId="77777777" w:rsidTr="00C334BF">
        <w:trPr>
          <w:trHeight w:val="20"/>
        </w:trPr>
        <w:tc>
          <w:tcPr>
            <w:tcW w:w="676" w:type="dxa"/>
            <w:vMerge/>
            <w:tcBorders>
              <w:left w:val="single" w:sz="4" w:space="0" w:color="auto"/>
              <w:right w:val="single" w:sz="4" w:space="0" w:color="auto"/>
            </w:tcBorders>
            <w:shd w:val="clear" w:color="auto" w:fill="FFFFFF" w:themeFill="background1"/>
          </w:tcPr>
          <w:p w14:paraId="5B1E0CD8" w14:textId="686405A1" w:rsidR="00284137" w:rsidRPr="00284137" w:rsidRDefault="00284137" w:rsidP="00284137">
            <w:pPr>
              <w:jc w:val="center"/>
              <w:rPr>
                <w:bCs/>
                <w:sz w:val="22"/>
                <w:szCs w:val="22"/>
              </w:rPr>
            </w:pPr>
          </w:p>
        </w:tc>
        <w:tc>
          <w:tcPr>
            <w:tcW w:w="73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D0B1CD" w14:textId="196C046E" w:rsidR="00284137" w:rsidRPr="00284137" w:rsidRDefault="00284137" w:rsidP="00284137">
            <w:pPr>
              <w:tabs>
                <w:tab w:val="left" w:pos="1134"/>
              </w:tabs>
              <w:overflowPunct w:val="0"/>
              <w:autoSpaceDE w:val="0"/>
              <w:autoSpaceDN w:val="0"/>
              <w:adjustRightInd w:val="0"/>
              <w:jc w:val="both"/>
              <w:rPr>
                <w:sz w:val="22"/>
                <w:szCs w:val="22"/>
              </w:rPr>
            </w:pPr>
            <w:r w:rsidRPr="00284137">
              <w:rPr>
                <w:sz w:val="22"/>
                <w:szCs w:val="22"/>
              </w:rPr>
              <w:t>Siūlome TS nurodyti ar bus reikalingi istorinių duomenų perkėlimas iš dabar naudojamos KUL IS. Atsižvelgiant į projekto terminus siūlome numatyti, kad duomenų migravimas nebus vykdomas ir istoriniai duomenys bus prieinama esamoje (senoje KUL IS). Naujos KUL IS veikimui reikiami duomenys turi būti importuojami iš ESPBI, VLK ar kitų nacionalinių sistemų minimalia apimtimi veiklos tęstinumui užtikrinti, nekeliant uždavinio turėti istorinius paciento duomenis naujoje sistemoje.</w:t>
            </w:r>
          </w:p>
        </w:tc>
        <w:tc>
          <w:tcPr>
            <w:tcW w:w="7088" w:type="dxa"/>
            <w:tcBorders>
              <w:top w:val="single" w:sz="4" w:space="0" w:color="auto"/>
              <w:left w:val="single" w:sz="4" w:space="0" w:color="auto"/>
              <w:bottom w:val="single" w:sz="4" w:space="0" w:color="auto"/>
              <w:right w:val="single" w:sz="4" w:space="0" w:color="auto"/>
            </w:tcBorders>
            <w:shd w:val="clear" w:color="auto" w:fill="FFFFFF" w:themeFill="background1"/>
          </w:tcPr>
          <w:p w14:paraId="2A41F27F" w14:textId="61B37545" w:rsidR="00284137" w:rsidRPr="00284137" w:rsidRDefault="00284137" w:rsidP="00284137">
            <w:pPr>
              <w:ind w:left="-108" w:firstLine="108"/>
              <w:jc w:val="both"/>
              <w:rPr>
                <w:b/>
                <w:bCs/>
                <w:sz w:val="22"/>
                <w:szCs w:val="22"/>
              </w:rPr>
            </w:pPr>
            <w:r w:rsidRPr="00284137">
              <w:rPr>
                <w:sz w:val="22"/>
                <w:szCs w:val="22"/>
              </w:rPr>
              <w:t>Atsižvelgta. 8.1 skyriuje reikalavimai papildyti punktu: „Duomenų migravimas iš dabar naudojamos KUL IS nebus vykdomas ir istoriniai duomenys bus prieinama esamoje (senoje KUL IS). Naujos KUL HIS veikimui reikiami duomenys turi būti importuojami iš ESPBI, VLK ar kitų nacionalinių sistemų tokia apimtimi, kad būtų užtikrintas veiklos tęstinumas, nekeliant uždavinio turėti istorinius (iš dabar KUL naudojamos sistemos) paciento duomenis naujoje sistemoje“.</w:t>
            </w:r>
          </w:p>
        </w:tc>
      </w:tr>
      <w:tr w:rsidR="00284137" w:rsidRPr="00284137" w14:paraId="39422831" w14:textId="77777777" w:rsidTr="00C334BF">
        <w:trPr>
          <w:trHeight w:val="20"/>
        </w:trPr>
        <w:tc>
          <w:tcPr>
            <w:tcW w:w="676" w:type="dxa"/>
            <w:tcBorders>
              <w:left w:val="single" w:sz="4" w:space="0" w:color="auto"/>
              <w:right w:val="single" w:sz="4" w:space="0" w:color="auto"/>
            </w:tcBorders>
            <w:shd w:val="clear" w:color="auto" w:fill="FFFFFF" w:themeFill="background1"/>
          </w:tcPr>
          <w:p w14:paraId="1D5631AA" w14:textId="77777777" w:rsidR="00284137" w:rsidRPr="00284137" w:rsidRDefault="00284137" w:rsidP="00284137">
            <w:pPr>
              <w:jc w:val="center"/>
              <w:rPr>
                <w:bCs/>
                <w:sz w:val="22"/>
                <w:szCs w:val="22"/>
              </w:rPr>
            </w:pPr>
          </w:p>
        </w:tc>
        <w:tc>
          <w:tcPr>
            <w:tcW w:w="73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90E5D7" w14:textId="664551F0" w:rsidR="00284137" w:rsidRPr="00284137" w:rsidRDefault="00284137" w:rsidP="00284137">
            <w:pPr>
              <w:tabs>
                <w:tab w:val="left" w:pos="1134"/>
              </w:tabs>
              <w:overflowPunct w:val="0"/>
              <w:autoSpaceDE w:val="0"/>
              <w:autoSpaceDN w:val="0"/>
              <w:adjustRightInd w:val="0"/>
              <w:jc w:val="both"/>
              <w:rPr>
                <w:sz w:val="22"/>
                <w:szCs w:val="22"/>
              </w:rPr>
            </w:pPr>
            <w:r w:rsidRPr="00284137">
              <w:rPr>
                <w:sz w:val="22"/>
                <w:szCs w:val="22"/>
              </w:rPr>
              <w:t>Siūlomi įgyvendinimo grafikai:</w:t>
            </w:r>
          </w:p>
          <w:p w14:paraId="0E4670BE" w14:textId="77777777" w:rsidR="00284137" w:rsidRPr="00284137" w:rsidRDefault="00284137" w:rsidP="00284137">
            <w:pPr>
              <w:tabs>
                <w:tab w:val="left" w:pos="1134"/>
              </w:tabs>
              <w:overflowPunct w:val="0"/>
              <w:autoSpaceDE w:val="0"/>
              <w:autoSpaceDN w:val="0"/>
              <w:adjustRightInd w:val="0"/>
              <w:jc w:val="both"/>
              <w:rPr>
                <w:sz w:val="22"/>
                <w:szCs w:val="22"/>
              </w:rPr>
            </w:pPr>
            <w:r w:rsidRPr="00284137">
              <w:rPr>
                <w:sz w:val="22"/>
                <w:szCs w:val="22"/>
              </w:rPr>
              <w:t xml:space="preserve">1 variantas. Jei būtų diegiama šiuo metu LNSS įstaigose (universitetinėse ar respublikinio pavaldumo gydymo įstaigose) naudojama informacinė sistema (pvz. SPĮ IS Esis/Varis; Santa-HIS), tik papildant jas naujais funkcionalumais: </w:t>
            </w:r>
          </w:p>
          <w:p w14:paraId="598FC3B5" w14:textId="77777777" w:rsidR="00284137" w:rsidRPr="00284137" w:rsidRDefault="00284137" w:rsidP="00284137">
            <w:pPr>
              <w:tabs>
                <w:tab w:val="left" w:pos="1134"/>
              </w:tabs>
              <w:overflowPunct w:val="0"/>
              <w:autoSpaceDE w:val="0"/>
              <w:autoSpaceDN w:val="0"/>
              <w:adjustRightInd w:val="0"/>
              <w:jc w:val="both"/>
              <w:rPr>
                <w:sz w:val="22"/>
                <w:szCs w:val="22"/>
              </w:rPr>
            </w:pPr>
            <w:r w:rsidRPr="00284137">
              <w:rPr>
                <w:sz w:val="22"/>
                <w:szCs w:val="22"/>
              </w:rPr>
              <w:lastRenderedPageBreak/>
              <w:t xml:space="preserve">1.1. Iniciavimas – iki 10 darbo dienų; </w:t>
            </w:r>
          </w:p>
          <w:p w14:paraId="5C8F8532" w14:textId="77777777" w:rsidR="00284137" w:rsidRPr="00284137" w:rsidRDefault="00284137" w:rsidP="00284137">
            <w:pPr>
              <w:tabs>
                <w:tab w:val="left" w:pos="1134"/>
              </w:tabs>
              <w:overflowPunct w:val="0"/>
              <w:autoSpaceDE w:val="0"/>
              <w:autoSpaceDN w:val="0"/>
              <w:adjustRightInd w:val="0"/>
              <w:jc w:val="both"/>
              <w:rPr>
                <w:sz w:val="22"/>
                <w:szCs w:val="22"/>
              </w:rPr>
            </w:pPr>
            <w:r w:rsidRPr="00284137">
              <w:rPr>
                <w:sz w:val="22"/>
                <w:szCs w:val="22"/>
              </w:rPr>
              <w:t xml:space="preserve">1.2. Detali analizė ir projektavimas (tik naujiems / kuriamiems funkcionalumams) ir esamų funkcionalumų modernizavimo poreikių analizė– 4 mėnesiai; </w:t>
            </w:r>
          </w:p>
          <w:p w14:paraId="555B4646" w14:textId="77777777" w:rsidR="00284137" w:rsidRPr="00284137" w:rsidRDefault="00284137" w:rsidP="00284137">
            <w:pPr>
              <w:tabs>
                <w:tab w:val="left" w:pos="1134"/>
              </w:tabs>
              <w:overflowPunct w:val="0"/>
              <w:autoSpaceDE w:val="0"/>
              <w:autoSpaceDN w:val="0"/>
              <w:adjustRightInd w:val="0"/>
              <w:jc w:val="both"/>
              <w:rPr>
                <w:sz w:val="22"/>
                <w:szCs w:val="22"/>
              </w:rPr>
            </w:pPr>
            <w:r w:rsidRPr="00284137">
              <w:rPr>
                <w:sz w:val="22"/>
                <w:szCs w:val="22"/>
              </w:rPr>
              <w:t xml:space="preserve">1.3. Kūrimas (tik naujiems / kuriamiems funkcionalumams) ir modernizavimas – 4 mėnesiai; </w:t>
            </w:r>
          </w:p>
          <w:p w14:paraId="0B4C744F" w14:textId="77777777" w:rsidR="00284137" w:rsidRPr="00284137" w:rsidRDefault="00284137" w:rsidP="00284137">
            <w:pPr>
              <w:tabs>
                <w:tab w:val="left" w:pos="1134"/>
              </w:tabs>
              <w:overflowPunct w:val="0"/>
              <w:autoSpaceDE w:val="0"/>
              <w:autoSpaceDN w:val="0"/>
              <w:adjustRightInd w:val="0"/>
              <w:jc w:val="both"/>
              <w:rPr>
                <w:sz w:val="22"/>
                <w:szCs w:val="22"/>
              </w:rPr>
            </w:pPr>
            <w:r w:rsidRPr="00284137">
              <w:rPr>
                <w:sz w:val="22"/>
                <w:szCs w:val="22"/>
              </w:rPr>
              <w:t xml:space="preserve">1.4. Diegimas testavimo aplinkoje, priėmimo testavimas, mokymai (visi funkcionalumai) – 1 mėnuo; </w:t>
            </w:r>
          </w:p>
          <w:p w14:paraId="76E22676" w14:textId="77777777" w:rsidR="00284137" w:rsidRPr="00284137" w:rsidRDefault="00284137" w:rsidP="00284137">
            <w:pPr>
              <w:tabs>
                <w:tab w:val="left" w:pos="1134"/>
              </w:tabs>
              <w:overflowPunct w:val="0"/>
              <w:autoSpaceDE w:val="0"/>
              <w:autoSpaceDN w:val="0"/>
              <w:adjustRightInd w:val="0"/>
              <w:jc w:val="both"/>
              <w:rPr>
                <w:sz w:val="22"/>
                <w:szCs w:val="22"/>
              </w:rPr>
            </w:pPr>
            <w:r w:rsidRPr="00284137">
              <w:rPr>
                <w:sz w:val="22"/>
                <w:szCs w:val="22"/>
              </w:rPr>
              <w:t xml:space="preserve">1.5. Bandomoji eksploatacija (visi funkcionalumai) – ne mažiau kaip 2 mėnesiai; </w:t>
            </w:r>
          </w:p>
          <w:p w14:paraId="29853C08" w14:textId="0C654898" w:rsidR="00284137" w:rsidRPr="00284137" w:rsidRDefault="00284137" w:rsidP="00284137">
            <w:pPr>
              <w:tabs>
                <w:tab w:val="left" w:pos="1134"/>
              </w:tabs>
              <w:overflowPunct w:val="0"/>
              <w:autoSpaceDE w:val="0"/>
              <w:autoSpaceDN w:val="0"/>
              <w:adjustRightInd w:val="0"/>
              <w:jc w:val="both"/>
              <w:rPr>
                <w:sz w:val="22"/>
                <w:szCs w:val="22"/>
              </w:rPr>
            </w:pPr>
            <w:r w:rsidRPr="00284137">
              <w:rPr>
                <w:sz w:val="22"/>
                <w:szCs w:val="22"/>
              </w:rPr>
              <w:t xml:space="preserve">Iš viso: iki 8 mėnesių (kai kurie etapai vykdomi lygiagrečiai). </w:t>
            </w:r>
          </w:p>
          <w:p w14:paraId="67DAD51A" w14:textId="5CEA7487" w:rsidR="00284137" w:rsidRPr="00284137" w:rsidRDefault="00284137" w:rsidP="00284137">
            <w:pPr>
              <w:tabs>
                <w:tab w:val="left" w:pos="1134"/>
              </w:tabs>
              <w:overflowPunct w:val="0"/>
              <w:autoSpaceDE w:val="0"/>
              <w:autoSpaceDN w:val="0"/>
              <w:adjustRightInd w:val="0"/>
              <w:jc w:val="both"/>
              <w:rPr>
                <w:sz w:val="22"/>
                <w:szCs w:val="22"/>
              </w:rPr>
            </w:pPr>
            <w:r w:rsidRPr="00284137">
              <w:rPr>
                <w:sz w:val="22"/>
                <w:szCs w:val="22"/>
              </w:rPr>
              <w:t xml:space="preserve">2 variantas. Jei būtų atliekama detali visų Perkančiosios organizacijos nurodytų funkcinių reikalavimų detali analizė ir projektavimas bei pagal jų rezultatus būtų iš esmės modernizuojami siūlomos SPĮ IS funkcionalumai bei kuriami nauji funkcionalumai: </w:t>
            </w:r>
          </w:p>
          <w:p w14:paraId="725CD965" w14:textId="77777777" w:rsidR="00284137" w:rsidRPr="00284137" w:rsidRDefault="00284137" w:rsidP="00284137">
            <w:pPr>
              <w:tabs>
                <w:tab w:val="left" w:pos="1134"/>
              </w:tabs>
              <w:overflowPunct w:val="0"/>
              <w:autoSpaceDE w:val="0"/>
              <w:autoSpaceDN w:val="0"/>
              <w:adjustRightInd w:val="0"/>
              <w:jc w:val="both"/>
              <w:rPr>
                <w:sz w:val="22"/>
                <w:szCs w:val="22"/>
              </w:rPr>
            </w:pPr>
            <w:r w:rsidRPr="00284137">
              <w:rPr>
                <w:sz w:val="22"/>
                <w:szCs w:val="22"/>
              </w:rPr>
              <w:t xml:space="preserve">1.1. Iniciavimas – iki 10 darbo dienų; </w:t>
            </w:r>
          </w:p>
          <w:p w14:paraId="1B253B1B" w14:textId="512E2561" w:rsidR="00284137" w:rsidRPr="00284137" w:rsidRDefault="00284137" w:rsidP="00284137">
            <w:pPr>
              <w:tabs>
                <w:tab w:val="left" w:pos="1134"/>
              </w:tabs>
              <w:overflowPunct w:val="0"/>
              <w:autoSpaceDE w:val="0"/>
              <w:autoSpaceDN w:val="0"/>
              <w:adjustRightInd w:val="0"/>
              <w:jc w:val="both"/>
              <w:rPr>
                <w:sz w:val="22"/>
                <w:szCs w:val="22"/>
              </w:rPr>
            </w:pPr>
            <w:r w:rsidRPr="00284137">
              <w:rPr>
                <w:sz w:val="22"/>
                <w:szCs w:val="22"/>
              </w:rPr>
              <w:t>1.2. Detali analizė ir projektavimas (visi funkcionalumai) – 8 mėnesiai;</w:t>
            </w:r>
          </w:p>
          <w:p w14:paraId="5DBD32E3" w14:textId="77777777" w:rsidR="00284137" w:rsidRPr="00284137" w:rsidRDefault="00284137" w:rsidP="00284137">
            <w:pPr>
              <w:tabs>
                <w:tab w:val="left" w:pos="1134"/>
              </w:tabs>
              <w:overflowPunct w:val="0"/>
              <w:autoSpaceDE w:val="0"/>
              <w:autoSpaceDN w:val="0"/>
              <w:adjustRightInd w:val="0"/>
              <w:jc w:val="both"/>
              <w:rPr>
                <w:sz w:val="22"/>
                <w:szCs w:val="22"/>
              </w:rPr>
            </w:pPr>
            <w:r w:rsidRPr="00284137">
              <w:rPr>
                <w:sz w:val="22"/>
                <w:szCs w:val="22"/>
              </w:rPr>
              <w:t xml:space="preserve">1.3. Kūrimas ir modernizavimas – 12 mėnesių; </w:t>
            </w:r>
          </w:p>
          <w:p w14:paraId="08D683FD" w14:textId="77777777" w:rsidR="00284137" w:rsidRPr="00284137" w:rsidRDefault="00284137" w:rsidP="00284137">
            <w:pPr>
              <w:tabs>
                <w:tab w:val="left" w:pos="1134"/>
              </w:tabs>
              <w:overflowPunct w:val="0"/>
              <w:autoSpaceDE w:val="0"/>
              <w:autoSpaceDN w:val="0"/>
              <w:adjustRightInd w:val="0"/>
              <w:jc w:val="both"/>
              <w:rPr>
                <w:sz w:val="22"/>
                <w:szCs w:val="22"/>
              </w:rPr>
            </w:pPr>
            <w:r w:rsidRPr="00284137">
              <w:rPr>
                <w:sz w:val="22"/>
                <w:szCs w:val="22"/>
              </w:rPr>
              <w:t xml:space="preserve">1.4. Diegimas testavimo aplinkoje, priėmimo testavimas, mokymai (visi funkcionalumai) – 3 mėnesiai; </w:t>
            </w:r>
          </w:p>
          <w:p w14:paraId="3C986FBA" w14:textId="77777777" w:rsidR="00284137" w:rsidRPr="00284137" w:rsidRDefault="00284137" w:rsidP="00284137">
            <w:pPr>
              <w:tabs>
                <w:tab w:val="left" w:pos="1134"/>
              </w:tabs>
              <w:overflowPunct w:val="0"/>
              <w:autoSpaceDE w:val="0"/>
              <w:autoSpaceDN w:val="0"/>
              <w:adjustRightInd w:val="0"/>
              <w:jc w:val="both"/>
              <w:rPr>
                <w:sz w:val="22"/>
                <w:szCs w:val="22"/>
              </w:rPr>
            </w:pPr>
            <w:r w:rsidRPr="00284137">
              <w:rPr>
                <w:sz w:val="22"/>
                <w:szCs w:val="22"/>
              </w:rPr>
              <w:t xml:space="preserve">1.5. Bandomoji eksploatacija (visi funkcionalumai) – ne mažiau kaip 2 mėnesiai; </w:t>
            </w:r>
          </w:p>
          <w:p w14:paraId="616F486F" w14:textId="775CC257" w:rsidR="00284137" w:rsidRPr="00284137" w:rsidRDefault="00284137" w:rsidP="00284137">
            <w:pPr>
              <w:tabs>
                <w:tab w:val="left" w:pos="1134"/>
              </w:tabs>
              <w:overflowPunct w:val="0"/>
              <w:autoSpaceDE w:val="0"/>
              <w:autoSpaceDN w:val="0"/>
              <w:adjustRightInd w:val="0"/>
              <w:jc w:val="both"/>
              <w:rPr>
                <w:sz w:val="22"/>
                <w:szCs w:val="22"/>
              </w:rPr>
            </w:pPr>
            <w:r w:rsidRPr="00284137">
              <w:rPr>
                <w:sz w:val="22"/>
                <w:szCs w:val="22"/>
              </w:rPr>
              <w:t>Iš viso: iki 20 mėnesių (kai kurie etapai vykdomi lygiagrečiai).</w:t>
            </w:r>
          </w:p>
        </w:tc>
        <w:tc>
          <w:tcPr>
            <w:tcW w:w="7088" w:type="dxa"/>
            <w:tcBorders>
              <w:top w:val="single" w:sz="4" w:space="0" w:color="auto"/>
              <w:left w:val="single" w:sz="4" w:space="0" w:color="auto"/>
              <w:bottom w:val="single" w:sz="4" w:space="0" w:color="auto"/>
              <w:right w:val="single" w:sz="4" w:space="0" w:color="auto"/>
            </w:tcBorders>
            <w:shd w:val="clear" w:color="auto" w:fill="FFFFFF" w:themeFill="background1"/>
          </w:tcPr>
          <w:p w14:paraId="053ABBC5" w14:textId="3CA6CE4E" w:rsidR="00284137" w:rsidRPr="00284137" w:rsidRDefault="00284137" w:rsidP="00284137">
            <w:pPr>
              <w:jc w:val="both"/>
              <w:rPr>
                <w:b/>
                <w:sz w:val="22"/>
                <w:szCs w:val="22"/>
              </w:rPr>
            </w:pPr>
            <w:r w:rsidRPr="00284137">
              <w:rPr>
                <w:sz w:val="22"/>
                <w:szCs w:val="22"/>
              </w:rPr>
              <w:lastRenderedPageBreak/>
              <w:t>Atsižvelgta. Pagal pasiūlytą 1 variantą papildyti reikalavimai 8.14 skyriuje 8.1 lentelėje detalios analizės etapui. Konkretūs etapų terminai bus derinami diegėjo parengtame Paslaugų teikimo reglamente.</w:t>
            </w:r>
          </w:p>
        </w:tc>
      </w:tr>
      <w:tr w:rsidR="00284137" w:rsidRPr="00284137" w14:paraId="4C48896A" w14:textId="77777777" w:rsidTr="00C334BF">
        <w:trPr>
          <w:trHeight w:val="20"/>
        </w:trPr>
        <w:tc>
          <w:tcPr>
            <w:tcW w:w="676" w:type="dxa"/>
            <w:tcBorders>
              <w:left w:val="single" w:sz="4" w:space="0" w:color="auto"/>
              <w:right w:val="single" w:sz="4" w:space="0" w:color="auto"/>
            </w:tcBorders>
            <w:shd w:val="clear" w:color="auto" w:fill="FFFFFF" w:themeFill="background1"/>
          </w:tcPr>
          <w:p w14:paraId="58A1AC07" w14:textId="77777777" w:rsidR="00284137" w:rsidRPr="00284137" w:rsidRDefault="00284137" w:rsidP="00284137">
            <w:pPr>
              <w:jc w:val="center"/>
              <w:rPr>
                <w:bCs/>
                <w:sz w:val="22"/>
                <w:szCs w:val="22"/>
              </w:rPr>
            </w:pPr>
          </w:p>
        </w:tc>
        <w:tc>
          <w:tcPr>
            <w:tcW w:w="73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8F4827" w14:textId="249EB1FB" w:rsidR="00284137" w:rsidRPr="00284137" w:rsidRDefault="00284137" w:rsidP="00284137">
            <w:pPr>
              <w:tabs>
                <w:tab w:val="left" w:pos="1134"/>
              </w:tabs>
              <w:overflowPunct w:val="0"/>
              <w:autoSpaceDE w:val="0"/>
              <w:autoSpaceDN w:val="0"/>
              <w:adjustRightInd w:val="0"/>
              <w:jc w:val="both"/>
              <w:rPr>
                <w:sz w:val="22"/>
                <w:szCs w:val="22"/>
              </w:rPr>
            </w:pPr>
            <w:r w:rsidRPr="00284137">
              <w:rPr>
                <w:sz w:val="22"/>
                <w:szCs w:val="22"/>
              </w:rPr>
              <w:t>Siūlomi reikalavimai kvalifikacijai:</w:t>
            </w:r>
          </w:p>
          <w:p w14:paraId="0474F5FA" w14:textId="77777777" w:rsidR="00284137" w:rsidRPr="00284137" w:rsidRDefault="00284137" w:rsidP="00284137">
            <w:pPr>
              <w:tabs>
                <w:tab w:val="left" w:pos="1134"/>
              </w:tabs>
              <w:overflowPunct w:val="0"/>
              <w:autoSpaceDE w:val="0"/>
              <w:autoSpaceDN w:val="0"/>
              <w:adjustRightInd w:val="0"/>
              <w:jc w:val="both"/>
              <w:rPr>
                <w:sz w:val="22"/>
                <w:szCs w:val="22"/>
              </w:rPr>
            </w:pPr>
            <w:r w:rsidRPr="00284137">
              <w:rPr>
                <w:sz w:val="22"/>
                <w:szCs w:val="22"/>
              </w:rPr>
              <w:t>Atsižvelgiant į darbų apimtį bei sudėtingumą (iš esmės šiuo metu Perkančiosios organizacijos (toliau – PO) naudojama IS turės būti pakeista į naują IS, nesutrikdant PO veiklos procesų bei užtikrinant teikiamų sveikatos priežiūros paslaugų tęstinumą bei pacientų sveikatos duomenų vientisumą ir integralumą pereinamuoju laikotarpiu, siūlytume taikyti potencialiems tiekėjams reikalavimą turėti tokių sprendimų patirtį:</w:t>
            </w:r>
          </w:p>
          <w:p w14:paraId="160D1CFD" w14:textId="77777777" w:rsidR="00284137" w:rsidRPr="00284137" w:rsidRDefault="00284137" w:rsidP="00284137">
            <w:pPr>
              <w:tabs>
                <w:tab w:val="left" w:pos="1134"/>
              </w:tabs>
              <w:overflowPunct w:val="0"/>
              <w:autoSpaceDE w:val="0"/>
              <w:autoSpaceDN w:val="0"/>
              <w:adjustRightInd w:val="0"/>
              <w:jc w:val="both"/>
              <w:rPr>
                <w:sz w:val="22"/>
                <w:szCs w:val="22"/>
              </w:rPr>
            </w:pPr>
            <w:r w:rsidRPr="00284137">
              <w:rPr>
                <w:sz w:val="22"/>
                <w:szCs w:val="22"/>
              </w:rPr>
              <w:t>„Tiekėjas per paskutinius 5 metus yra įgyvendinęs bent vieną projektą, kurio metu LNSS priklausančioje gydymo įstaigoje anksčiau naudota sveikatos priežiūros procesų valdymui skirta informacinė sistema buvo sėkmingai pakeista į kito gamintojo informacinę sistemą. Tokios gydymo įstaigos teikiamų ambulatorinių apsilankymų ar stacionarinių gydymo atvejų apimtys turi būti ne mažesnės nei 30 procentų PO teikiamų metinių paslaugų apimčių.“</w:t>
            </w:r>
          </w:p>
          <w:p w14:paraId="49DE513E" w14:textId="101DCCFC" w:rsidR="00284137" w:rsidRPr="00284137" w:rsidRDefault="00284137" w:rsidP="00284137">
            <w:pPr>
              <w:tabs>
                <w:tab w:val="left" w:pos="1134"/>
              </w:tabs>
              <w:overflowPunct w:val="0"/>
              <w:autoSpaceDE w:val="0"/>
              <w:autoSpaceDN w:val="0"/>
              <w:adjustRightInd w:val="0"/>
              <w:jc w:val="both"/>
              <w:rPr>
                <w:sz w:val="22"/>
                <w:szCs w:val="22"/>
              </w:rPr>
            </w:pPr>
            <w:r w:rsidRPr="00284137">
              <w:rPr>
                <w:sz w:val="22"/>
                <w:szCs w:val="22"/>
              </w:rPr>
              <w:t>Kvalifikaciją įrodantys dokumentai: „Tiekėjo pažyma, kurioje būtų pateikti Užsakovo atstovo kontaktiniai duomenys, sutarties duomenys (datos, sumos, nuorodos į CVP IS) bei įvykdyto projekto aprašas.</w:t>
            </w:r>
          </w:p>
        </w:tc>
        <w:tc>
          <w:tcPr>
            <w:tcW w:w="7088" w:type="dxa"/>
            <w:tcBorders>
              <w:top w:val="single" w:sz="4" w:space="0" w:color="auto"/>
              <w:left w:val="single" w:sz="4" w:space="0" w:color="auto"/>
              <w:bottom w:val="single" w:sz="4" w:space="0" w:color="auto"/>
              <w:right w:val="single" w:sz="4" w:space="0" w:color="auto"/>
            </w:tcBorders>
            <w:shd w:val="clear" w:color="auto" w:fill="FFFFFF" w:themeFill="background1"/>
          </w:tcPr>
          <w:p w14:paraId="3E5B0772" w14:textId="77777777" w:rsidR="00284137" w:rsidRPr="00284137" w:rsidRDefault="00284137" w:rsidP="00284137">
            <w:pPr>
              <w:jc w:val="both"/>
              <w:rPr>
                <w:sz w:val="22"/>
                <w:szCs w:val="22"/>
              </w:rPr>
            </w:pPr>
            <w:r w:rsidRPr="00284137">
              <w:rPr>
                <w:sz w:val="22"/>
                <w:szCs w:val="22"/>
              </w:rPr>
              <w:t>Oficialus atsakymas:</w:t>
            </w:r>
          </w:p>
          <w:p w14:paraId="70DF9448" w14:textId="7705E65E" w:rsidR="00284137" w:rsidRPr="00284137" w:rsidRDefault="00284137" w:rsidP="00284137">
            <w:pPr>
              <w:jc w:val="both"/>
              <w:rPr>
                <w:sz w:val="22"/>
                <w:szCs w:val="22"/>
              </w:rPr>
            </w:pPr>
            <w:r w:rsidRPr="00284137">
              <w:rPr>
                <w:sz w:val="22"/>
                <w:szCs w:val="22"/>
              </w:rPr>
              <w:t>Dėkojame už rekomendacijas.</w:t>
            </w:r>
          </w:p>
        </w:tc>
      </w:tr>
      <w:tr w:rsidR="00284137" w:rsidRPr="00284137" w14:paraId="31F3C8E9" w14:textId="77777777" w:rsidTr="00C334BF">
        <w:trPr>
          <w:trHeight w:val="20"/>
        </w:trPr>
        <w:tc>
          <w:tcPr>
            <w:tcW w:w="676" w:type="dxa"/>
            <w:tcBorders>
              <w:left w:val="single" w:sz="4" w:space="0" w:color="auto"/>
              <w:right w:val="single" w:sz="4" w:space="0" w:color="auto"/>
            </w:tcBorders>
            <w:shd w:val="clear" w:color="auto" w:fill="FFFFFF" w:themeFill="background1"/>
          </w:tcPr>
          <w:p w14:paraId="404AA52B" w14:textId="017D9498" w:rsidR="00284137" w:rsidRPr="00284137" w:rsidRDefault="00284137" w:rsidP="00284137">
            <w:pPr>
              <w:jc w:val="center"/>
              <w:rPr>
                <w:bCs/>
                <w:sz w:val="22"/>
                <w:szCs w:val="22"/>
              </w:rPr>
            </w:pPr>
            <w:r w:rsidRPr="00284137">
              <w:rPr>
                <w:bCs/>
                <w:sz w:val="22"/>
                <w:szCs w:val="22"/>
              </w:rPr>
              <w:lastRenderedPageBreak/>
              <w:t>2.</w:t>
            </w:r>
          </w:p>
        </w:tc>
        <w:tc>
          <w:tcPr>
            <w:tcW w:w="73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6612EF" w14:textId="716A1653" w:rsidR="00284137" w:rsidRPr="00284137" w:rsidRDefault="00284137" w:rsidP="00284137">
            <w:pPr>
              <w:tabs>
                <w:tab w:val="left" w:pos="1134"/>
              </w:tabs>
              <w:overflowPunct w:val="0"/>
              <w:autoSpaceDE w:val="0"/>
              <w:autoSpaceDN w:val="0"/>
              <w:adjustRightInd w:val="0"/>
              <w:jc w:val="both"/>
              <w:rPr>
                <w:sz w:val="22"/>
                <w:szCs w:val="22"/>
              </w:rPr>
            </w:pPr>
            <w:r w:rsidRPr="00284137">
              <w:rPr>
                <w:b/>
                <w:bCs/>
                <w:i/>
                <w:iCs/>
                <w:sz w:val="22"/>
                <w:szCs w:val="22"/>
                <w:u w:val="single"/>
              </w:rPr>
              <w:t>Ar aiškus planuojamos įsigyti programos pobūdis?</w:t>
            </w:r>
          </w:p>
          <w:p w14:paraId="0BDEF5D7" w14:textId="72EFDA60" w:rsidR="00284137" w:rsidRPr="00284137" w:rsidRDefault="00284137" w:rsidP="00284137">
            <w:pPr>
              <w:tabs>
                <w:tab w:val="left" w:pos="1134"/>
              </w:tabs>
              <w:overflowPunct w:val="0"/>
              <w:autoSpaceDE w:val="0"/>
              <w:autoSpaceDN w:val="0"/>
              <w:adjustRightInd w:val="0"/>
              <w:jc w:val="both"/>
              <w:rPr>
                <w:sz w:val="22"/>
                <w:szCs w:val="22"/>
              </w:rPr>
            </w:pPr>
            <w:r w:rsidRPr="00284137">
              <w:rPr>
                <w:sz w:val="22"/>
                <w:szCs w:val="22"/>
              </w:rPr>
              <w:t xml:space="preserve">The program is tied to the KUL HIS modernization and development service. It is not clear if KUL's intention is to replace the current HIS solution because it is no longer supported or enhanced. </w:t>
            </w:r>
          </w:p>
          <w:p w14:paraId="7CF7ABD5" w14:textId="11051AB9" w:rsidR="00284137" w:rsidRPr="00284137" w:rsidRDefault="00284137" w:rsidP="00284137">
            <w:pPr>
              <w:tabs>
                <w:tab w:val="left" w:pos="1134"/>
              </w:tabs>
              <w:overflowPunct w:val="0"/>
              <w:autoSpaceDE w:val="0"/>
              <w:autoSpaceDN w:val="0"/>
              <w:adjustRightInd w:val="0"/>
              <w:jc w:val="both"/>
              <w:rPr>
                <w:sz w:val="22"/>
                <w:szCs w:val="22"/>
              </w:rPr>
            </w:pPr>
            <w:r w:rsidRPr="00284137">
              <w:rPr>
                <w:sz w:val="22"/>
                <w:szCs w:val="22"/>
              </w:rPr>
              <w:t>Additionally, in chapter 4 – Project information, the document identifies different the cluster, the current problem in having accurate quality indicators and defining that this project goal is to solve the current situation. Defining a clear project objective: “to increase the efficiency of cluster operations by managing 8 cluster performance quality indicators, enabling data-based decision-making and data reuse to improve the quality of healthcare services.” It is not clear if the main project objective is to equip KUL with a state-of-the-art HIS solution to fulfill its mission, or if the primary goal is to properly respond to the needs of cluster indicators.</w:t>
            </w:r>
          </w:p>
        </w:tc>
        <w:tc>
          <w:tcPr>
            <w:tcW w:w="7088" w:type="dxa"/>
            <w:tcBorders>
              <w:top w:val="single" w:sz="4" w:space="0" w:color="auto"/>
              <w:left w:val="single" w:sz="4" w:space="0" w:color="auto"/>
              <w:bottom w:val="single" w:sz="4" w:space="0" w:color="auto"/>
              <w:right w:val="single" w:sz="4" w:space="0" w:color="auto"/>
            </w:tcBorders>
            <w:shd w:val="clear" w:color="auto" w:fill="FFFFFF" w:themeFill="background1"/>
          </w:tcPr>
          <w:p w14:paraId="7431875D" w14:textId="52B855C5" w:rsidR="00284137" w:rsidRPr="00284137" w:rsidRDefault="00284137" w:rsidP="00284137">
            <w:pPr>
              <w:jc w:val="both"/>
              <w:rPr>
                <w:sz w:val="22"/>
                <w:szCs w:val="22"/>
              </w:rPr>
            </w:pPr>
            <w:r w:rsidRPr="00284137">
              <w:rPr>
                <w:sz w:val="22"/>
                <w:szCs w:val="22"/>
              </w:rPr>
              <w:t>Teisiniu aspektu HIS yra modernizuojama, technologiniu aspektu – galimai bus kuriama ir diegiama nauja informacinė sistema. Nepaisant to, Perkančioji organizacija neriboja suinteresuotų dalyvių modernizuoti jau turimos sistemos, jei bus realizuoti techninėje specifikacijoje keliami reikalavimai. Taigi, tiekėjas turi galimybę rinktis, ar norės modernizuoti esamą sistemą, sukuriant reikiamus funkcionalumus ar pasiūlys naują sistemą, atsisakant šiuo metu eksploatuojamų HIS.</w:t>
            </w:r>
          </w:p>
          <w:p w14:paraId="448809FB" w14:textId="771EBDF3" w:rsidR="00284137" w:rsidRPr="00284137" w:rsidRDefault="00284137" w:rsidP="00284137">
            <w:pPr>
              <w:jc w:val="both"/>
              <w:rPr>
                <w:sz w:val="22"/>
                <w:szCs w:val="22"/>
              </w:rPr>
            </w:pPr>
            <w:r w:rsidRPr="00284137">
              <w:rPr>
                <w:sz w:val="22"/>
                <w:szCs w:val="22"/>
              </w:rPr>
              <w:t xml:space="preserve">HIS diegimas yra reikalingas projekto „Medicininių klasterių duomenų mainų ir stebėsenos platforma“ tikslų pasiekimui, ko nėra galimybės realizuoti su šiuo metu eksploatuojamomis informacinėmis sistemomis. Taigi, projektu siekiama tiek projekto „Medicininių klasterių duomenų mainų ir stebėsenos platforma“ tikslų įgyvendinimo, tiek KUL veiklų efektyvumo didinimo, procesus perkeliant į el. erdvę ir juos maksimaliai automatizuojant. </w:t>
            </w:r>
          </w:p>
        </w:tc>
      </w:tr>
      <w:tr w:rsidR="00284137" w:rsidRPr="00284137" w14:paraId="2FB793F9" w14:textId="77777777" w:rsidTr="00C334BF">
        <w:trPr>
          <w:trHeight w:val="20"/>
        </w:trPr>
        <w:tc>
          <w:tcPr>
            <w:tcW w:w="676" w:type="dxa"/>
            <w:tcBorders>
              <w:left w:val="single" w:sz="4" w:space="0" w:color="auto"/>
              <w:right w:val="single" w:sz="4" w:space="0" w:color="auto"/>
            </w:tcBorders>
            <w:shd w:val="clear" w:color="auto" w:fill="FFFFFF" w:themeFill="background1"/>
          </w:tcPr>
          <w:p w14:paraId="77CE37DB" w14:textId="77777777" w:rsidR="00284137" w:rsidRPr="00284137" w:rsidRDefault="00284137" w:rsidP="00284137">
            <w:pPr>
              <w:jc w:val="center"/>
              <w:rPr>
                <w:bCs/>
                <w:sz w:val="22"/>
                <w:szCs w:val="22"/>
              </w:rPr>
            </w:pPr>
          </w:p>
        </w:tc>
        <w:tc>
          <w:tcPr>
            <w:tcW w:w="73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7E88C5" w14:textId="08FD79F7" w:rsidR="00284137" w:rsidRPr="00284137" w:rsidRDefault="00284137" w:rsidP="00284137">
            <w:pPr>
              <w:tabs>
                <w:tab w:val="left" w:pos="1134"/>
              </w:tabs>
              <w:overflowPunct w:val="0"/>
              <w:autoSpaceDE w:val="0"/>
              <w:autoSpaceDN w:val="0"/>
              <w:adjustRightInd w:val="0"/>
              <w:jc w:val="both"/>
              <w:rPr>
                <w:b/>
                <w:bCs/>
                <w:i/>
                <w:iCs/>
                <w:sz w:val="22"/>
                <w:szCs w:val="22"/>
                <w:u w:val="single"/>
              </w:rPr>
            </w:pPr>
            <w:r w:rsidRPr="00284137">
              <w:rPr>
                <w:b/>
                <w:bCs/>
                <w:i/>
                <w:iCs/>
                <w:sz w:val="22"/>
                <w:szCs w:val="22"/>
                <w:u w:val="single"/>
              </w:rPr>
              <w:t>Ar turite pastabų, klausimų techninės specifikacijos projektui?</w:t>
            </w:r>
          </w:p>
          <w:p w14:paraId="1FD4EC8A" w14:textId="5FB398E4" w:rsidR="00284137" w:rsidRPr="00284137" w:rsidRDefault="00284137" w:rsidP="00284137">
            <w:pPr>
              <w:tabs>
                <w:tab w:val="left" w:pos="1134"/>
              </w:tabs>
              <w:overflowPunct w:val="0"/>
              <w:autoSpaceDE w:val="0"/>
              <w:autoSpaceDN w:val="0"/>
              <w:adjustRightInd w:val="0"/>
              <w:jc w:val="both"/>
              <w:rPr>
                <w:sz w:val="22"/>
                <w:szCs w:val="22"/>
              </w:rPr>
            </w:pPr>
            <w:r w:rsidRPr="00284137">
              <w:rPr>
                <w:sz w:val="22"/>
                <w:szCs w:val="22"/>
              </w:rPr>
              <w:t>First, we kindly ask KUL to clarify the main project objective: is it to replace the current Hospital Information System (HIS), or is the primary purpose to calculate the cluster indicators? In Chapter 4, it is mentioned that KUL currently submits reports with the values of 271 cluster indicators. However, there is no reference to the details of these cluster indicators or the type of data necessary to calculate them. It is also unclear whether the project aims to deliver these indicators or simply to ensure that the HIS has the capabilities to capture the data required for their calculation. In Chapter 6 - Description of the situation achieved, it is somewhat clear that KUL intends to implement a new HIS. In Chapter 7, all functional requirements are listed. Please consider that it is challenging for many HIS vendors to meet 100% of the requirements. It would be beneficial to define the mandatory modules and allow some requirements to be optional. Additionally, having a form to evaluate the responsiveness of different offers to your requirements would be helpful. Some tolerance is necessary if you prefer an off-the-shelf solution; otherwise, only a custom development could meet 100% of the requirements.</w:t>
            </w:r>
          </w:p>
        </w:tc>
        <w:tc>
          <w:tcPr>
            <w:tcW w:w="7088" w:type="dxa"/>
            <w:tcBorders>
              <w:top w:val="single" w:sz="4" w:space="0" w:color="auto"/>
              <w:left w:val="single" w:sz="4" w:space="0" w:color="auto"/>
              <w:bottom w:val="single" w:sz="4" w:space="0" w:color="auto"/>
              <w:right w:val="single" w:sz="4" w:space="0" w:color="auto"/>
            </w:tcBorders>
            <w:shd w:val="clear" w:color="auto" w:fill="FFFFFF" w:themeFill="background1"/>
          </w:tcPr>
          <w:p w14:paraId="1D586685" w14:textId="04BF4F8B" w:rsidR="00284137" w:rsidRPr="00284137" w:rsidRDefault="00284137" w:rsidP="00284137">
            <w:pPr>
              <w:jc w:val="both"/>
              <w:rPr>
                <w:sz w:val="22"/>
                <w:szCs w:val="22"/>
              </w:rPr>
            </w:pPr>
            <w:r w:rsidRPr="00284137">
              <w:rPr>
                <w:sz w:val="22"/>
                <w:szCs w:val="22"/>
              </w:rPr>
              <w:t xml:space="preserve">Projekto „Medicininių klasterių duomenų mainų ir stebėsenos platforma“ apimtyje bus parengti rodiklių apskaičiavimo algoritmai. Už šios projekto dalies įgyvendinimą atsakingas VĮ Registrų centras. Planuojama, kad rodiklių sąrašas preliminariai bus pateiktas būsimam paslaugų tiekėjui apie 2025 m. rugsėjo mėn. </w:t>
            </w:r>
          </w:p>
          <w:p w14:paraId="6E422453" w14:textId="3A5B4D54" w:rsidR="00284137" w:rsidRPr="00284137" w:rsidRDefault="00284137" w:rsidP="00284137">
            <w:pPr>
              <w:jc w:val="both"/>
              <w:rPr>
                <w:sz w:val="22"/>
                <w:szCs w:val="22"/>
              </w:rPr>
            </w:pPr>
            <w:r w:rsidRPr="00284137">
              <w:rPr>
                <w:sz w:val="22"/>
                <w:szCs w:val="22"/>
              </w:rPr>
              <w:t xml:space="preserve">HIS neturės apskaičiuoti klasterių projekte aprašomų rodiklių, tačiau jis turės užtikrinti rodiklių apskaičiavimui reikiamų duomenų rinkimą ir perdavimą nustatytu formatu. </w:t>
            </w:r>
          </w:p>
          <w:p w14:paraId="468321E1" w14:textId="10CFC7AE" w:rsidR="00284137" w:rsidRPr="00284137" w:rsidRDefault="00284137" w:rsidP="00284137">
            <w:pPr>
              <w:jc w:val="both"/>
              <w:rPr>
                <w:b/>
                <w:bCs/>
                <w:sz w:val="22"/>
                <w:szCs w:val="22"/>
              </w:rPr>
            </w:pPr>
            <w:r w:rsidRPr="00284137">
              <w:rPr>
                <w:sz w:val="22"/>
                <w:szCs w:val="22"/>
              </w:rPr>
              <w:t xml:space="preserve">Paslaugų teikėjas bus atsakingas už visų funkcinių reikalavimų, nustatytų 7 skyriuje, sukūrimą ir diegimą. Alternatyvūs pasiūlymai negali būti teikiami. Techninės specifikacijos 7 skyriuje nustatyti minimalūs reikalavimai, kurie reikalingi KUL veikloje. Paslaugų tiekėjas, kurio produktas neatitinka keliamų reikalavimų, bus atsakingas už turimo sprendimo modifikavimą ir pritaikymą KUL poreikiams. </w:t>
            </w:r>
          </w:p>
        </w:tc>
      </w:tr>
      <w:tr w:rsidR="00284137" w:rsidRPr="00284137" w14:paraId="43577D06" w14:textId="77777777" w:rsidTr="00C334BF">
        <w:trPr>
          <w:trHeight w:val="20"/>
        </w:trPr>
        <w:tc>
          <w:tcPr>
            <w:tcW w:w="676" w:type="dxa"/>
            <w:tcBorders>
              <w:left w:val="single" w:sz="4" w:space="0" w:color="auto"/>
              <w:right w:val="single" w:sz="4" w:space="0" w:color="auto"/>
            </w:tcBorders>
            <w:shd w:val="clear" w:color="auto" w:fill="FFFFFF" w:themeFill="background1"/>
          </w:tcPr>
          <w:p w14:paraId="0A8D26F2" w14:textId="77777777" w:rsidR="00284137" w:rsidRPr="00284137" w:rsidRDefault="00284137" w:rsidP="00284137">
            <w:pPr>
              <w:jc w:val="center"/>
              <w:rPr>
                <w:bCs/>
                <w:sz w:val="22"/>
                <w:szCs w:val="22"/>
              </w:rPr>
            </w:pPr>
          </w:p>
        </w:tc>
        <w:tc>
          <w:tcPr>
            <w:tcW w:w="73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A57ECF" w14:textId="07FD3A33" w:rsidR="00284137" w:rsidRPr="00284137" w:rsidRDefault="00284137" w:rsidP="00284137">
            <w:pPr>
              <w:tabs>
                <w:tab w:val="left" w:pos="1134"/>
              </w:tabs>
              <w:overflowPunct w:val="0"/>
              <w:autoSpaceDE w:val="0"/>
              <w:autoSpaceDN w:val="0"/>
              <w:adjustRightInd w:val="0"/>
              <w:jc w:val="both"/>
              <w:rPr>
                <w:sz w:val="22"/>
                <w:szCs w:val="22"/>
              </w:rPr>
            </w:pPr>
            <w:r w:rsidRPr="00284137">
              <w:rPr>
                <w:b/>
                <w:bCs/>
                <w:i/>
                <w:iCs/>
                <w:sz w:val="22"/>
                <w:szCs w:val="22"/>
                <w:u w:val="single"/>
              </w:rPr>
              <w:t>Kokius reikalavimus, Jūsų nuomone, papildomai siūlytumėte įtraukti į techninę specifikaciją?</w:t>
            </w:r>
          </w:p>
          <w:p w14:paraId="19A3FA54" w14:textId="579A346E" w:rsidR="00284137" w:rsidRPr="00284137" w:rsidRDefault="00284137" w:rsidP="00284137">
            <w:pPr>
              <w:tabs>
                <w:tab w:val="left" w:pos="1134"/>
              </w:tabs>
              <w:overflowPunct w:val="0"/>
              <w:autoSpaceDE w:val="0"/>
              <w:autoSpaceDN w:val="0"/>
              <w:adjustRightInd w:val="0"/>
              <w:jc w:val="both"/>
              <w:rPr>
                <w:sz w:val="22"/>
                <w:szCs w:val="22"/>
              </w:rPr>
            </w:pPr>
            <w:r w:rsidRPr="00284137">
              <w:rPr>
                <w:sz w:val="22"/>
                <w:szCs w:val="22"/>
              </w:rPr>
              <w:t>There are not many requirements related to user and roles governance, allowing KUL to create roles and assign different modules and functionalities to each role, enabling a user to have one or more roles, etc.</w:t>
            </w:r>
          </w:p>
          <w:p w14:paraId="42C736E4" w14:textId="77777777" w:rsidR="00284137" w:rsidRPr="00284137" w:rsidRDefault="00284137" w:rsidP="00284137">
            <w:pPr>
              <w:tabs>
                <w:tab w:val="left" w:pos="1134"/>
              </w:tabs>
              <w:overflowPunct w:val="0"/>
              <w:autoSpaceDE w:val="0"/>
              <w:autoSpaceDN w:val="0"/>
              <w:adjustRightInd w:val="0"/>
              <w:jc w:val="both"/>
              <w:rPr>
                <w:sz w:val="22"/>
                <w:szCs w:val="22"/>
              </w:rPr>
            </w:pPr>
            <w:r w:rsidRPr="00284137">
              <w:rPr>
                <w:sz w:val="22"/>
                <w:szCs w:val="22"/>
              </w:rPr>
              <w:lastRenderedPageBreak/>
              <w:t>The HIS should include a Bed Management module. The requirements do not specify many details about properly managing beds, such as having different types of beds with various types of equipment, etc.</w:t>
            </w:r>
          </w:p>
          <w:p w14:paraId="6F91A284" w14:textId="77777777" w:rsidR="00284137" w:rsidRPr="00284137" w:rsidRDefault="00284137" w:rsidP="00284137">
            <w:pPr>
              <w:tabs>
                <w:tab w:val="left" w:pos="1134"/>
              </w:tabs>
              <w:overflowPunct w:val="0"/>
              <w:autoSpaceDE w:val="0"/>
              <w:autoSpaceDN w:val="0"/>
              <w:adjustRightInd w:val="0"/>
              <w:jc w:val="both"/>
              <w:rPr>
                <w:sz w:val="22"/>
                <w:szCs w:val="22"/>
              </w:rPr>
            </w:pPr>
            <w:r w:rsidRPr="00284137">
              <w:rPr>
                <w:sz w:val="22"/>
                <w:szCs w:val="22"/>
              </w:rPr>
              <w:t>Should the HIS also include a Pharmacy module, allowing a fully integrated workflow from prescription to pharmacy dispensing and medication administration? Our understanding is that LABBIS ACCOUNT does not cover the pharmacy needs, only the inventory and accounting aspects.</w:t>
            </w:r>
          </w:p>
          <w:p w14:paraId="17E94515" w14:textId="41148C0D" w:rsidR="00284137" w:rsidRPr="00284137" w:rsidRDefault="00284137" w:rsidP="00284137">
            <w:pPr>
              <w:tabs>
                <w:tab w:val="left" w:pos="1134"/>
              </w:tabs>
              <w:overflowPunct w:val="0"/>
              <w:autoSpaceDE w:val="0"/>
              <w:autoSpaceDN w:val="0"/>
              <w:adjustRightInd w:val="0"/>
              <w:jc w:val="both"/>
              <w:rPr>
                <w:sz w:val="22"/>
                <w:szCs w:val="22"/>
              </w:rPr>
            </w:pPr>
            <w:r w:rsidRPr="00284137">
              <w:rPr>
                <w:sz w:val="22"/>
                <w:szCs w:val="22"/>
              </w:rPr>
              <w:t>Also, we are suggesting other requirements such as: cloud-native, device-independent, FHIR compliant, supporting different terminologies as SNOMED, ICD-X, LOINC, etc.</w:t>
            </w:r>
          </w:p>
        </w:tc>
        <w:tc>
          <w:tcPr>
            <w:tcW w:w="7088" w:type="dxa"/>
            <w:tcBorders>
              <w:top w:val="single" w:sz="4" w:space="0" w:color="auto"/>
              <w:left w:val="single" w:sz="4" w:space="0" w:color="auto"/>
              <w:bottom w:val="single" w:sz="4" w:space="0" w:color="auto"/>
              <w:right w:val="single" w:sz="4" w:space="0" w:color="auto"/>
            </w:tcBorders>
            <w:shd w:val="clear" w:color="auto" w:fill="FFFFFF" w:themeFill="background1"/>
          </w:tcPr>
          <w:p w14:paraId="2609CE31" w14:textId="77777777" w:rsidR="00284137" w:rsidRPr="00284137" w:rsidRDefault="00284137" w:rsidP="00284137">
            <w:pPr>
              <w:jc w:val="both"/>
              <w:rPr>
                <w:sz w:val="22"/>
                <w:szCs w:val="22"/>
              </w:rPr>
            </w:pPr>
            <w:r w:rsidRPr="00284137">
              <w:rPr>
                <w:sz w:val="22"/>
                <w:szCs w:val="22"/>
              </w:rPr>
              <w:lastRenderedPageBreak/>
              <w:t xml:space="preserve">Reikalavimai naudotojų ir rolių administravimui turės būti detalizuoti KUL HIS detalios analizės metu. </w:t>
            </w:r>
          </w:p>
          <w:p w14:paraId="03031B98" w14:textId="77777777" w:rsidR="00284137" w:rsidRPr="00284137" w:rsidRDefault="00284137" w:rsidP="00284137">
            <w:pPr>
              <w:jc w:val="both"/>
              <w:rPr>
                <w:sz w:val="22"/>
                <w:szCs w:val="22"/>
              </w:rPr>
            </w:pPr>
          </w:p>
          <w:p w14:paraId="1E7F2DAA" w14:textId="77777777" w:rsidR="00284137" w:rsidRPr="00284137" w:rsidRDefault="00284137" w:rsidP="00284137">
            <w:pPr>
              <w:jc w:val="both"/>
              <w:rPr>
                <w:sz w:val="22"/>
                <w:szCs w:val="22"/>
              </w:rPr>
            </w:pPr>
            <w:r w:rsidRPr="00284137">
              <w:rPr>
                <w:sz w:val="22"/>
                <w:szCs w:val="22"/>
              </w:rPr>
              <w:t xml:space="preserve">Lovų, vaistų apskaitos ir valdymo funkcionalumas yra realizuotas turto valdymo LABBIS KONTO informacinėje sistemoje. Reikalavimai vaistų </w:t>
            </w:r>
            <w:r w:rsidRPr="00284137">
              <w:rPr>
                <w:sz w:val="22"/>
                <w:szCs w:val="22"/>
              </w:rPr>
              <w:lastRenderedPageBreak/>
              <w:t>paskyrimų funkcionalumui detalizuojami skyriuje „Vaistų paskyrimo stacionare modulis“.</w:t>
            </w:r>
          </w:p>
          <w:p w14:paraId="0D36AC24" w14:textId="77777777" w:rsidR="00284137" w:rsidRPr="00284137" w:rsidRDefault="00284137" w:rsidP="00284137">
            <w:pPr>
              <w:jc w:val="both"/>
              <w:rPr>
                <w:sz w:val="22"/>
                <w:szCs w:val="22"/>
              </w:rPr>
            </w:pPr>
          </w:p>
          <w:p w14:paraId="6B0BEB87" w14:textId="37252746" w:rsidR="00284137" w:rsidRPr="00284137" w:rsidRDefault="00284137" w:rsidP="00284137">
            <w:pPr>
              <w:jc w:val="both"/>
              <w:rPr>
                <w:sz w:val="22"/>
                <w:szCs w:val="22"/>
              </w:rPr>
            </w:pPr>
            <w:r w:rsidRPr="00284137">
              <w:rPr>
                <w:sz w:val="22"/>
                <w:szCs w:val="22"/>
              </w:rPr>
              <w:t xml:space="preserve">Minimi Jūsų pasiūlymai reikalavimų papildymo yra nurodyti techninėje specifikacijoje, t.y. būsimas HIS sprendimas turi būti suderinamas su ESPBI IS, kuri yra paremta FHIR standartu, naudoja SNOMED, ICD-X, LOINC ir kt. terminologijas. </w:t>
            </w:r>
          </w:p>
        </w:tc>
      </w:tr>
      <w:tr w:rsidR="00284137" w:rsidRPr="00284137" w14:paraId="60E8A1F6" w14:textId="77777777" w:rsidTr="00C334BF">
        <w:trPr>
          <w:trHeight w:val="20"/>
        </w:trPr>
        <w:tc>
          <w:tcPr>
            <w:tcW w:w="676" w:type="dxa"/>
            <w:tcBorders>
              <w:left w:val="single" w:sz="4" w:space="0" w:color="auto"/>
              <w:right w:val="single" w:sz="4" w:space="0" w:color="auto"/>
            </w:tcBorders>
            <w:shd w:val="clear" w:color="auto" w:fill="FFFFFF" w:themeFill="background1"/>
          </w:tcPr>
          <w:p w14:paraId="35E45AA3" w14:textId="77777777" w:rsidR="00284137" w:rsidRPr="00284137" w:rsidRDefault="00284137" w:rsidP="00284137">
            <w:pPr>
              <w:jc w:val="center"/>
              <w:rPr>
                <w:bCs/>
                <w:sz w:val="22"/>
                <w:szCs w:val="22"/>
              </w:rPr>
            </w:pPr>
          </w:p>
        </w:tc>
        <w:tc>
          <w:tcPr>
            <w:tcW w:w="73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25A016" w14:textId="77777777" w:rsidR="00284137" w:rsidRPr="00284137" w:rsidRDefault="00284137" w:rsidP="00284137">
            <w:pPr>
              <w:tabs>
                <w:tab w:val="left" w:pos="1134"/>
              </w:tabs>
              <w:overflowPunct w:val="0"/>
              <w:autoSpaceDE w:val="0"/>
              <w:autoSpaceDN w:val="0"/>
              <w:adjustRightInd w:val="0"/>
              <w:jc w:val="both"/>
              <w:rPr>
                <w:b/>
                <w:bCs/>
                <w:i/>
                <w:iCs/>
                <w:sz w:val="22"/>
                <w:szCs w:val="22"/>
                <w:u w:val="single"/>
              </w:rPr>
            </w:pPr>
            <w:r w:rsidRPr="00284137">
              <w:rPr>
                <w:b/>
                <w:bCs/>
                <w:i/>
                <w:iCs/>
                <w:sz w:val="22"/>
                <w:szCs w:val="22"/>
                <w:u w:val="single"/>
              </w:rPr>
              <w:t>Koks, Jūsų nuomone, galėtų būti įdiegimo, suderinimo ir paleidimo eksploatacijai terminas?</w:t>
            </w:r>
          </w:p>
          <w:p w14:paraId="0B9B8E60" w14:textId="413683F8" w:rsidR="00284137" w:rsidRPr="00284137" w:rsidRDefault="00284137" w:rsidP="00284137">
            <w:pPr>
              <w:tabs>
                <w:tab w:val="left" w:pos="1134"/>
              </w:tabs>
              <w:overflowPunct w:val="0"/>
              <w:autoSpaceDE w:val="0"/>
              <w:autoSpaceDN w:val="0"/>
              <w:adjustRightInd w:val="0"/>
              <w:jc w:val="both"/>
              <w:rPr>
                <w:sz w:val="22"/>
                <w:szCs w:val="22"/>
              </w:rPr>
            </w:pPr>
            <w:r w:rsidRPr="00284137">
              <w:rPr>
                <w:sz w:val="22"/>
                <w:szCs w:val="22"/>
              </w:rPr>
              <w:t>In projects of this nature, most delays are typically related to scope definition, including governance, goals, metrics, and deployment. Utilizing an off-the-shelf solution can expedite the process. We believe we could implement the solution for KUL within a timeline of 12-15 months.</w:t>
            </w:r>
          </w:p>
        </w:tc>
        <w:tc>
          <w:tcPr>
            <w:tcW w:w="7088" w:type="dxa"/>
            <w:tcBorders>
              <w:top w:val="single" w:sz="4" w:space="0" w:color="auto"/>
              <w:left w:val="single" w:sz="4" w:space="0" w:color="auto"/>
              <w:bottom w:val="single" w:sz="4" w:space="0" w:color="auto"/>
              <w:right w:val="single" w:sz="4" w:space="0" w:color="auto"/>
            </w:tcBorders>
            <w:shd w:val="clear" w:color="auto" w:fill="FFFFFF" w:themeFill="background1"/>
          </w:tcPr>
          <w:p w14:paraId="69B1B138" w14:textId="70A4FFE7" w:rsidR="00284137" w:rsidRPr="00284137" w:rsidRDefault="00284137" w:rsidP="00284137">
            <w:pPr>
              <w:jc w:val="both"/>
              <w:rPr>
                <w:sz w:val="22"/>
                <w:szCs w:val="22"/>
              </w:rPr>
            </w:pPr>
            <w:r w:rsidRPr="00284137">
              <w:rPr>
                <w:sz w:val="22"/>
                <w:szCs w:val="22"/>
              </w:rPr>
              <w:t>KUL vykdomas projektas „Medicininių klasterių duomenų mainų ir stebėsenos platforma“ turi aiškius laiko apribojimus, todėl nėra galimybės keisti techninėje specifikacijoje nustatytų terminų.</w:t>
            </w:r>
          </w:p>
        </w:tc>
      </w:tr>
      <w:tr w:rsidR="00284137" w:rsidRPr="00284137" w14:paraId="4E2F38E7" w14:textId="77777777" w:rsidTr="00C334BF">
        <w:trPr>
          <w:trHeight w:val="20"/>
        </w:trPr>
        <w:tc>
          <w:tcPr>
            <w:tcW w:w="676" w:type="dxa"/>
            <w:tcBorders>
              <w:left w:val="single" w:sz="4" w:space="0" w:color="auto"/>
              <w:bottom w:val="single" w:sz="4" w:space="0" w:color="auto"/>
              <w:right w:val="single" w:sz="4" w:space="0" w:color="auto"/>
            </w:tcBorders>
            <w:shd w:val="clear" w:color="auto" w:fill="FFFFFF" w:themeFill="background1"/>
          </w:tcPr>
          <w:p w14:paraId="5A5BB793" w14:textId="77777777" w:rsidR="00284137" w:rsidRPr="00284137" w:rsidRDefault="00284137" w:rsidP="00284137">
            <w:pPr>
              <w:jc w:val="center"/>
              <w:rPr>
                <w:bCs/>
                <w:sz w:val="22"/>
                <w:szCs w:val="22"/>
              </w:rPr>
            </w:pPr>
          </w:p>
        </w:tc>
        <w:tc>
          <w:tcPr>
            <w:tcW w:w="739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CD282D" w14:textId="0DE76285" w:rsidR="00284137" w:rsidRPr="00284137" w:rsidRDefault="00284137" w:rsidP="00284137">
            <w:pPr>
              <w:tabs>
                <w:tab w:val="left" w:pos="1134"/>
              </w:tabs>
              <w:overflowPunct w:val="0"/>
              <w:autoSpaceDE w:val="0"/>
              <w:autoSpaceDN w:val="0"/>
              <w:adjustRightInd w:val="0"/>
              <w:jc w:val="both"/>
              <w:rPr>
                <w:b/>
                <w:bCs/>
                <w:i/>
                <w:iCs/>
                <w:sz w:val="22"/>
                <w:szCs w:val="22"/>
                <w:u w:val="single"/>
              </w:rPr>
            </w:pPr>
            <w:r w:rsidRPr="00284137">
              <w:rPr>
                <w:b/>
                <w:bCs/>
                <w:i/>
                <w:iCs/>
                <w:sz w:val="22"/>
                <w:szCs w:val="22"/>
                <w:u w:val="single"/>
              </w:rPr>
              <w:t>Kokie galėtų būti tiekėjams taikomi minimalūs kvalifikacijos reikalavimai?</w:t>
            </w:r>
          </w:p>
          <w:p w14:paraId="0BC95B0D" w14:textId="53CE9843" w:rsidR="00284137" w:rsidRPr="00284137" w:rsidRDefault="00284137" w:rsidP="00C334BF">
            <w:pPr>
              <w:pStyle w:val="Sraopastraipa"/>
              <w:numPr>
                <w:ilvl w:val="0"/>
                <w:numId w:val="8"/>
              </w:numPr>
              <w:tabs>
                <w:tab w:val="left" w:pos="1134"/>
              </w:tabs>
              <w:overflowPunct w:val="0"/>
              <w:autoSpaceDE w:val="0"/>
              <w:autoSpaceDN w:val="0"/>
              <w:adjustRightInd w:val="0"/>
              <w:ind w:left="340" w:hanging="340"/>
              <w:jc w:val="both"/>
              <w:rPr>
                <w:sz w:val="22"/>
                <w:szCs w:val="22"/>
              </w:rPr>
            </w:pPr>
            <w:r w:rsidRPr="00284137">
              <w:rPr>
                <w:sz w:val="22"/>
                <w:szCs w:val="22"/>
              </w:rPr>
              <w:t>Implemented a Hospital Information System (HIS) in at least 3 (three) hospitals with 1,000 or more beds in the last 10 (ten) years;</w:t>
            </w:r>
          </w:p>
          <w:p w14:paraId="6894AB3E" w14:textId="1ED4EAE5" w:rsidR="00284137" w:rsidRPr="00284137" w:rsidRDefault="00284137" w:rsidP="00C334BF">
            <w:pPr>
              <w:pStyle w:val="Sraopastraipa"/>
              <w:numPr>
                <w:ilvl w:val="0"/>
                <w:numId w:val="8"/>
              </w:numPr>
              <w:tabs>
                <w:tab w:val="left" w:pos="1134"/>
              </w:tabs>
              <w:overflowPunct w:val="0"/>
              <w:autoSpaceDE w:val="0"/>
              <w:autoSpaceDN w:val="0"/>
              <w:adjustRightInd w:val="0"/>
              <w:ind w:left="340" w:hanging="340"/>
              <w:jc w:val="both"/>
              <w:rPr>
                <w:sz w:val="22"/>
                <w:szCs w:val="22"/>
              </w:rPr>
            </w:pPr>
            <w:r w:rsidRPr="00284137">
              <w:rPr>
                <w:sz w:val="22"/>
                <w:szCs w:val="22"/>
              </w:rPr>
              <w:t>Implemented at least 3 (three) HIS solutions over the last 5 (five) years;</w:t>
            </w:r>
          </w:p>
          <w:p w14:paraId="448BEA79" w14:textId="77777777" w:rsidR="00284137" w:rsidRPr="00284137" w:rsidRDefault="00284137" w:rsidP="00C334BF">
            <w:pPr>
              <w:pStyle w:val="Sraopastraipa"/>
              <w:numPr>
                <w:ilvl w:val="0"/>
                <w:numId w:val="8"/>
              </w:numPr>
              <w:tabs>
                <w:tab w:val="left" w:pos="1134"/>
              </w:tabs>
              <w:overflowPunct w:val="0"/>
              <w:autoSpaceDE w:val="0"/>
              <w:autoSpaceDN w:val="0"/>
              <w:adjustRightInd w:val="0"/>
              <w:ind w:left="340" w:hanging="340"/>
              <w:jc w:val="both"/>
              <w:rPr>
                <w:sz w:val="22"/>
                <w:szCs w:val="22"/>
              </w:rPr>
            </w:pPr>
            <w:r w:rsidRPr="00284137">
              <w:rPr>
                <w:sz w:val="22"/>
                <w:szCs w:val="22"/>
              </w:rPr>
              <w:t>Executed health projects valued at over €2.5 million in the last 3 (three) years;</w:t>
            </w:r>
          </w:p>
          <w:p w14:paraId="59B4F51C" w14:textId="60980F32" w:rsidR="00284137" w:rsidRPr="00284137" w:rsidRDefault="00284137" w:rsidP="00C334BF">
            <w:pPr>
              <w:pStyle w:val="Sraopastraipa"/>
              <w:numPr>
                <w:ilvl w:val="0"/>
                <w:numId w:val="8"/>
              </w:numPr>
              <w:tabs>
                <w:tab w:val="left" w:pos="1134"/>
              </w:tabs>
              <w:overflowPunct w:val="0"/>
              <w:autoSpaceDE w:val="0"/>
              <w:autoSpaceDN w:val="0"/>
              <w:adjustRightInd w:val="0"/>
              <w:ind w:left="340" w:hanging="340"/>
              <w:jc w:val="both"/>
              <w:rPr>
                <w:sz w:val="22"/>
                <w:szCs w:val="22"/>
              </w:rPr>
            </w:pPr>
            <w:r w:rsidRPr="00284137">
              <w:rPr>
                <w:sz w:val="22"/>
                <w:szCs w:val="22"/>
              </w:rPr>
              <w:t>Having 1 (one) hospital with HIMSS Level 5 using the proposed HIS solution.</w:t>
            </w:r>
          </w:p>
        </w:tc>
        <w:tc>
          <w:tcPr>
            <w:tcW w:w="7088" w:type="dxa"/>
            <w:tcBorders>
              <w:top w:val="single" w:sz="4" w:space="0" w:color="auto"/>
              <w:left w:val="single" w:sz="4" w:space="0" w:color="auto"/>
              <w:bottom w:val="single" w:sz="4" w:space="0" w:color="auto"/>
              <w:right w:val="single" w:sz="4" w:space="0" w:color="auto"/>
            </w:tcBorders>
            <w:shd w:val="clear" w:color="auto" w:fill="FFFFFF" w:themeFill="background1"/>
          </w:tcPr>
          <w:p w14:paraId="3279D672" w14:textId="1C853324" w:rsidR="00284137" w:rsidRPr="00284137" w:rsidRDefault="00284137" w:rsidP="00284137">
            <w:pPr>
              <w:jc w:val="both"/>
              <w:rPr>
                <w:sz w:val="22"/>
                <w:szCs w:val="22"/>
              </w:rPr>
            </w:pPr>
            <w:r w:rsidRPr="00284137">
              <w:rPr>
                <w:sz w:val="22"/>
                <w:szCs w:val="22"/>
              </w:rPr>
              <w:t>Oficialus atsakymas:</w:t>
            </w:r>
          </w:p>
          <w:p w14:paraId="0E2C225E" w14:textId="00BB3F3E" w:rsidR="00284137" w:rsidRPr="00284137" w:rsidRDefault="00284137" w:rsidP="00284137">
            <w:pPr>
              <w:jc w:val="both"/>
              <w:rPr>
                <w:b/>
                <w:bCs/>
                <w:sz w:val="22"/>
                <w:szCs w:val="22"/>
              </w:rPr>
            </w:pPr>
            <w:r w:rsidRPr="00284137">
              <w:rPr>
                <w:sz w:val="22"/>
                <w:szCs w:val="22"/>
              </w:rPr>
              <w:t>Dėkojame už rekomendacijas.</w:t>
            </w:r>
          </w:p>
        </w:tc>
      </w:tr>
    </w:tbl>
    <w:p w14:paraId="6DBA1EA4" w14:textId="393CCB0B" w:rsidR="00522B43" w:rsidRPr="00284137" w:rsidRDefault="00522B43" w:rsidP="00285A18">
      <w:pPr>
        <w:tabs>
          <w:tab w:val="left" w:pos="7926"/>
        </w:tabs>
      </w:pPr>
    </w:p>
    <w:p w14:paraId="1F93D052" w14:textId="68FFD289" w:rsidR="00522B43" w:rsidRPr="00284137" w:rsidRDefault="00522B43" w:rsidP="00285A18">
      <w:pPr>
        <w:tabs>
          <w:tab w:val="left" w:pos="7926"/>
        </w:tabs>
        <w:jc w:val="center"/>
      </w:pPr>
      <w:r w:rsidRPr="00284137">
        <w:t>______________________</w:t>
      </w:r>
    </w:p>
    <w:sectPr w:rsidR="00522B43" w:rsidRPr="00284137" w:rsidSect="00C334BF">
      <w:headerReference w:type="default" r:id="rId11"/>
      <w:pgSz w:w="16838" w:h="11906" w:orient="landscape"/>
      <w:pgMar w:top="1531" w:right="851" w:bottom="567" w:left="85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4AD93C" w14:textId="77777777" w:rsidR="00083EA1" w:rsidRDefault="00083EA1" w:rsidP="006A7FCC">
      <w:r>
        <w:separator/>
      </w:r>
    </w:p>
  </w:endnote>
  <w:endnote w:type="continuationSeparator" w:id="0">
    <w:p w14:paraId="755B7CE2" w14:textId="77777777" w:rsidR="00083EA1" w:rsidRDefault="00083EA1" w:rsidP="006A7FCC">
      <w:r>
        <w:continuationSeparator/>
      </w:r>
    </w:p>
  </w:endnote>
  <w:endnote w:type="continuationNotice" w:id="1">
    <w:p w14:paraId="2131BE28" w14:textId="77777777" w:rsidR="00083EA1" w:rsidRDefault="00083E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5824CE" w14:textId="77777777" w:rsidR="00083EA1" w:rsidRDefault="00083EA1" w:rsidP="006A7FCC">
      <w:r>
        <w:separator/>
      </w:r>
    </w:p>
  </w:footnote>
  <w:footnote w:type="continuationSeparator" w:id="0">
    <w:p w14:paraId="4570A8DC" w14:textId="77777777" w:rsidR="00083EA1" w:rsidRDefault="00083EA1" w:rsidP="006A7FCC">
      <w:r>
        <w:continuationSeparator/>
      </w:r>
    </w:p>
  </w:footnote>
  <w:footnote w:type="continuationNotice" w:id="1">
    <w:p w14:paraId="4FCFB0D7" w14:textId="77777777" w:rsidR="00083EA1" w:rsidRDefault="00083EA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947114665"/>
      <w:docPartObj>
        <w:docPartGallery w:val="Page Numbers (Top of Page)"/>
        <w:docPartUnique/>
      </w:docPartObj>
    </w:sdtPr>
    <w:sdtEndPr/>
    <w:sdtContent>
      <w:p w14:paraId="2A457B9F" w14:textId="2A5BF34D" w:rsidR="006A7FCC" w:rsidRPr="006662C3" w:rsidRDefault="006A7FCC">
        <w:pPr>
          <w:pStyle w:val="Antrats"/>
          <w:jc w:val="center"/>
          <w:rPr>
            <w:rFonts w:ascii="Arial" w:hAnsi="Arial" w:cs="Arial"/>
          </w:rPr>
        </w:pPr>
        <w:r w:rsidRPr="006662C3">
          <w:rPr>
            <w:rFonts w:ascii="Arial" w:hAnsi="Arial" w:cs="Arial"/>
          </w:rPr>
          <w:fldChar w:fldCharType="begin"/>
        </w:r>
        <w:r w:rsidRPr="006662C3">
          <w:rPr>
            <w:rFonts w:ascii="Arial" w:hAnsi="Arial" w:cs="Arial"/>
          </w:rPr>
          <w:instrText>PAGE   \* MERGEFORMAT</w:instrText>
        </w:r>
        <w:r w:rsidRPr="006662C3">
          <w:rPr>
            <w:rFonts w:ascii="Arial" w:hAnsi="Arial" w:cs="Arial"/>
          </w:rPr>
          <w:fldChar w:fldCharType="separate"/>
        </w:r>
        <w:r w:rsidRPr="006662C3">
          <w:rPr>
            <w:rFonts w:ascii="Arial" w:hAnsi="Arial" w:cs="Arial"/>
          </w:rPr>
          <w:t>2</w:t>
        </w:r>
        <w:r w:rsidRPr="006662C3">
          <w:rPr>
            <w:rFonts w:ascii="Arial" w:hAnsi="Arial" w:cs="Arial"/>
          </w:rPr>
          <w:fldChar w:fldCharType="end"/>
        </w:r>
      </w:p>
    </w:sdtContent>
  </w:sdt>
  <w:p w14:paraId="6071892F" w14:textId="77777777" w:rsidR="006A7FCC" w:rsidRPr="006662C3" w:rsidRDefault="006A7FCC">
    <w:pPr>
      <w:pStyle w:val="Antrats"/>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9315164"/>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1205BE1"/>
    <w:multiLevelType w:val="hybridMultilevel"/>
    <w:tmpl w:val="186409F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96E6613"/>
    <w:multiLevelType w:val="hybridMultilevel"/>
    <w:tmpl w:val="5528321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D736198"/>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E796053"/>
    <w:multiLevelType w:val="hybridMultilevel"/>
    <w:tmpl w:val="186409F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6CB4227"/>
    <w:multiLevelType w:val="hybridMultilevel"/>
    <w:tmpl w:val="469C30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5C9E774"/>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49A92872"/>
    <w:multiLevelType w:val="hybridMultilevel"/>
    <w:tmpl w:val="910AAC7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70F2389F"/>
    <w:multiLevelType w:val="hybridMultilevel"/>
    <w:tmpl w:val="C91A839C"/>
    <w:lvl w:ilvl="0" w:tplc="C0120BC4">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77A66E0E"/>
    <w:multiLevelType w:val="hybridMultilevel"/>
    <w:tmpl w:val="F3A48834"/>
    <w:lvl w:ilvl="0" w:tplc="27B6C17A">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297678738">
    <w:abstractNumId w:val="8"/>
  </w:num>
  <w:num w:numId="2" w16cid:durableId="719744234">
    <w:abstractNumId w:val="6"/>
  </w:num>
  <w:num w:numId="3" w16cid:durableId="550582064">
    <w:abstractNumId w:val="3"/>
  </w:num>
  <w:num w:numId="4" w16cid:durableId="1349987941">
    <w:abstractNumId w:val="2"/>
  </w:num>
  <w:num w:numId="5" w16cid:durableId="977565767">
    <w:abstractNumId w:val="0"/>
  </w:num>
  <w:num w:numId="6" w16cid:durableId="1000962295">
    <w:abstractNumId w:val="1"/>
  </w:num>
  <w:num w:numId="7" w16cid:durableId="1343359407">
    <w:abstractNumId w:val="5"/>
  </w:num>
  <w:num w:numId="8" w16cid:durableId="1742557896">
    <w:abstractNumId w:val="9"/>
  </w:num>
  <w:num w:numId="9" w16cid:durableId="629676881">
    <w:abstractNumId w:val="4"/>
  </w:num>
  <w:num w:numId="10" w16cid:durableId="76126879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9FD"/>
    <w:rsid w:val="00000419"/>
    <w:rsid w:val="00002304"/>
    <w:rsid w:val="0000254D"/>
    <w:rsid w:val="00002904"/>
    <w:rsid w:val="00003358"/>
    <w:rsid w:val="0000360D"/>
    <w:rsid w:val="000036CB"/>
    <w:rsid w:val="00003937"/>
    <w:rsid w:val="00003AF7"/>
    <w:rsid w:val="00003D03"/>
    <w:rsid w:val="000040BD"/>
    <w:rsid w:val="00004816"/>
    <w:rsid w:val="00004F5E"/>
    <w:rsid w:val="000059AE"/>
    <w:rsid w:val="00006C80"/>
    <w:rsid w:val="0001147C"/>
    <w:rsid w:val="00015014"/>
    <w:rsid w:val="0001531D"/>
    <w:rsid w:val="000157FC"/>
    <w:rsid w:val="00015F17"/>
    <w:rsid w:val="00016976"/>
    <w:rsid w:val="000178A3"/>
    <w:rsid w:val="00017F47"/>
    <w:rsid w:val="00022B22"/>
    <w:rsid w:val="00023865"/>
    <w:rsid w:val="00023EFC"/>
    <w:rsid w:val="00024535"/>
    <w:rsid w:val="00026E0A"/>
    <w:rsid w:val="00032A16"/>
    <w:rsid w:val="000347CA"/>
    <w:rsid w:val="00034D78"/>
    <w:rsid w:val="00035123"/>
    <w:rsid w:val="0003663C"/>
    <w:rsid w:val="0003688A"/>
    <w:rsid w:val="00037BB5"/>
    <w:rsid w:val="00041310"/>
    <w:rsid w:val="0004157C"/>
    <w:rsid w:val="000421A6"/>
    <w:rsid w:val="000428CC"/>
    <w:rsid w:val="00043058"/>
    <w:rsid w:val="00043BD7"/>
    <w:rsid w:val="00047437"/>
    <w:rsid w:val="000504BF"/>
    <w:rsid w:val="0005524D"/>
    <w:rsid w:val="00055557"/>
    <w:rsid w:val="000556B7"/>
    <w:rsid w:val="00055951"/>
    <w:rsid w:val="00064A50"/>
    <w:rsid w:val="00066641"/>
    <w:rsid w:val="00066990"/>
    <w:rsid w:val="000721F8"/>
    <w:rsid w:val="00072EB6"/>
    <w:rsid w:val="00073497"/>
    <w:rsid w:val="00073A0D"/>
    <w:rsid w:val="00074112"/>
    <w:rsid w:val="000764C0"/>
    <w:rsid w:val="00076A08"/>
    <w:rsid w:val="000775D9"/>
    <w:rsid w:val="00077DE3"/>
    <w:rsid w:val="00081152"/>
    <w:rsid w:val="00081698"/>
    <w:rsid w:val="000829A2"/>
    <w:rsid w:val="00083EA1"/>
    <w:rsid w:val="00091939"/>
    <w:rsid w:val="00091ABC"/>
    <w:rsid w:val="00092464"/>
    <w:rsid w:val="00097027"/>
    <w:rsid w:val="0009708D"/>
    <w:rsid w:val="000971DA"/>
    <w:rsid w:val="000A0D24"/>
    <w:rsid w:val="000A1D51"/>
    <w:rsid w:val="000A2C55"/>
    <w:rsid w:val="000A31BF"/>
    <w:rsid w:val="000A42F2"/>
    <w:rsid w:val="000A572B"/>
    <w:rsid w:val="000A6E94"/>
    <w:rsid w:val="000A7F3D"/>
    <w:rsid w:val="000B1E92"/>
    <w:rsid w:val="000B2F84"/>
    <w:rsid w:val="000B3EB7"/>
    <w:rsid w:val="000B4989"/>
    <w:rsid w:val="000B5C31"/>
    <w:rsid w:val="000B6948"/>
    <w:rsid w:val="000B742B"/>
    <w:rsid w:val="000C0C48"/>
    <w:rsid w:val="000C155B"/>
    <w:rsid w:val="000C1E41"/>
    <w:rsid w:val="000C32BE"/>
    <w:rsid w:val="000C3AFC"/>
    <w:rsid w:val="000C4509"/>
    <w:rsid w:val="000C4F98"/>
    <w:rsid w:val="000C66AE"/>
    <w:rsid w:val="000C6780"/>
    <w:rsid w:val="000C6A6F"/>
    <w:rsid w:val="000C6F5E"/>
    <w:rsid w:val="000C7B90"/>
    <w:rsid w:val="000D0466"/>
    <w:rsid w:val="000D0EE3"/>
    <w:rsid w:val="000D1295"/>
    <w:rsid w:val="000D377A"/>
    <w:rsid w:val="000D412E"/>
    <w:rsid w:val="000D47E7"/>
    <w:rsid w:val="000D5799"/>
    <w:rsid w:val="000D757E"/>
    <w:rsid w:val="000E07CD"/>
    <w:rsid w:val="000E1B68"/>
    <w:rsid w:val="000E1E00"/>
    <w:rsid w:val="000E220E"/>
    <w:rsid w:val="000E3260"/>
    <w:rsid w:val="000E4AA2"/>
    <w:rsid w:val="000E51A8"/>
    <w:rsid w:val="000E636F"/>
    <w:rsid w:val="000E6F47"/>
    <w:rsid w:val="000F03D1"/>
    <w:rsid w:val="000F0EC0"/>
    <w:rsid w:val="000F1926"/>
    <w:rsid w:val="000F467B"/>
    <w:rsid w:val="000F4A46"/>
    <w:rsid w:val="000F6C6A"/>
    <w:rsid w:val="000F745B"/>
    <w:rsid w:val="00100C17"/>
    <w:rsid w:val="00100D7C"/>
    <w:rsid w:val="00102A0C"/>
    <w:rsid w:val="001103ED"/>
    <w:rsid w:val="00112558"/>
    <w:rsid w:val="00112650"/>
    <w:rsid w:val="0011279D"/>
    <w:rsid w:val="00112FDB"/>
    <w:rsid w:val="00113E98"/>
    <w:rsid w:val="001146BA"/>
    <w:rsid w:val="00114D37"/>
    <w:rsid w:val="001201D3"/>
    <w:rsid w:val="0012094E"/>
    <w:rsid w:val="00121D1C"/>
    <w:rsid w:val="0012211C"/>
    <w:rsid w:val="001231AE"/>
    <w:rsid w:val="0012390F"/>
    <w:rsid w:val="00123C09"/>
    <w:rsid w:val="00125641"/>
    <w:rsid w:val="00126E06"/>
    <w:rsid w:val="00126E89"/>
    <w:rsid w:val="0012783C"/>
    <w:rsid w:val="0013210B"/>
    <w:rsid w:val="00132251"/>
    <w:rsid w:val="0013253A"/>
    <w:rsid w:val="001335AA"/>
    <w:rsid w:val="00133756"/>
    <w:rsid w:val="0013413C"/>
    <w:rsid w:val="00135C9F"/>
    <w:rsid w:val="001368A1"/>
    <w:rsid w:val="00137934"/>
    <w:rsid w:val="00140A20"/>
    <w:rsid w:val="00142948"/>
    <w:rsid w:val="00142F76"/>
    <w:rsid w:val="00143A55"/>
    <w:rsid w:val="0014419F"/>
    <w:rsid w:val="00144A36"/>
    <w:rsid w:val="00145E00"/>
    <w:rsid w:val="001509B3"/>
    <w:rsid w:val="001515B4"/>
    <w:rsid w:val="001515BF"/>
    <w:rsid w:val="00151795"/>
    <w:rsid w:val="001517A1"/>
    <w:rsid w:val="00152429"/>
    <w:rsid w:val="001527A0"/>
    <w:rsid w:val="00152D16"/>
    <w:rsid w:val="00152D97"/>
    <w:rsid w:val="0015495D"/>
    <w:rsid w:val="001607C7"/>
    <w:rsid w:val="00161926"/>
    <w:rsid w:val="0016483C"/>
    <w:rsid w:val="00165436"/>
    <w:rsid w:val="001665FB"/>
    <w:rsid w:val="001679AF"/>
    <w:rsid w:val="0017020D"/>
    <w:rsid w:val="00172820"/>
    <w:rsid w:val="00172858"/>
    <w:rsid w:val="00173FB8"/>
    <w:rsid w:val="001751D7"/>
    <w:rsid w:val="00180CEA"/>
    <w:rsid w:val="00180E71"/>
    <w:rsid w:val="001816B6"/>
    <w:rsid w:val="00181B12"/>
    <w:rsid w:val="00182351"/>
    <w:rsid w:val="00183F84"/>
    <w:rsid w:val="0018502F"/>
    <w:rsid w:val="00185AE3"/>
    <w:rsid w:val="00185E3E"/>
    <w:rsid w:val="001861EE"/>
    <w:rsid w:val="0018669D"/>
    <w:rsid w:val="00190527"/>
    <w:rsid w:val="00190F52"/>
    <w:rsid w:val="00192074"/>
    <w:rsid w:val="001928EA"/>
    <w:rsid w:val="00194D81"/>
    <w:rsid w:val="00196008"/>
    <w:rsid w:val="0019658E"/>
    <w:rsid w:val="00196943"/>
    <w:rsid w:val="00197B5F"/>
    <w:rsid w:val="001A0261"/>
    <w:rsid w:val="001A204E"/>
    <w:rsid w:val="001A4F56"/>
    <w:rsid w:val="001A5786"/>
    <w:rsid w:val="001A7D60"/>
    <w:rsid w:val="001B0249"/>
    <w:rsid w:val="001B0A1D"/>
    <w:rsid w:val="001B20E5"/>
    <w:rsid w:val="001B326E"/>
    <w:rsid w:val="001B33B0"/>
    <w:rsid w:val="001B38D7"/>
    <w:rsid w:val="001B4D45"/>
    <w:rsid w:val="001B6A79"/>
    <w:rsid w:val="001C1CFB"/>
    <w:rsid w:val="001C1D15"/>
    <w:rsid w:val="001C3877"/>
    <w:rsid w:val="001C49F0"/>
    <w:rsid w:val="001C5E30"/>
    <w:rsid w:val="001C6ECB"/>
    <w:rsid w:val="001C7582"/>
    <w:rsid w:val="001D08B9"/>
    <w:rsid w:val="001D0CBB"/>
    <w:rsid w:val="001D0DD6"/>
    <w:rsid w:val="001D1B25"/>
    <w:rsid w:val="001D2575"/>
    <w:rsid w:val="001D2711"/>
    <w:rsid w:val="001D3867"/>
    <w:rsid w:val="001D3DA6"/>
    <w:rsid w:val="001D5049"/>
    <w:rsid w:val="001D5C06"/>
    <w:rsid w:val="001D7499"/>
    <w:rsid w:val="001D7744"/>
    <w:rsid w:val="001E17D4"/>
    <w:rsid w:val="001E45F7"/>
    <w:rsid w:val="001E71FE"/>
    <w:rsid w:val="001E78EF"/>
    <w:rsid w:val="001E7CAD"/>
    <w:rsid w:val="001F30CB"/>
    <w:rsid w:val="001F315C"/>
    <w:rsid w:val="001F3456"/>
    <w:rsid w:val="001F3D9C"/>
    <w:rsid w:val="001F4C69"/>
    <w:rsid w:val="001F534D"/>
    <w:rsid w:val="001F6102"/>
    <w:rsid w:val="001F6DE8"/>
    <w:rsid w:val="001F76A6"/>
    <w:rsid w:val="00201079"/>
    <w:rsid w:val="00201FFA"/>
    <w:rsid w:val="00202AFC"/>
    <w:rsid w:val="00203EE6"/>
    <w:rsid w:val="00204EC7"/>
    <w:rsid w:val="00205003"/>
    <w:rsid w:val="00205025"/>
    <w:rsid w:val="00205320"/>
    <w:rsid w:val="0020550D"/>
    <w:rsid w:val="0020575E"/>
    <w:rsid w:val="002101AE"/>
    <w:rsid w:val="002101BB"/>
    <w:rsid w:val="002107C6"/>
    <w:rsid w:val="002139A5"/>
    <w:rsid w:val="00214671"/>
    <w:rsid w:val="002165FB"/>
    <w:rsid w:val="00216F01"/>
    <w:rsid w:val="00217CDB"/>
    <w:rsid w:val="00220FD4"/>
    <w:rsid w:val="00221FC4"/>
    <w:rsid w:val="00222D55"/>
    <w:rsid w:val="00222D8C"/>
    <w:rsid w:val="002233F7"/>
    <w:rsid w:val="00230735"/>
    <w:rsid w:val="00230DA7"/>
    <w:rsid w:val="00231D30"/>
    <w:rsid w:val="00233199"/>
    <w:rsid w:val="00235BB6"/>
    <w:rsid w:val="002365EE"/>
    <w:rsid w:val="00237122"/>
    <w:rsid w:val="002372BF"/>
    <w:rsid w:val="0024131B"/>
    <w:rsid w:val="0024213D"/>
    <w:rsid w:val="0024381F"/>
    <w:rsid w:val="00243DA0"/>
    <w:rsid w:val="0024439F"/>
    <w:rsid w:val="00246088"/>
    <w:rsid w:val="002462A1"/>
    <w:rsid w:val="00247ADA"/>
    <w:rsid w:val="0025025A"/>
    <w:rsid w:val="002515BD"/>
    <w:rsid w:val="00252D1A"/>
    <w:rsid w:val="00253416"/>
    <w:rsid w:val="0025552F"/>
    <w:rsid w:val="00255D62"/>
    <w:rsid w:val="00256D6F"/>
    <w:rsid w:val="00257D34"/>
    <w:rsid w:val="002608ED"/>
    <w:rsid w:val="00260C20"/>
    <w:rsid w:val="00262AD2"/>
    <w:rsid w:val="00262C5C"/>
    <w:rsid w:val="0026426F"/>
    <w:rsid w:val="00264335"/>
    <w:rsid w:val="002655F4"/>
    <w:rsid w:val="002657F4"/>
    <w:rsid w:val="00266872"/>
    <w:rsid w:val="002706CE"/>
    <w:rsid w:val="00271230"/>
    <w:rsid w:val="00272AE4"/>
    <w:rsid w:val="0027525D"/>
    <w:rsid w:val="00276E89"/>
    <w:rsid w:val="00277D63"/>
    <w:rsid w:val="002811D1"/>
    <w:rsid w:val="00281479"/>
    <w:rsid w:val="00282814"/>
    <w:rsid w:val="00283B9C"/>
    <w:rsid w:val="00284137"/>
    <w:rsid w:val="00284DA5"/>
    <w:rsid w:val="00285594"/>
    <w:rsid w:val="0028563F"/>
    <w:rsid w:val="00285A18"/>
    <w:rsid w:val="00290D40"/>
    <w:rsid w:val="00291A6B"/>
    <w:rsid w:val="00293361"/>
    <w:rsid w:val="0029405A"/>
    <w:rsid w:val="002943BD"/>
    <w:rsid w:val="00294D31"/>
    <w:rsid w:val="002964C7"/>
    <w:rsid w:val="00297931"/>
    <w:rsid w:val="00297A72"/>
    <w:rsid w:val="00297DDC"/>
    <w:rsid w:val="002A001F"/>
    <w:rsid w:val="002A15F2"/>
    <w:rsid w:val="002A2F29"/>
    <w:rsid w:val="002A3A31"/>
    <w:rsid w:val="002A3DEB"/>
    <w:rsid w:val="002A5589"/>
    <w:rsid w:val="002A661B"/>
    <w:rsid w:val="002A69FE"/>
    <w:rsid w:val="002A6A9F"/>
    <w:rsid w:val="002A71AC"/>
    <w:rsid w:val="002B29D6"/>
    <w:rsid w:val="002B311D"/>
    <w:rsid w:val="002B43E8"/>
    <w:rsid w:val="002B470A"/>
    <w:rsid w:val="002B4C57"/>
    <w:rsid w:val="002B5EFC"/>
    <w:rsid w:val="002C0641"/>
    <w:rsid w:val="002C0F8A"/>
    <w:rsid w:val="002C1B71"/>
    <w:rsid w:val="002C249F"/>
    <w:rsid w:val="002C44B9"/>
    <w:rsid w:val="002C470D"/>
    <w:rsid w:val="002C54AA"/>
    <w:rsid w:val="002C7BAC"/>
    <w:rsid w:val="002D15A0"/>
    <w:rsid w:val="002D2A38"/>
    <w:rsid w:val="002D2F97"/>
    <w:rsid w:val="002D65B3"/>
    <w:rsid w:val="002D6683"/>
    <w:rsid w:val="002E0607"/>
    <w:rsid w:val="002E0F8A"/>
    <w:rsid w:val="002E123E"/>
    <w:rsid w:val="002E35B5"/>
    <w:rsid w:val="002E3C0D"/>
    <w:rsid w:val="002E50E0"/>
    <w:rsid w:val="002E52BC"/>
    <w:rsid w:val="002E58A2"/>
    <w:rsid w:val="002E6EC2"/>
    <w:rsid w:val="002F1143"/>
    <w:rsid w:val="002F124E"/>
    <w:rsid w:val="002F1426"/>
    <w:rsid w:val="002F16D9"/>
    <w:rsid w:val="002F2BE6"/>
    <w:rsid w:val="002F2C01"/>
    <w:rsid w:val="002F39CC"/>
    <w:rsid w:val="002F751F"/>
    <w:rsid w:val="003013AD"/>
    <w:rsid w:val="00301B37"/>
    <w:rsid w:val="0030214D"/>
    <w:rsid w:val="0030332D"/>
    <w:rsid w:val="0030369A"/>
    <w:rsid w:val="003037A2"/>
    <w:rsid w:val="00303B32"/>
    <w:rsid w:val="00304769"/>
    <w:rsid w:val="0030509B"/>
    <w:rsid w:val="00306DB6"/>
    <w:rsid w:val="00307984"/>
    <w:rsid w:val="0031026C"/>
    <w:rsid w:val="00310FC1"/>
    <w:rsid w:val="00311078"/>
    <w:rsid w:val="003112FE"/>
    <w:rsid w:val="003113C4"/>
    <w:rsid w:val="00311E23"/>
    <w:rsid w:val="003129F3"/>
    <w:rsid w:val="00316F6D"/>
    <w:rsid w:val="0031708C"/>
    <w:rsid w:val="003173C4"/>
    <w:rsid w:val="00317A54"/>
    <w:rsid w:val="003232FA"/>
    <w:rsid w:val="00323336"/>
    <w:rsid w:val="00323579"/>
    <w:rsid w:val="0032451B"/>
    <w:rsid w:val="0032658A"/>
    <w:rsid w:val="003305F1"/>
    <w:rsid w:val="0033110F"/>
    <w:rsid w:val="00332EE0"/>
    <w:rsid w:val="0033337E"/>
    <w:rsid w:val="00334905"/>
    <w:rsid w:val="00336ED3"/>
    <w:rsid w:val="00337C02"/>
    <w:rsid w:val="00340C92"/>
    <w:rsid w:val="00341914"/>
    <w:rsid w:val="00341E57"/>
    <w:rsid w:val="00341FDE"/>
    <w:rsid w:val="00342E2B"/>
    <w:rsid w:val="00343DEC"/>
    <w:rsid w:val="0034486F"/>
    <w:rsid w:val="00344B57"/>
    <w:rsid w:val="00345DBF"/>
    <w:rsid w:val="00347BC5"/>
    <w:rsid w:val="003507A7"/>
    <w:rsid w:val="003511EB"/>
    <w:rsid w:val="003524EC"/>
    <w:rsid w:val="003530E5"/>
    <w:rsid w:val="00353311"/>
    <w:rsid w:val="0035352A"/>
    <w:rsid w:val="0035532A"/>
    <w:rsid w:val="0035639C"/>
    <w:rsid w:val="00357034"/>
    <w:rsid w:val="0035762C"/>
    <w:rsid w:val="00360687"/>
    <w:rsid w:val="00360FA7"/>
    <w:rsid w:val="0036142C"/>
    <w:rsid w:val="00361AC2"/>
    <w:rsid w:val="00366EF9"/>
    <w:rsid w:val="00370968"/>
    <w:rsid w:val="00370F04"/>
    <w:rsid w:val="00372FD8"/>
    <w:rsid w:val="00374842"/>
    <w:rsid w:val="00375A4E"/>
    <w:rsid w:val="003801F7"/>
    <w:rsid w:val="00382064"/>
    <w:rsid w:val="00382170"/>
    <w:rsid w:val="00382231"/>
    <w:rsid w:val="00383875"/>
    <w:rsid w:val="00384BEF"/>
    <w:rsid w:val="00385B99"/>
    <w:rsid w:val="00385D19"/>
    <w:rsid w:val="00386E07"/>
    <w:rsid w:val="00387B88"/>
    <w:rsid w:val="003900B8"/>
    <w:rsid w:val="00391B43"/>
    <w:rsid w:val="0039259B"/>
    <w:rsid w:val="00392F62"/>
    <w:rsid w:val="003935D4"/>
    <w:rsid w:val="00394F2F"/>
    <w:rsid w:val="00395DD7"/>
    <w:rsid w:val="00395F7C"/>
    <w:rsid w:val="0039615C"/>
    <w:rsid w:val="00397209"/>
    <w:rsid w:val="003A13D8"/>
    <w:rsid w:val="003A2056"/>
    <w:rsid w:val="003A3ABB"/>
    <w:rsid w:val="003A3BD6"/>
    <w:rsid w:val="003A56D2"/>
    <w:rsid w:val="003A5C64"/>
    <w:rsid w:val="003A729C"/>
    <w:rsid w:val="003A7FA2"/>
    <w:rsid w:val="003B02B9"/>
    <w:rsid w:val="003B0ACC"/>
    <w:rsid w:val="003B1D7E"/>
    <w:rsid w:val="003B3176"/>
    <w:rsid w:val="003B31E8"/>
    <w:rsid w:val="003B3BF4"/>
    <w:rsid w:val="003B5B1D"/>
    <w:rsid w:val="003B6CAC"/>
    <w:rsid w:val="003B7D1D"/>
    <w:rsid w:val="003C0669"/>
    <w:rsid w:val="003C094C"/>
    <w:rsid w:val="003C0DD6"/>
    <w:rsid w:val="003C1EA9"/>
    <w:rsid w:val="003C475D"/>
    <w:rsid w:val="003C580D"/>
    <w:rsid w:val="003C6F78"/>
    <w:rsid w:val="003C7B8F"/>
    <w:rsid w:val="003D0138"/>
    <w:rsid w:val="003D0BD0"/>
    <w:rsid w:val="003D13A6"/>
    <w:rsid w:val="003D15F5"/>
    <w:rsid w:val="003D20BC"/>
    <w:rsid w:val="003D7330"/>
    <w:rsid w:val="003E029D"/>
    <w:rsid w:val="003E051B"/>
    <w:rsid w:val="003E15DD"/>
    <w:rsid w:val="003E3F5A"/>
    <w:rsid w:val="003E4340"/>
    <w:rsid w:val="003E55C2"/>
    <w:rsid w:val="003E587E"/>
    <w:rsid w:val="003E60DE"/>
    <w:rsid w:val="003E7062"/>
    <w:rsid w:val="003E70E7"/>
    <w:rsid w:val="003F0C0F"/>
    <w:rsid w:val="003F3494"/>
    <w:rsid w:val="003F3BFC"/>
    <w:rsid w:val="003F473C"/>
    <w:rsid w:val="003F5221"/>
    <w:rsid w:val="003F5CFD"/>
    <w:rsid w:val="003F62DF"/>
    <w:rsid w:val="003F6F33"/>
    <w:rsid w:val="00401543"/>
    <w:rsid w:val="0040164B"/>
    <w:rsid w:val="00402292"/>
    <w:rsid w:val="00404439"/>
    <w:rsid w:val="00404669"/>
    <w:rsid w:val="0040466F"/>
    <w:rsid w:val="0040741E"/>
    <w:rsid w:val="004100CC"/>
    <w:rsid w:val="00412C66"/>
    <w:rsid w:val="00414092"/>
    <w:rsid w:val="004169C9"/>
    <w:rsid w:val="00416F91"/>
    <w:rsid w:val="00417903"/>
    <w:rsid w:val="004204CF"/>
    <w:rsid w:val="00421FA1"/>
    <w:rsid w:val="00423458"/>
    <w:rsid w:val="004247B9"/>
    <w:rsid w:val="0042518E"/>
    <w:rsid w:val="00426A00"/>
    <w:rsid w:val="00427ADC"/>
    <w:rsid w:val="00430C9A"/>
    <w:rsid w:val="00432F51"/>
    <w:rsid w:val="004339E4"/>
    <w:rsid w:val="00437629"/>
    <w:rsid w:val="0044175F"/>
    <w:rsid w:val="00441BFA"/>
    <w:rsid w:val="00442566"/>
    <w:rsid w:val="00443674"/>
    <w:rsid w:val="00444983"/>
    <w:rsid w:val="00446282"/>
    <w:rsid w:val="00451B84"/>
    <w:rsid w:val="00452EE6"/>
    <w:rsid w:val="00452EFC"/>
    <w:rsid w:val="004530C1"/>
    <w:rsid w:val="00453788"/>
    <w:rsid w:val="004546FA"/>
    <w:rsid w:val="00454F87"/>
    <w:rsid w:val="00455AFF"/>
    <w:rsid w:val="00455BA8"/>
    <w:rsid w:val="004561DD"/>
    <w:rsid w:val="00457355"/>
    <w:rsid w:val="0046073F"/>
    <w:rsid w:val="00460DE3"/>
    <w:rsid w:val="0046644B"/>
    <w:rsid w:val="00467F9B"/>
    <w:rsid w:val="004702BA"/>
    <w:rsid w:val="0047054E"/>
    <w:rsid w:val="00470B94"/>
    <w:rsid w:val="00470CCC"/>
    <w:rsid w:val="00472528"/>
    <w:rsid w:val="00472ADC"/>
    <w:rsid w:val="00472CC8"/>
    <w:rsid w:val="00472D16"/>
    <w:rsid w:val="00474045"/>
    <w:rsid w:val="00474997"/>
    <w:rsid w:val="00475243"/>
    <w:rsid w:val="00476C7F"/>
    <w:rsid w:val="00477A33"/>
    <w:rsid w:val="00477EBA"/>
    <w:rsid w:val="0048078D"/>
    <w:rsid w:val="0048127B"/>
    <w:rsid w:val="00481906"/>
    <w:rsid w:val="00481BEC"/>
    <w:rsid w:val="0048212E"/>
    <w:rsid w:val="00482B56"/>
    <w:rsid w:val="00483225"/>
    <w:rsid w:val="00485060"/>
    <w:rsid w:val="00486CDF"/>
    <w:rsid w:val="00487384"/>
    <w:rsid w:val="00487684"/>
    <w:rsid w:val="0048798F"/>
    <w:rsid w:val="00490014"/>
    <w:rsid w:val="004905A9"/>
    <w:rsid w:val="00490D6E"/>
    <w:rsid w:val="00490FD9"/>
    <w:rsid w:val="00491134"/>
    <w:rsid w:val="00492ECB"/>
    <w:rsid w:val="0049356B"/>
    <w:rsid w:val="00494842"/>
    <w:rsid w:val="00494CDD"/>
    <w:rsid w:val="004958B8"/>
    <w:rsid w:val="004961EF"/>
    <w:rsid w:val="004A2C45"/>
    <w:rsid w:val="004A304D"/>
    <w:rsid w:val="004A4F72"/>
    <w:rsid w:val="004A7FA7"/>
    <w:rsid w:val="004B4824"/>
    <w:rsid w:val="004C2C75"/>
    <w:rsid w:val="004C32A4"/>
    <w:rsid w:val="004C48E6"/>
    <w:rsid w:val="004C5D4D"/>
    <w:rsid w:val="004C7368"/>
    <w:rsid w:val="004D1CB1"/>
    <w:rsid w:val="004D2294"/>
    <w:rsid w:val="004D4F87"/>
    <w:rsid w:val="004D5624"/>
    <w:rsid w:val="004D5D3D"/>
    <w:rsid w:val="004D6AE1"/>
    <w:rsid w:val="004D6C4C"/>
    <w:rsid w:val="004D6E66"/>
    <w:rsid w:val="004E03B6"/>
    <w:rsid w:val="004E0FE7"/>
    <w:rsid w:val="004E2B65"/>
    <w:rsid w:val="004E3434"/>
    <w:rsid w:val="004E4A9F"/>
    <w:rsid w:val="004E4F37"/>
    <w:rsid w:val="004E5AC5"/>
    <w:rsid w:val="004E7E34"/>
    <w:rsid w:val="004F0DF1"/>
    <w:rsid w:val="004F2079"/>
    <w:rsid w:val="004F235B"/>
    <w:rsid w:val="004F2589"/>
    <w:rsid w:val="004F32DD"/>
    <w:rsid w:val="004F5583"/>
    <w:rsid w:val="004F5D65"/>
    <w:rsid w:val="004F7EBC"/>
    <w:rsid w:val="004F7F63"/>
    <w:rsid w:val="0050010C"/>
    <w:rsid w:val="0050398A"/>
    <w:rsid w:val="0050523E"/>
    <w:rsid w:val="00506861"/>
    <w:rsid w:val="00507752"/>
    <w:rsid w:val="00511096"/>
    <w:rsid w:val="0051149D"/>
    <w:rsid w:val="0051176A"/>
    <w:rsid w:val="0051366C"/>
    <w:rsid w:val="00513C8D"/>
    <w:rsid w:val="00514A51"/>
    <w:rsid w:val="00514A7A"/>
    <w:rsid w:val="0051738A"/>
    <w:rsid w:val="005209C7"/>
    <w:rsid w:val="00522B43"/>
    <w:rsid w:val="005240F9"/>
    <w:rsid w:val="005245E0"/>
    <w:rsid w:val="005253CA"/>
    <w:rsid w:val="00526B9B"/>
    <w:rsid w:val="005322FC"/>
    <w:rsid w:val="00533AB0"/>
    <w:rsid w:val="00533AF5"/>
    <w:rsid w:val="005342E1"/>
    <w:rsid w:val="0053597E"/>
    <w:rsid w:val="00537EA0"/>
    <w:rsid w:val="005408AF"/>
    <w:rsid w:val="00542CD7"/>
    <w:rsid w:val="00543AB9"/>
    <w:rsid w:val="00545E87"/>
    <w:rsid w:val="0054758D"/>
    <w:rsid w:val="0055002E"/>
    <w:rsid w:val="005520C0"/>
    <w:rsid w:val="00554B55"/>
    <w:rsid w:val="00557175"/>
    <w:rsid w:val="0055740C"/>
    <w:rsid w:val="0056087A"/>
    <w:rsid w:val="00562C1F"/>
    <w:rsid w:val="0056575F"/>
    <w:rsid w:val="00565F30"/>
    <w:rsid w:val="005704B8"/>
    <w:rsid w:val="00572A8C"/>
    <w:rsid w:val="00575E46"/>
    <w:rsid w:val="0057725C"/>
    <w:rsid w:val="00577653"/>
    <w:rsid w:val="00582723"/>
    <w:rsid w:val="0058352A"/>
    <w:rsid w:val="00584FB6"/>
    <w:rsid w:val="0058540B"/>
    <w:rsid w:val="00586232"/>
    <w:rsid w:val="00586C93"/>
    <w:rsid w:val="00587D4A"/>
    <w:rsid w:val="00590C55"/>
    <w:rsid w:val="0059208B"/>
    <w:rsid w:val="00595477"/>
    <w:rsid w:val="00597C19"/>
    <w:rsid w:val="005A0A3B"/>
    <w:rsid w:val="005A1BDA"/>
    <w:rsid w:val="005A26A3"/>
    <w:rsid w:val="005A26B7"/>
    <w:rsid w:val="005A3615"/>
    <w:rsid w:val="005A4687"/>
    <w:rsid w:val="005A5EAE"/>
    <w:rsid w:val="005A6EE1"/>
    <w:rsid w:val="005B001C"/>
    <w:rsid w:val="005B2754"/>
    <w:rsid w:val="005B331C"/>
    <w:rsid w:val="005B49D4"/>
    <w:rsid w:val="005B5CF2"/>
    <w:rsid w:val="005B5E99"/>
    <w:rsid w:val="005C04E8"/>
    <w:rsid w:val="005C2F19"/>
    <w:rsid w:val="005C3513"/>
    <w:rsid w:val="005C528F"/>
    <w:rsid w:val="005C5AB3"/>
    <w:rsid w:val="005D032B"/>
    <w:rsid w:val="005D188D"/>
    <w:rsid w:val="005D2A5D"/>
    <w:rsid w:val="005D302B"/>
    <w:rsid w:val="005D62C9"/>
    <w:rsid w:val="005D62E0"/>
    <w:rsid w:val="005E079E"/>
    <w:rsid w:val="005E0AFA"/>
    <w:rsid w:val="005E18FB"/>
    <w:rsid w:val="005E4A13"/>
    <w:rsid w:val="005E51D1"/>
    <w:rsid w:val="005E65B9"/>
    <w:rsid w:val="005E6C5E"/>
    <w:rsid w:val="005E6F44"/>
    <w:rsid w:val="005E7A4A"/>
    <w:rsid w:val="005F17A9"/>
    <w:rsid w:val="005F22B3"/>
    <w:rsid w:val="005F3B94"/>
    <w:rsid w:val="005F4904"/>
    <w:rsid w:val="005F557F"/>
    <w:rsid w:val="005F75ED"/>
    <w:rsid w:val="005F7DED"/>
    <w:rsid w:val="00603455"/>
    <w:rsid w:val="006051F0"/>
    <w:rsid w:val="006079CF"/>
    <w:rsid w:val="00611FF9"/>
    <w:rsid w:val="00613A6C"/>
    <w:rsid w:val="00614D7A"/>
    <w:rsid w:val="006158EC"/>
    <w:rsid w:val="00616AB8"/>
    <w:rsid w:val="0062296F"/>
    <w:rsid w:val="00622B57"/>
    <w:rsid w:val="00623187"/>
    <w:rsid w:val="0062344B"/>
    <w:rsid w:val="00623808"/>
    <w:rsid w:val="00624591"/>
    <w:rsid w:val="00626081"/>
    <w:rsid w:val="00627BEC"/>
    <w:rsid w:val="00630474"/>
    <w:rsid w:val="00630832"/>
    <w:rsid w:val="00632C5E"/>
    <w:rsid w:val="00634F8B"/>
    <w:rsid w:val="00637D46"/>
    <w:rsid w:val="00641A0C"/>
    <w:rsid w:val="00642E6B"/>
    <w:rsid w:val="00643283"/>
    <w:rsid w:val="0064461B"/>
    <w:rsid w:val="006472D1"/>
    <w:rsid w:val="00647809"/>
    <w:rsid w:val="006503E5"/>
    <w:rsid w:val="00651E5E"/>
    <w:rsid w:val="006540AE"/>
    <w:rsid w:val="006542E3"/>
    <w:rsid w:val="0065530E"/>
    <w:rsid w:val="00657D28"/>
    <w:rsid w:val="00660344"/>
    <w:rsid w:val="00661277"/>
    <w:rsid w:val="0066200B"/>
    <w:rsid w:val="00663020"/>
    <w:rsid w:val="006658C2"/>
    <w:rsid w:val="006662C3"/>
    <w:rsid w:val="006711B7"/>
    <w:rsid w:val="00671D2D"/>
    <w:rsid w:val="00672ECF"/>
    <w:rsid w:val="0067632D"/>
    <w:rsid w:val="00677561"/>
    <w:rsid w:val="00677D88"/>
    <w:rsid w:val="00680AF6"/>
    <w:rsid w:val="00681C96"/>
    <w:rsid w:val="006820B8"/>
    <w:rsid w:val="006821A7"/>
    <w:rsid w:val="00685080"/>
    <w:rsid w:val="00685538"/>
    <w:rsid w:val="006862E4"/>
    <w:rsid w:val="006868C7"/>
    <w:rsid w:val="00687F47"/>
    <w:rsid w:val="0069043B"/>
    <w:rsid w:val="00690B5C"/>
    <w:rsid w:val="00692924"/>
    <w:rsid w:val="0069418F"/>
    <w:rsid w:val="00694A34"/>
    <w:rsid w:val="006959C3"/>
    <w:rsid w:val="006A035B"/>
    <w:rsid w:val="006A0542"/>
    <w:rsid w:val="006A090F"/>
    <w:rsid w:val="006A0AAA"/>
    <w:rsid w:val="006A1164"/>
    <w:rsid w:val="006A1565"/>
    <w:rsid w:val="006A3C32"/>
    <w:rsid w:val="006A5D9A"/>
    <w:rsid w:val="006A7405"/>
    <w:rsid w:val="006A74B9"/>
    <w:rsid w:val="006A798D"/>
    <w:rsid w:val="006A7FCC"/>
    <w:rsid w:val="006B3388"/>
    <w:rsid w:val="006B3482"/>
    <w:rsid w:val="006B44FC"/>
    <w:rsid w:val="006B4908"/>
    <w:rsid w:val="006C1FAF"/>
    <w:rsid w:val="006C23B7"/>
    <w:rsid w:val="006C30B1"/>
    <w:rsid w:val="006C3FC6"/>
    <w:rsid w:val="006C43D2"/>
    <w:rsid w:val="006C57FF"/>
    <w:rsid w:val="006C5E65"/>
    <w:rsid w:val="006C7C3F"/>
    <w:rsid w:val="006D0349"/>
    <w:rsid w:val="006D0D1B"/>
    <w:rsid w:val="006D0EAC"/>
    <w:rsid w:val="006D13BE"/>
    <w:rsid w:val="006D2548"/>
    <w:rsid w:val="006D43CB"/>
    <w:rsid w:val="006D5C8D"/>
    <w:rsid w:val="006D6B84"/>
    <w:rsid w:val="006D7C84"/>
    <w:rsid w:val="006E01CB"/>
    <w:rsid w:val="006E1A8B"/>
    <w:rsid w:val="006E20D1"/>
    <w:rsid w:val="006E25D5"/>
    <w:rsid w:val="006E2DDD"/>
    <w:rsid w:val="006E3105"/>
    <w:rsid w:val="006E6F64"/>
    <w:rsid w:val="006E7031"/>
    <w:rsid w:val="006E7755"/>
    <w:rsid w:val="006F0AA1"/>
    <w:rsid w:val="006F0B2D"/>
    <w:rsid w:val="006F1C29"/>
    <w:rsid w:val="006F463A"/>
    <w:rsid w:val="006F5FE4"/>
    <w:rsid w:val="00701F32"/>
    <w:rsid w:val="00703358"/>
    <w:rsid w:val="0070438B"/>
    <w:rsid w:val="00707455"/>
    <w:rsid w:val="00710B6F"/>
    <w:rsid w:val="00711905"/>
    <w:rsid w:val="00711A40"/>
    <w:rsid w:val="00712279"/>
    <w:rsid w:val="00712897"/>
    <w:rsid w:val="007167E7"/>
    <w:rsid w:val="00716DC9"/>
    <w:rsid w:val="007174B5"/>
    <w:rsid w:val="00720D4A"/>
    <w:rsid w:val="00721B4E"/>
    <w:rsid w:val="00721DF3"/>
    <w:rsid w:val="0072244A"/>
    <w:rsid w:val="007263E5"/>
    <w:rsid w:val="0073012F"/>
    <w:rsid w:val="0073135B"/>
    <w:rsid w:val="00732222"/>
    <w:rsid w:val="007322E1"/>
    <w:rsid w:val="00733B41"/>
    <w:rsid w:val="0073410C"/>
    <w:rsid w:val="00737AAE"/>
    <w:rsid w:val="007401AF"/>
    <w:rsid w:val="0074040C"/>
    <w:rsid w:val="00740DA9"/>
    <w:rsid w:val="007454C0"/>
    <w:rsid w:val="00745721"/>
    <w:rsid w:val="007461CF"/>
    <w:rsid w:val="007467F1"/>
    <w:rsid w:val="00746A67"/>
    <w:rsid w:val="00746A76"/>
    <w:rsid w:val="0074727B"/>
    <w:rsid w:val="007500F9"/>
    <w:rsid w:val="007520C8"/>
    <w:rsid w:val="00753ED1"/>
    <w:rsid w:val="0075666B"/>
    <w:rsid w:val="007568F7"/>
    <w:rsid w:val="00761308"/>
    <w:rsid w:val="00761BEC"/>
    <w:rsid w:val="00764CA0"/>
    <w:rsid w:val="00765C6C"/>
    <w:rsid w:val="00766BDA"/>
    <w:rsid w:val="00766DB8"/>
    <w:rsid w:val="00771034"/>
    <w:rsid w:val="007721C0"/>
    <w:rsid w:val="007732E8"/>
    <w:rsid w:val="00774E43"/>
    <w:rsid w:val="007756CC"/>
    <w:rsid w:val="00775E01"/>
    <w:rsid w:val="00776555"/>
    <w:rsid w:val="007768F0"/>
    <w:rsid w:val="00777260"/>
    <w:rsid w:val="0077754C"/>
    <w:rsid w:val="0077764E"/>
    <w:rsid w:val="007828B1"/>
    <w:rsid w:val="00782EF4"/>
    <w:rsid w:val="00785091"/>
    <w:rsid w:val="00786AB3"/>
    <w:rsid w:val="0078719E"/>
    <w:rsid w:val="0078781F"/>
    <w:rsid w:val="00791F1D"/>
    <w:rsid w:val="00793764"/>
    <w:rsid w:val="00795055"/>
    <w:rsid w:val="0079599D"/>
    <w:rsid w:val="00796135"/>
    <w:rsid w:val="007A0845"/>
    <w:rsid w:val="007A0B09"/>
    <w:rsid w:val="007A0B19"/>
    <w:rsid w:val="007A28C3"/>
    <w:rsid w:val="007A50E0"/>
    <w:rsid w:val="007A54E9"/>
    <w:rsid w:val="007A57E5"/>
    <w:rsid w:val="007B0F04"/>
    <w:rsid w:val="007B17B5"/>
    <w:rsid w:val="007B2632"/>
    <w:rsid w:val="007B2919"/>
    <w:rsid w:val="007B5FAF"/>
    <w:rsid w:val="007B6492"/>
    <w:rsid w:val="007C0F6A"/>
    <w:rsid w:val="007C2CD1"/>
    <w:rsid w:val="007C35D5"/>
    <w:rsid w:val="007C62E8"/>
    <w:rsid w:val="007C7ADB"/>
    <w:rsid w:val="007D3503"/>
    <w:rsid w:val="007D3D56"/>
    <w:rsid w:val="007D4E99"/>
    <w:rsid w:val="007D7B03"/>
    <w:rsid w:val="007D7CA6"/>
    <w:rsid w:val="007D7FD3"/>
    <w:rsid w:val="007E1E13"/>
    <w:rsid w:val="007E517A"/>
    <w:rsid w:val="007F11EF"/>
    <w:rsid w:val="007F1DB3"/>
    <w:rsid w:val="007F4751"/>
    <w:rsid w:val="007F4DBF"/>
    <w:rsid w:val="007F5A40"/>
    <w:rsid w:val="007F5A82"/>
    <w:rsid w:val="008002E6"/>
    <w:rsid w:val="00802D1D"/>
    <w:rsid w:val="00803A4A"/>
    <w:rsid w:val="008040D3"/>
    <w:rsid w:val="008047E3"/>
    <w:rsid w:val="0080528B"/>
    <w:rsid w:val="00805508"/>
    <w:rsid w:val="008062A4"/>
    <w:rsid w:val="008078A2"/>
    <w:rsid w:val="0081018C"/>
    <w:rsid w:val="0081292A"/>
    <w:rsid w:val="00814068"/>
    <w:rsid w:val="0081436E"/>
    <w:rsid w:val="008147D5"/>
    <w:rsid w:val="00814B81"/>
    <w:rsid w:val="0081580E"/>
    <w:rsid w:val="0081600B"/>
    <w:rsid w:val="008205DF"/>
    <w:rsid w:val="00821D9D"/>
    <w:rsid w:val="008255EF"/>
    <w:rsid w:val="008270BD"/>
    <w:rsid w:val="00830290"/>
    <w:rsid w:val="0083055F"/>
    <w:rsid w:val="0083137C"/>
    <w:rsid w:val="00831963"/>
    <w:rsid w:val="008332F7"/>
    <w:rsid w:val="00833C55"/>
    <w:rsid w:val="00835737"/>
    <w:rsid w:val="00835FE1"/>
    <w:rsid w:val="0083733E"/>
    <w:rsid w:val="00840036"/>
    <w:rsid w:val="00840E2F"/>
    <w:rsid w:val="00842EFF"/>
    <w:rsid w:val="0084370D"/>
    <w:rsid w:val="008440F9"/>
    <w:rsid w:val="00845054"/>
    <w:rsid w:val="00845455"/>
    <w:rsid w:val="00846E1C"/>
    <w:rsid w:val="0085000F"/>
    <w:rsid w:val="00851B0B"/>
    <w:rsid w:val="00851FFB"/>
    <w:rsid w:val="00852636"/>
    <w:rsid w:val="00852913"/>
    <w:rsid w:val="008531BC"/>
    <w:rsid w:val="0085572D"/>
    <w:rsid w:val="008573D5"/>
    <w:rsid w:val="008579E2"/>
    <w:rsid w:val="00862745"/>
    <w:rsid w:val="0086293A"/>
    <w:rsid w:val="00862A3B"/>
    <w:rsid w:val="00862DF2"/>
    <w:rsid w:val="008632C9"/>
    <w:rsid w:val="00863F40"/>
    <w:rsid w:val="00864B80"/>
    <w:rsid w:val="00867A9F"/>
    <w:rsid w:val="008708CC"/>
    <w:rsid w:val="00870F97"/>
    <w:rsid w:val="00871FBF"/>
    <w:rsid w:val="008723B9"/>
    <w:rsid w:val="00875426"/>
    <w:rsid w:val="00875D54"/>
    <w:rsid w:val="00875E1E"/>
    <w:rsid w:val="00876BB0"/>
    <w:rsid w:val="00877ED5"/>
    <w:rsid w:val="00880AA1"/>
    <w:rsid w:val="008831BE"/>
    <w:rsid w:val="00883822"/>
    <w:rsid w:val="008869DE"/>
    <w:rsid w:val="00887078"/>
    <w:rsid w:val="00891CDE"/>
    <w:rsid w:val="008931EE"/>
    <w:rsid w:val="00894CC2"/>
    <w:rsid w:val="0089557B"/>
    <w:rsid w:val="008A189F"/>
    <w:rsid w:val="008A1DDA"/>
    <w:rsid w:val="008A30D9"/>
    <w:rsid w:val="008A3616"/>
    <w:rsid w:val="008A5978"/>
    <w:rsid w:val="008A6582"/>
    <w:rsid w:val="008A6830"/>
    <w:rsid w:val="008B1782"/>
    <w:rsid w:val="008B1AE4"/>
    <w:rsid w:val="008B1F64"/>
    <w:rsid w:val="008B209A"/>
    <w:rsid w:val="008B2848"/>
    <w:rsid w:val="008B34B7"/>
    <w:rsid w:val="008B3BC5"/>
    <w:rsid w:val="008B3EA7"/>
    <w:rsid w:val="008B4ABA"/>
    <w:rsid w:val="008B5942"/>
    <w:rsid w:val="008C3557"/>
    <w:rsid w:val="008C38FC"/>
    <w:rsid w:val="008C5E0D"/>
    <w:rsid w:val="008C76A8"/>
    <w:rsid w:val="008C771F"/>
    <w:rsid w:val="008D2E49"/>
    <w:rsid w:val="008D467C"/>
    <w:rsid w:val="008D4C38"/>
    <w:rsid w:val="008D534A"/>
    <w:rsid w:val="008D5E6F"/>
    <w:rsid w:val="008D6F87"/>
    <w:rsid w:val="008D73F8"/>
    <w:rsid w:val="008E157B"/>
    <w:rsid w:val="008E2306"/>
    <w:rsid w:val="008E2B2E"/>
    <w:rsid w:val="008E3653"/>
    <w:rsid w:val="008E40E9"/>
    <w:rsid w:val="008E4728"/>
    <w:rsid w:val="008E4ECF"/>
    <w:rsid w:val="008E79C9"/>
    <w:rsid w:val="008F232F"/>
    <w:rsid w:val="008F2538"/>
    <w:rsid w:val="008F2FFE"/>
    <w:rsid w:val="008F46E6"/>
    <w:rsid w:val="008F4D7A"/>
    <w:rsid w:val="008F5499"/>
    <w:rsid w:val="008F583B"/>
    <w:rsid w:val="00901032"/>
    <w:rsid w:val="009016D9"/>
    <w:rsid w:val="00902A82"/>
    <w:rsid w:val="00902BDA"/>
    <w:rsid w:val="00903034"/>
    <w:rsid w:val="00903AF5"/>
    <w:rsid w:val="0090459E"/>
    <w:rsid w:val="00904CD5"/>
    <w:rsid w:val="00906B44"/>
    <w:rsid w:val="0090700B"/>
    <w:rsid w:val="009077E4"/>
    <w:rsid w:val="009119FD"/>
    <w:rsid w:val="00912BEA"/>
    <w:rsid w:val="00913A1B"/>
    <w:rsid w:val="00913E62"/>
    <w:rsid w:val="00913EA5"/>
    <w:rsid w:val="0091419A"/>
    <w:rsid w:val="00914B9A"/>
    <w:rsid w:val="00917133"/>
    <w:rsid w:val="009176DC"/>
    <w:rsid w:val="00917BDF"/>
    <w:rsid w:val="009209D3"/>
    <w:rsid w:val="00921895"/>
    <w:rsid w:val="00922DB9"/>
    <w:rsid w:val="009246F7"/>
    <w:rsid w:val="009254AF"/>
    <w:rsid w:val="0093026C"/>
    <w:rsid w:val="009308E4"/>
    <w:rsid w:val="00930BF6"/>
    <w:rsid w:val="00932722"/>
    <w:rsid w:val="00933D59"/>
    <w:rsid w:val="00934FA9"/>
    <w:rsid w:val="009361E6"/>
    <w:rsid w:val="00937073"/>
    <w:rsid w:val="0093750D"/>
    <w:rsid w:val="00940CC7"/>
    <w:rsid w:val="00941EB3"/>
    <w:rsid w:val="00945716"/>
    <w:rsid w:val="00945D35"/>
    <w:rsid w:val="00946B3A"/>
    <w:rsid w:val="00947D7D"/>
    <w:rsid w:val="00951D19"/>
    <w:rsid w:val="009531D6"/>
    <w:rsid w:val="00954045"/>
    <w:rsid w:val="00954DE9"/>
    <w:rsid w:val="00955A99"/>
    <w:rsid w:val="00955CFD"/>
    <w:rsid w:val="00956AF1"/>
    <w:rsid w:val="0095724F"/>
    <w:rsid w:val="00957A98"/>
    <w:rsid w:val="00961263"/>
    <w:rsid w:val="00965C86"/>
    <w:rsid w:val="00966DC9"/>
    <w:rsid w:val="00967980"/>
    <w:rsid w:val="00970AF3"/>
    <w:rsid w:val="00972765"/>
    <w:rsid w:val="00976466"/>
    <w:rsid w:val="00976AAD"/>
    <w:rsid w:val="009815E5"/>
    <w:rsid w:val="00982669"/>
    <w:rsid w:val="00983523"/>
    <w:rsid w:val="00983BAB"/>
    <w:rsid w:val="00983D24"/>
    <w:rsid w:val="00983EDF"/>
    <w:rsid w:val="009841C1"/>
    <w:rsid w:val="00984587"/>
    <w:rsid w:val="009848FA"/>
    <w:rsid w:val="00986331"/>
    <w:rsid w:val="00986E3C"/>
    <w:rsid w:val="00991B4D"/>
    <w:rsid w:val="00991F2D"/>
    <w:rsid w:val="00992DF7"/>
    <w:rsid w:val="009947E0"/>
    <w:rsid w:val="00994E90"/>
    <w:rsid w:val="009963C0"/>
    <w:rsid w:val="009A050A"/>
    <w:rsid w:val="009A0C8F"/>
    <w:rsid w:val="009A0CA5"/>
    <w:rsid w:val="009A219F"/>
    <w:rsid w:val="009A2652"/>
    <w:rsid w:val="009A513D"/>
    <w:rsid w:val="009A579F"/>
    <w:rsid w:val="009A67C2"/>
    <w:rsid w:val="009B10FA"/>
    <w:rsid w:val="009B2029"/>
    <w:rsid w:val="009B3778"/>
    <w:rsid w:val="009B3879"/>
    <w:rsid w:val="009B69DB"/>
    <w:rsid w:val="009C00AC"/>
    <w:rsid w:val="009C037E"/>
    <w:rsid w:val="009C11C3"/>
    <w:rsid w:val="009C1EB6"/>
    <w:rsid w:val="009C1F7B"/>
    <w:rsid w:val="009C296C"/>
    <w:rsid w:val="009C35E3"/>
    <w:rsid w:val="009C46B9"/>
    <w:rsid w:val="009C48E9"/>
    <w:rsid w:val="009C4E73"/>
    <w:rsid w:val="009C6B35"/>
    <w:rsid w:val="009C71BF"/>
    <w:rsid w:val="009D0A4B"/>
    <w:rsid w:val="009D6AA1"/>
    <w:rsid w:val="009D6F42"/>
    <w:rsid w:val="009D7188"/>
    <w:rsid w:val="009E0F9F"/>
    <w:rsid w:val="009E12D3"/>
    <w:rsid w:val="009E1B27"/>
    <w:rsid w:val="009E2627"/>
    <w:rsid w:val="009E2789"/>
    <w:rsid w:val="009E27E6"/>
    <w:rsid w:val="009E406B"/>
    <w:rsid w:val="009E5888"/>
    <w:rsid w:val="009E5C51"/>
    <w:rsid w:val="009E77F1"/>
    <w:rsid w:val="009F0098"/>
    <w:rsid w:val="009F03BF"/>
    <w:rsid w:val="009F0DD1"/>
    <w:rsid w:val="009F49C3"/>
    <w:rsid w:val="009F594D"/>
    <w:rsid w:val="009F660F"/>
    <w:rsid w:val="009F6A9F"/>
    <w:rsid w:val="009F6CFE"/>
    <w:rsid w:val="00A03E3A"/>
    <w:rsid w:val="00A03E4C"/>
    <w:rsid w:val="00A03FEC"/>
    <w:rsid w:val="00A046BF"/>
    <w:rsid w:val="00A0545B"/>
    <w:rsid w:val="00A10D6E"/>
    <w:rsid w:val="00A10E68"/>
    <w:rsid w:val="00A112BB"/>
    <w:rsid w:val="00A13DBE"/>
    <w:rsid w:val="00A143B9"/>
    <w:rsid w:val="00A15AB8"/>
    <w:rsid w:val="00A1627C"/>
    <w:rsid w:val="00A16575"/>
    <w:rsid w:val="00A17E24"/>
    <w:rsid w:val="00A22BEF"/>
    <w:rsid w:val="00A24E58"/>
    <w:rsid w:val="00A25D99"/>
    <w:rsid w:val="00A26A5D"/>
    <w:rsid w:val="00A27E7B"/>
    <w:rsid w:val="00A3253C"/>
    <w:rsid w:val="00A3305A"/>
    <w:rsid w:val="00A37410"/>
    <w:rsid w:val="00A37592"/>
    <w:rsid w:val="00A411B5"/>
    <w:rsid w:val="00A43322"/>
    <w:rsid w:val="00A44A7E"/>
    <w:rsid w:val="00A44B3A"/>
    <w:rsid w:val="00A44D93"/>
    <w:rsid w:val="00A45A97"/>
    <w:rsid w:val="00A45EC3"/>
    <w:rsid w:val="00A46518"/>
    <w:rsid w:val="00A53B74"/>
    <w:rsid w:val="00A54B02"/>
    <w:rsid w:val="00A5566E"/>
    <w:rsid w:val="00A57CB3"/>
    <w:rsid w:val="00A61FC1"/>
    <w:rsid w:val="00A635DB"/>
    <w:rsid w:val="00A63780"/>
    <w:rsid w:val="00A64E4A"/>
    <w:rsid w:val="00A66DE3"/>
    <w:rsid w:val="00A7097D"/>
    <w:rsid w:val="00A712FF"/>
    <w:rsid w:val="00A71777"/>
    <w:rsid w:val="00A718A2"/>
    <w:rsid w:val="00A72360"/>
    <w:rsid w:val="00A758C4"/>
    <w:rsid w:val="00A77F41"/>
    <w:rsid w:val="00A80AFC"/>
    <w:rsid w:val="00A822C2"/>
    <w:rsid w:val="00A8304A"/>
    <w:rsid w:val="00A83A4C"/>
    <w:rsid w:val="00A83E6E"/>
    <w:rsid w:val="00A84E46"/>
    <w:rsid w:val="00A84FC1"/>
    <w:rsid w:val="00A85094"/>
    <w:rsid w:val="00A85F00"/>
    <w:rsid w:val="00A8612C"/>
    <w:rsid w:val="00A86B84"/>
    <w:rsid w:val="00A8794D"/>
    <w:rsid w:val="00A90558"/>
    <w:rsid w:val="00A90906"/>
    <w:rsid w:val="00A9166C"/>
    <w:rsid w:val="00A919FF"/>
    <w:rsid w:val="00A943CB"/>
    <w:rsid w:val="00A96661"/>
    <w:rsid w:val="00A97794"/>
    <w:rsid w:val="00AA0F2B"/>
    <w:rsid w:val="00AA23BD"/>
    <w:rsid w:val="00AA3179"/>
    <w:rsid w:val="00AA3934"/>
    <w:rsid w:val="00AA469E"/>
    <w:rsid w:val="00AA4B9B"/>
    <w:rsid w:val="00AA4D9F"/>
    <w:rsid w:val="00AA5B59"/>
    <w:rsid w:val="00AA7992"/>
    <w:rsid w:val="00AB036F"/>
    <w:rsid w:val="00AB15D0"/>
    <w:rsid w:val="00AB3899"/>
    <w:rsid w:val="00AB680A"/>
    <w:rsid w:val="00AB6D47"/>
    <w:rsid w:val="00AB727A"/>
    <w:rsid w:val="00AC029B"/>
    <w:rsid w:val="00AC0A81"/>
    <w:rsid w:val="00AC5795"/>
    <w:rsid w:val="00AC5870"/>
    <w:rsid w:val="00AC5E97"/>
    <w:rsid w:val="00AC62DD"/>
    <w:rsid w:val="00AC6E3A"/>
    <w:rsid w:val="00AC6FBB"/>
    <w:rsid w:val="00AD22D3"/>
    <w:rsid w:val="00AD2ED2"/>
    <w:rsid w:val="00AD48F3"/>
    <w:rsid w:val="00AD63FD"/>
    <w:rsid w:val="00AE0450"/>
    <w:rsid w:val="00AE0678"/>
    <w:rsid w:val="00AE2C9F"/>
    <w:rsid w:val="00AE2FAB"/>
    <w:rsid w:val="00AE3440"/>
    <w:rsid w:val="00AE3AC8"/>
    <w:rsid w:val="00AE3F8F"/>
    <w:rsid w:val="00AE5E6B"/>
    <w:rsid w:val="00AE62D1"/>
    <w:rsid w:val="00AE7590"/>
    <w:rsid w:val="00AF0515"/>
    <w:rsid w:val="00AF1A4A"/>
    <w:rsid w:val="00AF4058"/>
    <w:rsid w:val="00AF5DFA"/>
    <w:rsid w:val="00AF7CEB"/>
    <w:rsid w:val="00B00B04"/>
    <w:rsid w:val="00B00C3C"/>
    <w:rsid w:val="00B028FA"/>
    <w:rsid w:val="00B03816"/>
    <w:rsid w:val="00B03A61"/>
    <w:rsid w:val="00B03DF2"/>
    <w:rsid w:val="00B059CE"/>
    <w:rsid w:val="00B069CA"/>
    <w:rsid w:val="00B06D19"/>
    <w:rsid w:val="00B07246"/>
    <w:rsid w:val="00B10C44"/>
    <w:rsid w:val="00B11334"/>
    <w:rsid w:val="00B11BAC"/>
    <w:rsid w:val="00B12B03"/>
    <w:rsid w:val="00B1327F"/>
    <w:rsid w:val="00B1338E"/>
    <w:rsid w:val="00B14B81"/>
    <w:rsid w:val="00B161F6"/>
    <w:rsid w:val="00B177C1"/>
    <w:rsid w:val="00B204BA"/>
    <w:rsid w:val="00B237F9"/>
    <w:rsid w:val="00B27D35"/>
    <w:rsid w:val="00B30EDD"/>
    <w:rsid w:val="00B33551"/>
    <w:rsid w:val="00B3438D"/>
    <w:rsid w:val="00B35141"/>
    <w:rsid w:val="00B35AA5"/>
    <w:rsid w:val="00B367B3"/>
    <w:rsid w:val="00B37428"/>
    <w:rsid w:val="00B37FB7"/>
    <w:rsid w:val="00B4018A"/>
    <w:rsid w:val="00B4044E"/>
    <w:rsid w:val="00B41A3E"/>
    <w:rsid w:val="00B4264F"/>
    <w:rsid w:val="00B42A0E"/>
    <w:rsid w:val="00B4308E"/>
    <w:rsid w:val="00B4589B"/>
    <w:rsid w:val="00B46DE5"/>
    <w:rsid w:val="00B5056A"/>
    <w:rsid w:val="00B50761"/>
    <w:rsid w:val="00B52A6A"/>
    <w:rsid w:val="00B53D37"/>
    <w:rsid w:val="00B54670"/>
    <w:rsid w:val="00B55325"/>
    <w:rsid w:val="00B57B04"/>
    <w:rsid w:val="00B60081"/>
    <w:rsid w:val="00B60EAE"/>
    <w:rsid w:val="00B61078"/>
    <w:rsid w:val="00B61C2B"/>
    <w:rsid w:val="00B61D1D"/>
    <w:rsid w:val="00B62043"/>
    <w:rsid w:val="00B62D5E"/>
    <w:rsid w:val="00B63171"/>
    <w:rsid w:val="00B64F87"/>
    <w:rsid w:val="00B653F3"/>
    <w:rsid w:val="00B71C20"/>
    <w:rsid w:val="00B71F07"/>
    <w:rsid w:val="00B721DD"/>
    <w:rsid w:val="00B726C0"/>
    <w:rsid w:val="00B74089"/>
    <w:rsid w:val="00B74519"/>
    <w:rsid w:val="00B7475D"/>
    <w:rsid w:val="00B82448"/>
    <w:rsid w:val="00B82CD8"/>
    <w:rsid w:val="00B832F1"/>
    <w:rsid w:val="00B83B41"/>
    <w:rsid w:val="00B84014"/>
    <w:rsid w:val="00B84391"/>
    <w:rsid w:val="00B8713A"/>
    <w:rsid w:val="00B87D07"/>
    <w:rsid w:val="00B90E70"/>
    <w:rsid w:val="00B9218B"/>
    <w:rsid w:val="00B93E85"/>
    <w:rsid w:val="00B9423C"/>
    <w:rsid w:val="00B965F2"/>
    <w:rsid w:val="00B96823"/>
    <w:rsid w:val="00B9753B"/>
    <w:rsid w:val="00BA1E95"/>
    <w:rsid w:val="00BA3DEB"/>
    <w:rsid w:val="00BA48B4"/>
    <w:rsid w:val="00BA5C6F"/>
    <w:rsid w:val="00BA5E3A"/>
    <w:rsid w:val="00BA679A"/>
    <w:rsid w:val="00BA7059"/>
    <w:rsid w:val="00BA7B40"/>
    <w:rsid w:val="00BA7C11"/>
    <w:rsid w:val="00BB08AB"/>
    <w:rsid w:val="00BB1179"/>
    <w:rsid w:val="00BB137A"/>
    <w:rsid w:val="00BB19DE"/>
    <w:rsid w:val="00BB1D39"/>
    <w:rsid w:val="00BB2155"/>
    <w:rsid w:val="00BB2168"/>
    <w:rsid w:val="00BB2ECF"/>
    <w:rsid w:val="00BB5978"/>
    <w:rsid w:val="00BB5F6C"/>
    <w:rsid w:val="00BB652E"/>
    <w:rsid w:val="00BC036C"/>
    <w:rsid w:val="00BC163C"/>
    <w:rsid w:val="00BC1C09"/>
    <w:rsid w:val="00BC26A8"/>
    <w:rsid w:val="00BC3B76"/>
    <w:rsid w:val="00BC4230"/>
    <w:rsid w:val="00BD0277"/>
    <w:rsid w:val="00BD0909"/>
    <w:rsid w:val="00BD2641"/>
    <w:rsid w:val="00BD370B"/>
    <w:rsid w:val="00BD46F3"/>
    <w:rsid w:val="00BD7929"/>
    <w:rsid w:val="00BD7F7F"/>
    <w:rsid w:val="00BE0491"/>
    <w:rsid w:val="00BE13F9"/>
    <w:rsid w:val="00BE239D"/>
    <w:rsid w:val="00BE2CAC"/>
    <w:rsid w:val="00BE3019"/>
    <w:rsid w:val="00BE3BC8"/>
    <w:rsid w:val="00BE5765"/>
    <w:rsid w:val="00BE5F6B"/>
    <w:rsid w:val="00BE7206"/>
    <w:rsid w:val="00BE721F"/>
    <w:rsid w:val="00BE731F"/>
    <w:rsid w:val="00BE74E8"/>
    <w:rsid w:val="00BF01F6"/>
    <w:rsid w:val="00BF0953"/>
    <w:rsid w:val="00BF1213"/>
    <w:rsid w:val="00BF18AF"/>
    <w:rsid w:val="00BF220A"/>
    <w:rsid w:val="00BF2346"/>
    <w:rsid w:val="00BF300F"/>
    <w:rsid w:val="00BF3C9B"/>
    <w:rsid w:val="00BF79F8"/>
    <w:rsid w:val="00C00753"/>
    <w:rsid w:val="00C01418"/>
    <w:rsid w:val="00C025F8"/>
    <w:rsid w:val="00C02FFD"/>
    <w:rsid w:val="00C104E2"/>
    <w:rsid w:val="00C14995"/>
    <w:rsid w:val="00C156C2"/>
    <w:rsid w:val="00C17F3C"/>
    <w:rsid w:val="00C21054"/>
    <w:rsid w:val="00C21898"/>
    <w:rsid w:val="00C218DF"/>
    <w:rsid w:val="00C230FC"/>
    <w:rsid w:val="00C23A01"/>
    <w:rsid w:val="00C24F3B"/>
    <w:rsid w:val="00C251F9"/>
    <w:rsid w:val="00C258C1"/>
    <w:rsid w:val="00C261C1"/>
    <w:rsid w:val="00C262BB"/>
    <w:rsid w:val="00C2632D"/>
    <w:rsid w:val="00C270E1"/>
    <w:rsid w:val="00C314E2"/>
    <w:rsid w:val="00C31D72"/>
    <w:rsid w:val="00C32DA0"/>
    <w:rsid w:val="00C334BF"/>
    <w:rsid w:val="00C33898"/>
    <w:rsid w:val="00C36755"/>
    <w:rsid w:val="00C36EF2"/>
    <w:rsid w:val="00C37178"/>
    <w:rsid w:val="00C3736F"/>
    <w:rsid w:val="00C4334D"/>
    <w:rsid w:val="00C4408C"/>
    <w:rsid w:val="00C44329"/>
    <w:rsid w:val="00C46A4B"/>
    <w:rsid w:val="00C46AA8"/>
    <w:rsid w:val="00C47BB9"/>
    <w:rsid w:val="00C50B17"/>
    <w:rsid w:val="00C519F1"/>
    <w:rsid w:val="00C53981"/>
    <w:rsid w:val="00C53C2F"/>
    <w:rsid w:val="00C54A6F"/>
    <w:rsid w:val="00C5792B"/>
    <w:rsid w:val="00C60120"/>
    <w:rsid w:val="00C60BF6"/>
    <w:rsid w:val="00C62735"/>
    <w:rsid w:val="00C62A7C"/>
    <w:rsid w:val="00C6530A"/>
    <w:rsid w:val="00C65462"/>
    <w:rsid w:val="00C663C0"/>
    <w:rsid w:val="00C70522"/>
    <w:rsid w:val="00C7064B"/>
    <w:rsid w:val="00C70834"/>
    <w:rsid w:val="00C711BB"/>
    <w:rsid w:val="00C713CA"/>
    <w:rsid w:val="00C71F43"/>
    <w:rsid w:val="00C743A5"/>
    <w:rsid w:val="00C76C21"/>
    <w:rsid w:val="00C825A5"/>
    <w:rsid w:val="00C82FCA"/>
    <w:rsid w:val="00C83AFD"/>
    <w:rsid w:val="00C867C2"/>
    <w:rsid w:val="00C86A13"/>
    <w:rsid w:val="00C86FB1"/>
    <w:rsid w:val="00C876CA"/>
    <w:rsid w:val="00C90006"/>
    <w:rsid w:val="00C9098E"/>
    <w:rsid w:val="00C90EE0"/>
    <w:rsid w:val="00C91AF7"/>
    <w:rsid w:val="00C922DB"/>
    <w:rsid w:val="00C9259F"/>
    <w:rsid w:val="00C93D6F"/>
    <w:rsid w:val="00C960BE"/>
    <w:rsid w:val="00C96D1F"/>
    <w:rsid w:val="00C97A60"/>
    <w:rsid w:val="00CA1DC3"/>
    <w:rsid w:val="00CA27EE"/>
    <w:rsid w:val="00CA2EAA"/>
    <w:rsid w:val="00CA4B05"/>
    <w:rsid w:val="00CA4C48"/>
    <w:rsid w:val="00CB0B50"/>
    <w:rsid w:val="00CC0A1F"/>
    <w:rsid w:val="00CC0AD9"/>
    <w:rsid w:val="00CC2178"/>
    <w:rsid w:val="00CC2719"/>
    <w:rsid w:val="00CC5CE2"/>
    <w:rsid w:val="00CC696F"/>
    <w:rsid w:val="00CC6BC9"/>
    <w:rsid w:val="00CD69B7"/>
    <w:rsid w:val="00CE0746"/>
    <w:rsid w:val="00CE1055"/>
    <w:rsid w:val="00CE2E6E"/>
    <w:rsid w:val="00CE30C2"/>
    <w:rsid w:val="00CE4426"/>
    <w:rsid w:val="00CE459D"/>
    <w:rsid w:val="00CE4B15"/>
    <w:rsid w:val="00CE5391"/>
    <w:rsid w:val="00CE707A"/>
    <w:rsid w:val="00CF050A"/>
    <w:rsid w:val="00CF1C53"/>
    <w:rsid w:val="00CF58B0"/>
    <w:rsid w:val="00CF5F9C"/>
    <w:rsid w:val="00CF5FB9"/>
    <w:rsid w:val="00CF74D3"/>
    <w:rsid w:val="00CF76F6"/>
    <w:rsid w:val="00D01DAC"/>
    <w:rsid w:val="00D04FE0"/>
    <w:rsid w:val="00D0671F"/>
    <w:rsid w:val="00D1243B"/>
    <w:rsid w:val="00D1268D"/>
    <w:rsid w:val="00D12905"/>
    <w:rsid w:val="00D13E27"/>
    <w:rsid w:val="00D13E6E"/>
    <w:rsid w:val="00D14368"/>
    <w:rsid w:val="00D14429"/>
    <w:rsid w:val="00D15885"/>
    <w:rsid w:val="00D20584"/>
    <w:rsid w:val="00D2263E"/>
    <w:rsid w:val="00D23228"/>
    <w:rsid w:val="00D233A9"/>
    <w:rsid w:val="00D23663"/>
    <w:rsid w:val="00D23D4C"/>
    <w:rsid w:val="00D27820"/>
    <w:rsid w:val="00D30EBD"/>
    <w:rsid w:val="00D30F8D"/>
    <w:rsid w:val="00D3109A"/>
    <w:rsid w:val="00D32B5A"/>
    <w:rsid w:val="00D34ED6"/>
    <w:rsid w:val="00D35323"/>
    <w:rsid w:val="00D357B1"/>
    <w:rsid w:val="00D36689"/>
    <w:rsid w:val="00D37A7E"/>
    <w:rsid w:val="00D37ED6"/>
    <w:rsid w:val="00D41452"/>
    <w:rsid w:val="00D431E4"/>
    <w:rsid w:val="00D43B99"/>
    <w:rsid w:val="00D501EC"/>
    <w:rsid w:val="00D5030D"/>
    <w:rsid w:val="00D50E18"/>
    <w:rsid w:val="00D5316B"/>
    <w:rsid w:val="00D554E5"/>
    <w:rsid w:val="00D563D3"/>
    <w:rsid w:val="00D639B0"/>
    <w:rsid w:val="00D6416E"/>
    <w:rsid w:val="00D64D52"/>
    <w:rsid w:val="00D653CB"/>
    <w:rsid w:val="00D655F6"/>
    <w:rsid w:val="00D65B65"/>
    <w:rsid w:val="00D70BD9"/>
    <w:rsid w:val="00D711B3"/>
    <w:rsid w:val="00D71E17"/>
    <w:rsid w:val="00D72E26"/>
    <w:rsid w:val="00D73626"/>
    <w:rsid w:val="00D73CE1"/>
    <w:rsid w:val="00D742A8"/>
    <w:rsid w:val="00D7560B"/>
    <w:rsid w:val="00D778EB"/>
    <w:rsid w:val="00D80185"/>
    <w:rsid w:val="00D812B2"/>
    <w:rsid w:val="00D81463"/>
    <w:rsid w:val="00D85A3E"/>
    <w:rsid w:val="00D869F5"/>
    <w:rsid w:val="00D871D5"/>
    <w:rsid w:val="00D87397"/>
    <w:rsid w:val="00D92A32"/>
    <w:rsid w:val="00D92C53"/>
    <w:rsid w:val="00D94248"/>
    <w:rsid w:val="00DA1403"/>
    <w:rsid w:val="00DA2177"/>
    <w:rsid w:val="00DA26CE"/>
    <w:rsid w:val="00DA2ADB"/>
    <w:rsid w:val="00DA2E41"/>
    <w:rsid w:val="00DA4986"/>
    <w:rsid w:val="00DA5314"/>
    <w:rsid w:val="00DA56AC"/>
    <w:rsid w:val="00DA5DD3"/>
    <w:rsid w:val="00DA67A2"/>
    <w:rsid w:val="00DA7C1B"/>
    <w:rsid w:val="00DB2A90"/>
    <w:rsid w:val="00DB2E19"/>
    <w:rsid w:val="00DB57F1"/>
    <w:rsid w:val="00DB61F3"/>
    <w:rsid w:val="00DB67C7"/>
    <w:rsid w:val="00DC1051"/>
    <w:rsid w:val="00DC1F37"/>
    <w:rsid w:val="00DC2753"/>
    <w:rsid w:val="00DC4D05"/>
    <w:rsid w:val="00DC4EFE"/>
    <w:rsid w:val="00DC5F95"/>
    <w:rsid w:val="00DC700E"/>
    <w:rsid w:val="00DD01FE"/>
    <w:rsid w:val="00DD040B"/>
    <w:rsid w:val="00DD0628"/>
    <w:rsid w:val="00DD1C8F"/>
    <w:rsid w:val="00DD2DE8"/>
    <w:rsid w:val="00DD305A"/>
    <w:rsid w:val="00DD4199"/>
    <w:rsid w:val="00DD46BD"/>
    <w:rsid w:val="00DD4CB7"/>
    <w:rsid w:val="00DD5A16"/>
    <w:rsid w:val="00DE0510"/>
    <w:rsid w:val="00DE26DA"/>
    <w:rsid w:val="00DE298D"/>
    <w:rsid w:val="00DE36AD"/>
    <w:rsid w:val="00DE3803"/>
    <w:rsid w:val="00DE4DC7"/>
    <w:rsid w:val="00DE5BDB"/>
    <w:rsid w:val="00DF0028"/>
    <w:rsid w:val="00DF009D"/>
    <w:rsid w:val="00DF0279"/>
    <w:rsid w:val="00DF06CD"/>
    <w:rsid w:val="00DF124F"/>
    <w:rsid w:val="00DF18D7"/>
    <w:rsid w:val="00DF1EE0"/>
    <w:rsid w:val="00DF2C57"/>
    <w:rsid w:val="00DF2FBF"/>
    <w:rsid w:val="00DF3276"/>
    <w:rsid w:val="00DF4DEE"/>
    <w:rsid w:val="00DF5229"/>
    <w:rsid w:val="00E0101F"/>
    <w:rsid w:val="00E01785"/>
    <w:rsid w:val="00E019C2"/>
    <w:rsid w:val="00E03FCB"/>
    <w:rsid w:val="00E04A17"/>
    <w:rsid w:val="00E05C36"/>
    <w:rsid w:val="00E05E58"/>
    <w:rsid w:val="00E05F66"/>
    <w:rsid w:val="00E0637E"/>
    <w:rsid w:val="00E10261"/>
    <w:rsid w:val="00E10A73"/>
    <w:rsid w:val="00E1199A"/>
    <w:rsid w:val="00E12EF8"/>
    <w:rsid w:val="00E1360E"/>
    <w:rsid w:val="00E13FD8"/>
    <w:rsid w:val="00E148B5"/>
    <w:rsid w:val="00E15001"/>
    <w:rsid w:val="00E16197"/>
    <w:rsid w:val="00E169BD"/>
    <w:rsid w:val="00E1781B"/>
    <w:rsid w:val="00E17CAB"/>
    <w:rsid w:val="00E20801"/>
    <w:rsid w:val="00E21C21"/>
    <w:rsid w:val="00E23079"/>
    <w:rsid w:val="00E23365"/>
    <w:rsid w:val="00E25531"/>
    <w:rsid w:val="00E2673E"/>
    <w:rsid w:val="00E32A94"/>
    <w:rsid w:val="00E32F93"/>
    <w:rsid w:val="00E3355A"/>
    <w:rsid w:val="00E3649E"/>
    <w:rsid w:val="00E370CA"/>
    <w:rsid w:val="00E373C0"/>
    <w:rsid w:val="00E37AFF"/>
    <w:rsid w:val="00E40063"/>
    <w:rsid w:val="00E42069"/>
    <w:rsid w:val="00E44F3E"/>
    <w:rsid w:val="00E458F5"/>
    <w:rsid w:val="00E4647C"/>
    <w:rsid w:val="00E46F64"/>
    <w:rsid w:val="00E47565"/>
    <w:rsid w:val="00E4772A"/>
    <w:rsid w:val="00E506C0"/>
    <w:rsid w:val="00E52D23"/>
    <w:rsid w:val="00E535AB"/>
    <w:rsid w:val="00E5369E"/>
    <w:rsid w:val="00E53997"/>
    <w:rsid w:val="00E54192"/>
    <w:rsid w:val="00E549B7"/>
    <w:rsid w:val="00E56DF4"/>
    <w:rsid w:val="00E60951"/>
    <w:rsid w:val="00E60EE8"/>
    <w:rsid w:val="00E614D8"/>
    <w:rsid w:val="00E61E2B"/>
    <w:rsid w:val="00E630A2"/>
    <w:rsid w:val="00E64201"/>
    <w:rsid w:val="00E657D2"/>
    <w:rsid w:val="00E6591D"/>
    <w:rsid w:val="00E66475"/>
    <w:rsid w:val="00E66EF0"/>
    <w:rsid w:val="00E67DAC"/>
    <w:rsid w:val="00E702FC"/>
    <w:rsid w:val="00E71B72"/>
    <w:rsid w:val="00E77B2F"/>
    <w:rsid w:val="00E824F3"/>
    <w:rsid w:val="00E848D2"/>
    <w:rsid w:val="00E855BC"/>
    <w:rsid w:val="00E85829"/>
    <w:rsid w:val="00E866D9"/>
    <w:rsid w:val="00E869DE"/>
    <w:rsid w:val="00E873D7"/>
    <w:rsid w:val="00E91667"/>
    <w:rsid w:val="00E925FE"/>
    <w:rsid w:val="00E940D6"/>
    <w:rsid w:val="00E95A57"/>
    <w:rsid w:val="00E96BBF"/>
    <w:rsid w:val="00EA0639"/>
    <w:rsid w:val="00EA4972"/>
    <w:rsid w:val="00EA4CE1"/>
    <w:rsid w:val="00EA5B43"/>
    <w:rsid w:val="00EA5DDB"/>
    <w:rsid w:val="00EA7DC4"/>
    <w:rsid w:val="00EB23B3"/>
    <w:rsid w:val="00EB3DF3"/>
    <w:rsid w:val="00EB4AFD"/>
    <w:rsid w:val="00EB5219"/>
    <w:rsid w:val="00EB56A0"/>
    <w:rsid w:val="00EB5E13"/>
    <w:rsid w:val="00EB61CC"/>
    <w:rsid w:val="00EC286D"/>
    <w:rsid w:val="00EC2DC0"/>
    <w:rsid w:val="00EC3357"/>
    <w:rsid w:val="00EC42BF"/>
    <w:rsid w:val="00EC4D7F"/>
    <w:rsid w:val="00EC58C1"/>
    <w:rsid w:val="00EC5FC7"/>
    <w:rsid w:val="00EC7559"/>
    <w:rsid w:val="00EC77C0"/>
    <w:rsid w:val="00ED0691"/>
    <w:rsid w:val="00ED07B9"/>
    <w:rsid w:val="00ED0917"/>
    <w:rsid w:val="00ED252E"/>
    <w:rsid w:val="00ED2A7F"/>
    <w:rsid w:val="00ED5D23"/>
    <w:rsid w:val="00ED6FC6"/>
    <w:rsid w:val="00EE254C"/>
    <w:rsid w:val="00EE28B9"/>
    <w:rsid w:val="00EE2E07"/>
    <w:rsid w:val="00EE378F"/>
    <w:rsid w:val="00EE479B"/>
    <w:rsid w:val="00EE4EDD"/>
    <w:rsid w:val="00EE5A9B"/>
    <w:rsid w:val="00EE7DFF"/>
    <w:rsid w:val="00EE7FDC"/>
    <w:rsid w:val="00EF0495"/>
    <w:rsid w:val="00EF2A26"/>
    <w:rsid w:val="00EF5B74"/>
    <w:rsid w:val="00EF6038"/>
    <w:rsid w:val="00EF623E"/>
    <w:rsid w:val="00EF6BDF"/>
    <w:rsid w:val="00EF7C75"/>
    <w:rsid w:val="00F012E5"/>
    <w:rsid w:val="00F02EAC"/>
    <w:rsid w:val="00F05156"/>
    <w:rsid w:val="00F05188"/>
    <w:rsid w:val="00F052C5"/>
    <w:rsid w:val="00F05852"/>
    <w:rsid w:val="00F06D0B"/>
    <w:rsid w:val="00F10091"/>
    <w:rsid w:val="00F1052E"/>
    <w:rsid w:val="00F113B2"/>
    <w:rsid w:val="00F12866"/>
    <w:rsid w:val="00F13B5A"/>
    <w:rsid w:val="00F165D2"/>
    <w:rsid w:val="00F16A63"/>
    <w:rsid w:val="00F17D0C"/>
    <w:rsid w:val="00F20035"/>
    <w:rsid w:val="00F20F2B"/>
    <w:rsid w:val="00F22B21"/>
    <w:rsid w:val="00F25E6E"/>
    <w:rsid w:val="00F27316"/>
    <w:rsid w:val="00F30D3D"/>
    <w:rsid w:val="00F313F6"/>
    <w:rsid w:val="00F34467"/>
    <w:rsid w:val="00F348C0"/>
    <w:rsid w:val="00F34AF9"/>
    <w:rsid w:val="00F34FE3"/>
    <w:rsid w:val="00F37380"/>
    <w:rsid w:val="00F378A1"/>
    <w:rsid w:val="00F379A9"/>
    <w:rsid w:val="00F37B20"/>
    <w:rsid w:val="00F401FF"/>
    <w:rsid w:val="00F4415E"/>
    <w:rsid w:val="00F44CEE"/>
    <w:rsid w:val="00F45BD5"/>
    <w:rsid w:val="00F45C61"/>
    <w:rsid w:val="00F46189"/>
    <w:rsid w:val="00F462AF"/>
    <w:rsid w:val="00F5074F"/>
    <w:rsid w:val="00F51BF4"/>
    <w:rsid w:val="00F5298D"/>
    <w:rsid w:val="00F5325B"/>
    <w:rsid w:val="00F53834"/>
    <w:rsid w:val="00F61C20"/>
    <w:rsid w:val="00F6368F"/>
    <w:rsid w:val="00F63D9D"/>
    <w:rsid w:val="00F66426"/>
    <w:rsid w:val="00F70A23"/>
    <w:rsid w:val="00F70F51"/>
    <w:rsid w:val="00F73332"/>
    <w:rsid w:val="00F7471A"/>
    <w:rsid w:val="00F761C3"/>
    <w:rsid w:val="00F80D55"/>
    <w:rsid w:val="00F843E6"/>
    <w:rsid w:val="00F84EEE"/>
    <w:rsid w:val="00F8620F"/>
    <w:rsid w:val="00F8632D"/>
    <w:rsid w:val="00F906A1"/>
    <w:rsid w:val="00F90E89"/>
    <w:rsid w:val="00F92517"/>
    <w:rsid w:val="00F93B2E"/>
    <w:rsid w:val="00F93B44"/>
    <w:rsid w:val="00F94A52"/>
    <w:rsid w:val="00F94DFB"/>
    <w:rsid w:val="00F95387"/>
    <w:rsid w:val="00F956D0"/>
    <w:rsid w:val="00F95741"/>
    <w:rsid w:val="00F95CAD"/>
    <w:rsid w:val="00F979CE"/>
    <w:rsid w:val="00FA03C9"/>
    <w:rsid w:val="00FA20C4"/>
    <w:rsid w:val="00FA25B3"/>
    <w:rsid w:val="00FA2672"/>
    <w:rsid w:val="00FA37B4"/>
    <w:rsid w:val="00FA4A1B"/>
    <w:rsid w:val="00FA5939"/>
    <w:rsid w:val="00FA7677"/>
    <w:rsid w:val="00FA785D"/>
    <w:rsid w:val="00FB08C4"/>
    <w:rsid w:val="00FB3D3C"/>
    <w:rsid w:val="00FB6C20"/>
    <w:rsid w:val="00FB7A26"/>
    <w:rsid w:val="00FC083B"/>
    <w:rsid w:val="00FC3D73"/>
    <w:rsid w:val="00FC41A2"/>
    <w:rsid w:val="00FC4A37"/>
    <w:rsid w:val="00FC4FD2"/>
    <w:rsid w:val="00FC6B48"/>
    <w:rsid w:val="00FD00E6"/>
    <w:rsid w:val="00FD0247"/>
    <w:rsid w:val="00FD1E6B"/>
    <w:rsid w:val="00FD30BC"/>
    <w:rsid w:val="00FD43CA"/>
    <w:rsid w:val="00FD5362"/>
    <w:rsid w:val="00FD72E3"/>
    <w:rsid w:val="00FD7703"/>
    <w:rsid w:val="00FE0BE0"/>
    <w:rsid w:val="00FE1FAF"/>
    <w:rsid w:val="00FE5AA9"/>
    <w:rsid w:val="00FE689C"/>
    <w:rsid w:val="00FE6D1B"/>
    <w:rsid w:val="00FE768E"/>
    <w:rsid w:val="00FE7C22"/>
    <w:rsid w:val="00FF0E89"/>
    <w:rsid w:val="00FF15DE"/>
    <w:rsid w:val="00FF1E73"/>
    <w:rsid w:val="00FF23A7"/>
    <w:rsid w:val="00FF2A3B"/>
    <w:rsid w:val="00FF30EB"/>
    <w:rsid w:val="00FF30F3"/>
    <w:rsid w:val="00FF331E"/>
    <w:rsid w:val="00FF3AC2"/>
    <w:rsid w:val="00FF48F5"/>
    <w:rsid w:val="00FF5768"/>
    <w:rsid w:val="00FF5A15"/>
    <w:rsid w:val="00FF5AFA"/>
    <w:rsid w:val="00FF79C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2A70A1"/>
  <w15:chartTrackingRefBased/>
  <w15:docId w15:val="{4534AC8E-88FC-4113-9F4F-44940FC220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531D6"/>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semiHidden/>
    <w:unhideWhenUsed/>
    <w:rsid w:val="009531D6"/>
    <w:rPr>
      <w:color w:val="0563C1"/>
      <w:u w:val="single"/>
    </w:rPr>
  </w:style>
  <w:style w:type="paragraph" w:styleId="Antrats">
    <w:name w:val="header"/>
    <w:basedOn w:val="prastasis"/>
    <w:link w:val="AntratsDiagrama"/>
    <w:uiPriority w:val="99"/>
    <w:unhideWhenUsed/>
    <w:rsid w:val="006A7FCC"/>
    <w:pPr>
      <w:tabs>
        <w:tab w:val="center" w:pos="4513"/>
        <w:tab w:val="right" w:pos="9026"/>
      </w:tabs>
    </w:pPr>
  </w:style>
  <w:style w:type="character" w:customStyle="1" w:styleId="AntratsDiagrama">
    <w:name w:val="Antraštės Diagrama"/>
    <w:basedOn w:val="Numatytasispastraiposriftas"/>
    <w:link w:val="Antrats"/>
    <w:uiPriority w:val="99"/>
    <w:rsid w:val="006A7FCC"/>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6A7FCC"/>
    <w:pPr>
      <w:tabs>
        <w:tab w:val="center" w:pos="4513"/>
        <w:tab w:val="right" w:pos="9026"/>
      </w:tabs>
    </w:pPr>
  </w:style>
  <w:style w:type="character" w:customStyle="1" w:styleId="PoratDiagrama">
    <w:name w:val="Poraštė Diagrama"/>
    <w:basedOn w:val="Numatytasispastraiposriftas"/>
    <w:link w:val="Porat"/>
    <w:uiPriority w:val="99"/>
    <w:rsid w:val="006A7FCC"/>
    <w:rPr>
      <w:rFonts w:ascii="Times New Roman" w:eastAsia="Times New Roman" w:hAnsi="Times New Roman" w:cs="Times New Roman"/>
      <w:sz w:val="24"/>
      <w:szCs w:val="24"/>
    </w:rPr>
  </w:style>
  <w:style w:type="paragraph" w:styleId="Sraopastraipa">
    <w:name w:val="List Paragraph"/>
    <w:aliases w:val="SC Bullet point,1st level - Bullet List Paragraph,Lettre d'introduction,Normal bullet 2,Bullet list,Listenabsatz1,OM numbered bullets,Table of contents numbered,F5 List Paragraph,Paragraph,Bullet EY,List Paragraph11,Normal bullet 21,lp1"/>
    <w:basedOn w:val="prastasis"/>
    <w:link w:val="SraopastraipaDiagrama"/>
    <w:uiPriority w:val="34"/>
    <w:qFormat/>
    <w:rsid w:val="00182351"/>
    <w:pPr>
      <w:ind w:left="720"/>
      <w:contextualSpacing/>
    </w:pPr>
  </w:style>
  <w:style w:type="character" w:styleId="Puslapioinaosnuoroda">
    <w:name w:val="footnote reference"/>
    <w:basedOn w:val="Numatytasispastraiposriftas"/>
    <w:uiPriority w:val="99"/>
    <w:unhideWhenUsed/>
    <w:rsid w:val="00182351"/>
    <w:rPr>
      <w:vertAlign w:val="superscript"/>
    </w:rPr>
  </w:style>
  <w:style w:type="paragraph" w:styleId="Puslapioinaostekstas">
    <w:name w:val="footnote text"/>
    <w:basedOn w:val="prastasis"/>
    <w:link w:val="PuslapioinaostekstasDiagrama"/>
    <w:uiPriority w:val="99"/>
    <w:semiHidden/>
    <w:unhideWhenUsed/>
    <w:rsid w:val="00182351"/>
    <w:rPr>
      <w:sz w:val="20"/>
      <w:szCs w:val="20"/>
    </w:rPr>
  </w:style>
  <w:style w:type="character" w:customStyle="1" w:styleId="PuslapioinaostekstasDiagrama">
    <w:name w:val="Puslapio išnašos tekstas Diagrama"/>
    <w:basedOn w:val="Numatytasispastraiposriftas"/>
    <w:link w:val="Puslapioinaostekstas"/>
    <w:uiPriority w:val="99"/>
    <w:semiHidden/>
    <w:rsid w:val="00182351"/>
    <w:rPr>
      <w:rFonts w:ascii="Times New Roman" w:eastAsia="Times New Roman" w:hAnsi="Times New Roman" w:cs="Times New Roman"/>
      <w:sz w:val="20"/>
      <w:szCs w:val="20"/>
    </w:rPr>
  </w:style>
  <w:style w:type="character" w:customStyle="1" w:styleId="SraopastraipaDiagrama">
    <w:name w:val="Sąrašo pastraipa Diagrama"/>
    <w:aliases w:val="SC Bullet point Diagrama,1st level - Bullet List Paragraph Diagrama,Lettre d'introduction Diagrama,Normal bullet 2 Diagrama,Bullet list Diagrama,Listenabsatz1 Diagrama,OM numbered bullets Diagrama,F5 List Paragraph Diagrama"/>
    <w:link w:val="Sraopastraipa"/>
    <w:uiPriority w:val="34"/>
    <w:qFormat/>
    <w:locked/>
    <w:rsid w:val="00182351"/>
    <w:rPr>
      <w:rFonts w:ascii="Times New Roman" w:eastAsia="Times New Roman" w:hAnsi="Times New Roman" w:cs="Times New Roman"/>
      <w:sz w:val="24"/>
      <w:szCs w:val="24"/>
    </w:rPr>
  </w:style>
  <w:style w:type="paragraph" w:customStyle="1" w:styleId="Default">
    <w:name w:val="Default"/>
    <w:rsid w:val="00DC4EFE"/>
    <w:pPr>
      <w:autoSpaceDE w:val="0"/>
      <w:autoSpaceDN w:val="0"/>
      <w:adjustRightInd w:val="0"/>
      <w:spacing w:after="0" w:line="240" w:lineRule="auto"/>
    </w:pPr>
    <w:rPr>
      <w:rFonts w:ascii="Times New Roman" w:hAnsi="Times New Roman" w:cs="Times New Roman"/>
      <w:color w:val="000000"/>
      <w:sz w:val="24"/>
      <w:szCs w:val="24"/>
    </w:rPr>
  </w:style>
  <w:style w:type="character" w:styleId="Komentaronuoroda">
    <w:name w:val="annotation reference"/>
    <w:basedOn w:val="Numatytasispastraiposriftas"/>
    <w:uiPriority w:val="99"/>
    <w:semiHidden/>
    <w:unhideWhenUsed/>
    <w:rsid w:val="00C867C2"/>
    <w:rPr>
      <w:sz w:val="16"/>
      <w:szCs w:val="16"/>
    </w:rPr>
  </w:style>
  <w:style w:type="paragraph" w:styleId="Komentarotekstas">
    <w:name w:val="annotation text"/>
    <w:basedOn w:val="prastasis"/>
    <w:link w:val="KomentarotekstasDiagrama"/>
    <w:uiPriority w:val="99"/>
    <w:unhideWhenUsed/>
    <w:rsid w:val="00C867C2"/>
    <w:rPr>
      <w:sz w:val="20"/>
      <w:szCs w:val="20"/>
    </w:rPr>
  </w:style>
  <w:style w:type="character" w:customStyle="1" w:styleId="KomentarotekstasDiagrama">
    <w:name w:val="Komentaro tekstas Diagrama"/>
    <w:basedOn w:val="Numatytasispastraiposriftas"/>
    <w:link w:val="Komentarotekstas"/>
    <w:uiPriority w:val="99"/>
    <w:rsid w:val="00C867C2"/>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C867C2"/>
    <w:rPr>
      <w:b/>
      <w:bCs/>
    </w:rPr>
  </w:style>
  <w:style w:type="character" w:customStyle="1" w:styleId="KomentarotemaDiagrama">
    <w:name w:val="Komentaro tema Diagrama"/>
    <w:basedOn w:val="KomentarotekstasDiagrama"/>
    <w:link w:val="Komentarotema"/>
    <w:uiPriority w:val="99"/>
    <w:semiHidden/>
    <w:rsid w:val="00C867C2"/>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265606">
      <w:bodyDiv w:val="1"/>
      <w:marLeft w:val="0"/>
      <w:marRight w:val="0"/>
      <w:marTop w:val="0"/>
      <w:marBottom w:val="0"/>
      <w:divBdr>
        <w:top w:val="none" w:sz="0" w:space="0" w:color="auto"/>
        <w:left w:val="none" w:sz="0" w:space="0" w:color="auto"/>
        <w:bottom w:val="none" w:sz="0" w:space="0" w:color="auto"/>
        <w:right w:val="none" w:sz="0" w:space="0" w:color="auto"/>
      </w:divBdr>
    </w:div>
    <w:div w:id="515778202">
      <w:bodyDiv w:val="1"/>
      <w:marLeft w:val="0"/>
      <w:marRight w:val="0"/>
      <w:marTop w:val="0"/>
      <w:marBottom w:val="0"/>
      <w:divBdr>
        <w:top w:val="none" w:sz="0" w:space="0" w:color="auto"/>
        <w:left w:val="none" w:sz="0" w:space="0" w:color="auto"/>
        <w:bottom w:val="none" w:sz="0" w:space="0" w:color="auto"/>
        <w:right w:val="none" w:sz="0" w:space="0" w:color="auto"/>
      </w:divBdr>
    </w:div>
    <w:div w:id="1038240088">
      <w:bodyDiv w:val="1"/>
      <w:marLeft w:val="0"/>
      <w:marRight w:val="0"/>
      <w:marTop w:val="0"/>
      <w:marBottom w:val="0"/>
      <w:divBdr>
        <w:top w:val="none" w:sz="0" w:space="0" w:color="auto"/>
        <w:left w:val="none" w:sz="0" w:space="0" w:color="auto"/>
        <w:bottom w:val="none" w:sz="0" w:space="0" w:color="auto"/>
        <w:right w:val="none" w:sz="0" w:space="0" w:color="auto"/>
      </w:divBdr>
    </w:div>
    <w:div w:id="1168256090">
      <w:bodyDiv w:val="1"/>
      <w:marLeft w:val="0"/>
      <w:marRight w:val="0"/>
      <w:marTop w:val="0"/>
      <w:marBottom w:val="0"/>
      <w:divBdr>
        <w:top w:val="none" w:sz="0" w:space="0" w:color="auto"/>
        <w:left w:val="none" w:sz="0" w:space="0" w:color="auto"/>
        <w:bottom w:val="none" w:sz="0" w:space="0" w:color="auto"/>
        <w:right w:val="none" w:sz="0" w:space="0" w:color="auto"/>
      </w:divBdr>
    </w:div>
    <w:div w:id="1379158169">
      <w:bodyDiv w:val="1"/>
      <w:marLeft w:val="0"/>
      <w:marRight w:val="0"/>
      <w:marTop w:val="0"/>
      <w:marBottom w:val="0"/>
      <w:divBdr>
        <w:top w:val="none" w:sz="0" w:space="0" w:color="auto"/>
        <w:left w:val="none" w:sz="0" w:space="0" w:color="auto"/>
        <w:bottom w:val="none" w:sz="0" w:space="0" w:color="auto"/>
        <w:right w:val="none" w:sz="0" w:space="0" w:color="auto"/>
      </w:divBdr>
    </w:div>
    <w:div w:id="1410225990">
      <w:bodyDiv w:val="1"/>
      <w:marLeft w:val="0"/>
      <w:marRight w:val="0"/>
      <w:marTop w:val="0"/>
      <w:marBottom w:val="0"/>
      <w:divBdr>
        <w:top w:val="none" w:sz="0" w:space="0" w:color="auto"/>
        <w:left w:val="none" w:sz="0" w:space="0" w:color="auto"/>
        <w:bottom w:val="none" w:sz="0" w:space="0" w:color="auto"/>
        <w:right w:val="none" w:sz="0" w:space="0" w:color="auto"/>
      </w:divBdr>
    </w:div>
    <w:div w:id="1470318784">
      <w:bodyDiv w:val="1"/>
      <w:marLeft w:val="0"/>
      <w:marRight w:val="0"/>
      <w:marTop w:val="0"/>
      <w:marBottom w:val="0"/>
      <w:divBdr>
        <w:top w:val="none" w:sz="0" w:space="0" w:color="auto"/>
        <w:left w:val="none" w:sz="0" w:space="0" w:color="auto"/>
        <w:bottom w:val="none" w:sz="0" w:space="0" w:color="auto"/>
        <w:right w:val="none" w:sz="0" w:space="0" w:color="auto"/>
      </w:divBdr>
    </w:div>
    <w:div w:id="1552686948">
      <w:bodyDiv w:val="1"/>
      <w:marLeft w:val="0"/>
      <w:marRight w:val="0"/>
      <w:marTop w:val="0"/>
      <w:marBottom w:val="0"/>
      <w:divBdr>
        <w:top w:val="none" w:sz="0" w:space="0" w:color="auto"/>
        <w:left w:val="none" w:sz="0" w:space="0" w:color="auto"/>
        <w:bottom w:val="none" w:sz="0" w:space="0" w:color="auto"/>
        <w:right w:val="none" w:sz="0" w:space="0" w:color="auto"/>
      </w:divBdr>
    </w:div>
    <w:div w:id="1602490666">
      <w:bodyDiv w:val="1"/>
      <w:marLeft w:val="0"/>
      <w:marRight w:val="0"/>
      <w:marTop w:val="0"/>
      <w:marBottom w:val="0"/>
      <w:divBdr>
        <w:top w:val="none" w:sz="0" w:space="0" w:color="auto"/>
        <w:left w:val="none" w:sz="0" w:space="0" w:color="auto"/>
        <w:bottom w:val="none" w:sz="0" w:space="0" w:color="auto"/>
        <w:right w:val="none" w:sz="0" w:space="0" w:color="auto"/>
      </w:divBdr>
    </w:div>
    <w:div w:id="1648125919">
      <w:bodyDiv w:val="1"/>
      <w:marLeft w:val="0"/>
      <w:marRight w:val="0"/>
      <w:marTop w:val="0"/>
      <w:marBottom w:val="0"/>
      <w:divBdr>
        <w:top w:val="none" w:sz="0" w:space="0" w:color="auto"/>
        <w:left w:val="none" w:sz="0" w:space="0" w:color="auto"/>
        <w:bottom w:val="none" w:sz="0" w:space="0" w:color="auto"/>
        <w:right w:val="none" w:sz="0" w:space="0" w:color="auto"/>
      </w:divBdr>
    </w:div>
    <w:div w:id="1875117471">
      <w:bodyDiv w:val="1"/>
      <w:marLeft w:val="0"/>
      <w:marRight w:val="0"/>
      <w:marTop w:val="0"/>
      <w:marBottom w:val="0"/>
      <w:divBdr>
        <w:top w:val="none" w:sz="0" w:space="0" w:color="auto"/>
        <w:left w:val="none" w:sz="0" w:space="0" w:color="auto"/>
        <w:bottom w:val="none" w:sz="0" w:space="0" w:color="auto"/>
        <w:right w:val="none" w:sz="0" w:space="0" w:color="auto"/>
      </w:divBdr>
    </w:div>
    <w:div w:id="1888104024">
      <w:bodyDiv w:val="1"/>
      <w:marLeft w:val="0"/>
      <w:marRight w:val="0"/>
      <w:marTop w:val="0"/>
      <w:marBottom w:val="0"/>
      <w:divBdr>
        <w:top w:val="none" w:sz="0" w:space="0" w:color="auto"/>
        <w:left w:val="none" w:sz="0" w:space="0" w:color="auto"/>
        <w:bottom w:val="none" w:sz="0" w:space="0" w:color="auto"/>
        <w:right w:val="none" w:sz="0" w:space="0" w:color="auto"/>
      </w:divBdr>
    </w:div>
    <w:div w:id="1946575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e78669c-cb57-4872-82bd-ec61ca2c0d49">
      <Terms xmlns="http://schemas.microsoft.com/office/infopath/2007/PartnerControls"/>
    </lcf76f155ced4ddcb4097134ff3c332f>
    <TaxCatchAll xmlns="26d7e824-ade6-465a-b80b-c8557357dad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A3FD3178BF7A5949ABA12560BF3438DD" ma:contentTypeVersion="12" ma:contentTypeDescription="Kurkite naują dokumentą." ma:contentTypeScope="" ma:versionID="6b5877e4cff020fb30d6fdebfe77a918">
  <xsd:schema xmlns:xsd="http://www.w3.org/2001/XMLSchema" xmlns:xs="http://www.w3.org/2001/XMLSchema" xmlns:p="http://schemas.microsoft.com/office/2006/metadata/properties" xmlns:ns2="0e78669c-cb57-4872-82bd-ec61ca2c0d49" xmlns:ns3="26d7e824-ade6-465a-b80b-c8557357dad3" targetNamespace="http://schemas.microsoft.com/office/2006/metadata/properties" ma:root="true" ma:fieldsID="4c2c94087b32de8342d428eabfab0d90" ns2:_="" ns3:_="">
    <xsd:import namespace="0e78669c-cb57-4872-82bd-ec61ca2c0d49"/>
    <xsd:import namespace="26d7e824-ade6-465a-b80b-c8557357dad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78669c-cb57-4872-82bd-ec61ca2c0d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0f2ecc8c-dc35-4303-b109-72ec286161d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d7e824-ade6-465a-b80b-c8557357dad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f0fe2cd-7b8a-47e3-9439-75464acbd932}" ma:internalName="TaxCatchAll" ma:showField="CatchAllData" ma:web="26d7e824-ade6-465a-b80b-c8557357dad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0CBAD7B-1EF7-4608-A11A-10FF32387D23}">
  <ds:schemaRefs>
    <ds:schemaRef ds:uri="http://purl.org/dc/terms/"/>
    <ds:schemaRef ds:uri="http://www.w3.org/XML/1998/namespace"/>
    <ds:schemaRef ds:uri="26d7e824-ade6-465a-b80b-c8557357dad3"/>
    <ds:schemaRef ds:uri="http://schemas.openxmlformats.org/package/2006/metadata/core-properties"/>
    <ds:schemaRef ds:uri="http://schemas.microsoft.com/office/infopath/2007/PartnerControls"/>
    <ds:schemaRef ds:uri="http://schemas.microsoft.com/office/2006/documentManagement/types"/>
    <ds:schemaRef ds:uri="http://schemas.microsoft.com/office/2006/metadata/properties"/>
    <ds:schemaRef ds:uri="0e78669c-cb57-4872-82bd-ec61ca2c0d49"/>
    <ds:schemaRef ds:uri="http://purl.org/dc/dcmitype/"/>
    <ds:schemaRef ds:uri="http://purl.org/dc/elements/1.1/"/>
  </ds:schemaRefs>
</ds:datastoreItem>
</file>

<file path=customXml/itemProps2.xml><?xml version="1.0" encoding="utf-8"?>
<ds:datastoreItem xmlns:ds="http://schemas.openxmlformats.org/officeDocument/2006/customXml" ds:itemID="{BA46F4DD-27DF-4108-9826-AD7D4A513E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78669c-cb57-4872-82bd-ec61ca2c0d49"/>
    <ds:schemaRef ds:uri="26d7e824-ade6-465a-b80b-c8557357da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86692DC-960B-4698-B543-AF910D9FD504}">
  <ds:schemaRefs>
    <ds:schemaRef ds:uri="http://schemas.openxmlformats.org/officeDocument/2006/bibliography"/>
  </ds:schemaRefs>
</ds:datastoreItem>
</file>

<file path=customXml/itemProps4.xml><?xml version="1.0" encoding="utf-8"?>
<ds:datastoreItem xmlns:ds="http://schemas.openxmlformats.org/officeDocument/2006/customXml" ds:itemID="{C5646B39-854A-4865-AB2D-B64F1B5BE6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10</Pages>
  <Words>20737</Words>
  <Characters>11821</Characters>
  <Application>Microsoft Office Word</Application>
  <DocSecurity>0</DocSecurity>
  <Lines>98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Inga Dauparaitė</dc:creator>
  <cp:keywords/>
  <dc:description/>
  <cp:lastModifiedBy>Žilvinas Balsevičius</cp:lastModifiedBy>
  <cp:revision>4</cp:revision>
  <dcterms:created xsi:type="dcterms:W3CDTF">2025-04-07T11:34:00Z</dcterms:created>
  <dcterms:modified xsi:type="dcterms:W3CDTF">2025-04-08T04:50:00Z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0x010100A3FD3178BF7A5949ABA12560BF3438DD</vt:lpwstr>
  </property>
  <property fmtid="{D5CDD505-2E9C-101B-9397-08002B2CF9AE}" pid="3" name="MediaServiceImageTags">
    <vt:lpwstr/>
  </property>
</Properties>
</file>