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2166E" w14:textId="395FAA6E" w:rsidR="00035A0A" w:rsidRPr="00917A60" w:rsidRDefault="00347C99" w:rsidP="00212902">
      <w:pPr>
        <w:ind w:firstLine="567"/>
        <w:jc w:val="center"/>
        <w:rPr>
          <w:rFonts w:ascii="Arial" w:hAnsi="Arial" w:cs="Arial"/>
        </w:rPr>
      </w:pPr>
      <w:r w:rsidRPr="006C3D27">
        <w:rPr>
          <w:rFonts w:ascii="Arial" w:hAnsi="Arial" w:cs="Arial"/>
          <w:noProof/>
          <w:lang w:val="en-US"/>
        </w:rPr>
        <w:drawing>
          <wp:inline distT="0" distB="0" distL="0" distR="0" wp14:anchorId="261A1747" wp14:editId="51FBC60D">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57436BD7" w14:textId="77777777" w:rsidR="00EF0C88" w:rsidRPr="00917A60" w:rsidRDefault="00EF0C88" w:rsidP="00EF0C88">
      <w:pPr>
        <w:jc w:val="center"/>
        <w:rPr>
          <w:rFonts w:ascii="Arial" w:hAnsi="Arial" w:cs="Arial"/>
          <w:b/>
          <w:bCs/>
          <w:spacing w:val="24"/>
        </w:rPr>
      </w:pPr>
      <w:r w:rsidRPr="00917A60">
        <w:rPr>
          <w:rFonts w:ascii="Arial" w:hAnsi="Arial" w:cs="Arial"/>
          <w:b/>
          <w:bCs/>
          <w:spacing w:val="24"/>
        </w:rPr>
        <w:t>VILNIAUS UNIVERSITETAS</w:t>
      </w:r>
    </w:p>
    <w:p w14:paraId="2AC83378" w14:textId="77777777" w:rsidR="00025372" w:rsidRDefault="00025372" w:rsidP="000B09DC">
      <w:pPr>
        <w:ind w:left="-56"/>
        <w:rPr>
          <w:rFonts w:ascii="Arial" w:hAnsi="Arial" w:cs="Arial"/>
          <w:b/>
          <w:bCs/>
        </w:rPr>
      </w:pPr>
    </w:p>
    <w:p w14:paraId="24A0B058" w14:textId="77777777" w:rsidR="009276DF" w:rsidRDefault="000B09DC" w:rsidP="00533BA1">
      <w:pPr>
        <w:ind w:left="-56"/>
        <w:rPr>
          <w:rFonts w:ascii="Arial" w:hAnsi="Arial" w:cs="Arial"/>
          <w:b/>
          <w:bCs/>
        </w:rPr>
      </w:pPr>
      <w:r w:rsidRPr="00917A60">
        <w:rPr>
          <w:rFonts w:ascii="Arial" w:hAnsi="Arial" w:cs="Arial"/>
          <w:b/>
          <w:bCs/>
        </w:rPr>
        <w:t>Suinteresuotiems asmenims</w:t>
      </w:r>
      <w:r w:rsidR="0026625D">
        <w:rPr>
          <w:rFonts w:ascii="Arial" w:hAnsi="Arial" w:cs="Arial"/>
          <w:b/>
          <w:bCs/>
        </w:rPr>
        <w:tab/>
      </w:r>
      <w:r w:rsidR="0026625D">
        <w:rPr>
          <w:rFonts w:ascii="Arial" w:hAnsi="Arial" w:cs="Arial"/>
          <w:b/>
          <w:bCs/>
        </w:rPr>
        <w:tab/>
      </w:r>
      <w:r w:rsidR="0026625D">
        <w:rPr>
          <w:rFonts w:ascii="Arial" w:hAnsi="Arial" w:cs="Arial"/>
          <w:b/>
          <w:bCs/>
        </w:rPr>
        <w:tab/>
      </w:r>
      <w:r w:rsidR="0026625D">
        <w:rPr>
          <w:rFonts w:ascii="Arial" w:hAnsi="Arial" w:cs="Arial"/>
          <w:b/>
          <w:bCs/>
        </w:rPr>
        <w:tab/>
      </w:r>
      <w:r w:rsidR="0026625D">
        <w:rPr>
          <w:rFonts w:ascii="Arial" w:hAnsi="Arial" w:cs="Arial"/>
          <w:b/>
          <w:bCs/>
        </w:rPr>
        <w:tab/>
      </w:r>
      <w:r w:rsidR="0026625D">
        <w:rPr>
          <w:rFonts w:ascii="Arial" w:hAnsi="Arial" w:cs="Arial"/>
          <w:b/>
          <w:bCs/>
        </w:rPr>
        <w:tab/>
      </w:r>
      <w:r w:rsidR="0026625D">
        <w:rPr>
          <w:rFonts w:ascii="Arial" w:hAnsi="Arial" w:cs="Arial"/>
          <w:b/>
          <w:bCs/>
        </w:rPr>
        <w:tab/>
        <w:t>2025-04-</w:t>
      </w:r>
      <w:r w:rsidR="003E0BF8">
        <w:rPr>
          <w:rFonts w:ascii="Arial" w:hAnsi="Arial" w:cs="Arial"/>
          <w:b/>
          <w:bCs/>
        </w:rPr>
        <w:t>1</w:t>
      </w:r>
      <w:r w:rsidR="00873C4F">
        <w:rPr>
          <w:rFonts w:ascii="Arial" w:hAnsi="Arial" w:cs="Arial"/>
          <w:b/>
          <w:bCs/>
        </w:rPr>
        <w:t>6</w:t>
      </w:r>
    </w:p>
    <w:p w14:paraId="02A747AE" w14:textId="77777777" w:rsidR="009276DF" w:rsidRDefault="009276DF" w:rsidP="00533BA1">
      <w:pPr>
        <w:ind w:left="-56"/>
        <w:rPr>
          <w:rFonts w:ascii="Arial" w:hAnsi="Arial" w:cs="Arial"/>
          <w:b/>
          <w:bCs/>
        </w:rPr>
      </w:pPr>
    </w:p>
    <w:p w14:paraId="53FA7137" w14:textId="6282802B" w:rsidR="0065041B" w:rsidRPr="00917A60" w:rsidRDefault="00035A0A" w:rsidP="000867FC">
      <w:pPr>
        <w:ind w:left="-56"/>
        <w:rPr>
          <w:rFonts w:ascii="Arial" w:eastAsia="Calibri" w:hAnsi="Arial" w:cs="Arial"/>
          <w:b/>
          <w:bCs/>
          <w:kern w:val="2"/>
          <w14:ligatures w14:val="standardContextual"/>
        </w:rPr>
      </w:pPr>
      <w:r w:rsidRPr="00917A60">
        <w:rPr>
          <w:rFonts w:ascii="Arial" w:hAnsi="Arial" w:cs="Arial"/>
          <w:b/>
          <w:bCs/>
        </w:rPr>
        <w:t>DĖL RINKOS KONSULTACIJOS</w:t>
      </w:r>
      <w:r w:rsidR="000B09DC" w:rsidRPr="00917A60">
        <w:rPr>
          <w:rFonts w:ascii="Arial" w:hAnsi="Arial" w:cs="Arial"/>
          <w:b/>
          <w:bCs/>
        </w:rPr>
        <w:t xml:space="preserve"> APIBENDRINIMO</w:t>
      </w:r>
      <w:r w:rsidR="008B2C2F">
        <w:rPr>
          <w:rFonts w:ascii="Arial" w:hAnsi="Arial" w:cs="Arial"/>
          <w:b/>
          <w:bCs/>
        </w:rPr>
        <w:t xml:space="preserve"> IR </w:t>
      </w:r>
      <w:r w:rsidR="008A6A6C">
        <w:rPr>
          <w:rFonts w:ascii="Arial" w:hAnsi="Arial" w:cs="Arial"/>
          <w:b/>
          <w:bCs/>
        </w:rPr>
        <w:t>PAPILDOMŲ KLAUSIMŲ</w:t>
      </w:r>
    </w:p>
    <w:p w14:paraId="3AD0359D" w14:textId="77777777" w:rsidR="0065041B" w:rsidRPr="00917A60" w:rsidRDefault="0065041B" w:rsidP="00025372">
      <w:pPr>
        <w:ind w:left="-426" w:firstLine="567"/>
        <w:jc w:val="both"/>
        <w:rPr>
          <w:rFonts w:ascii="Arial" w:eastAsia="Calibri" w:hAnsi="Arial" w:cs="Arial"/>
          <w:bCs/>
          <w:kern w:val="2"/>
          <w14:ligatures w14:val="standardContextual"/>
        </w:rPr>
      </w:pPr>
    </w:p>
    <w:p w14:paraId="77AFF4F7" w14:textId="3AD83B24" w:rsidR="00113EAF" w:rsidRDefault="0065041B" w:rsidP="00025372">
      <w:pPr>
        <w:tabs>
          <w:tab w:val="left" w:pos="4962"/>
        </w:tabs>
        <w:ind w:left="-426"/>
        <w:jc w:val="both"/>
        <w:rPr>
          <w:rFonts w:ascii="Arial" w:eastAsia="Calibri" w:hAnsi="Arial" w:cs="Arial"/>
          <w:bCs/>
          <w:kern w:val="2"/>
          <w14:ligatures w14:val="standardContextual"/>
        </w:rPr>
      </w:pPr>
      <w:r w:rsidRPr="00917A60">
        <w:rPr>
          <w:rFonts w:ascii="Arial" w:eastAsia="Calibri" w:hAnsi="Arial" w:cs="Arial"/>
          <w:bCs/>
          <w:kern w:val="2"/>
          <w14:ligatures w14:val="standardContextual"/>
        </w:rPr>
        <w:t xml:space="preserve">Vilniaus </w:t>
      </w:r>
      <w:r w:rsidR="000E0FD1" w:rsidRPr="00917A60">
        <w:rPr>
          <w:rFonts w:ascii="Arial" w:eastAsia="Calibri" w:hAnsi="Arial" w:cs="Arial"/>
          <w:bCs/>
          <w:kern w:val="2"/>
          <w14:ligatures w14:val="standardContextual"/>
        </w:rPr>
        <w:t>u</w:t>
      </w:r>
      <w:r w:rsidRPr="00917A60">
        <w:rPr>
          <w:rFonts w:ascii="Arial" w:eastAsia="Calibri" w:hAnsi="Arial" w:cs="Arial"/>
          <w:bCs/>
          <w:kern w:val="2"/>
          <w14:ligatures w14:val="standardContextual"/>
        </w:rPr>
        <w:t>niversitetas (toliau – VU</w:t>
      </w:r>
      <w:r w:rsidR="003020CE" w:rsidRPr="00917A60">
        <w:rPr>
          <w:rFonts w:ascii="Arial" w:eastAsia="Calibri" w:hAnsi="Arial" w:cs="Arial"/>
          <w:bCs/>
          <w:kern w:val="2"/>
          <w14:ligatures w14:val="standardContextual"/>
        </w:rPr>
        <w:t xml:space="preserve"> /</w:t>
      </w:r>
      <w:r w:rsidR="003020CE" w:rsidRPr="00917A60">
        <w:rPr>
          <w:rFonts w:ascii="Arial" w:hAnsi="Arial" w:cs="Arial"/>
        </w:rPr>
        <w:t xml:space="preserve"> </w:t>
      </w:r>
      <w:r w:rsidR="003020CE" w:rsidRPr="00917A60">
        <w:rPr>
          <w:rFonts w:ascii="Arial" w:eastAsia="Calibri" w:hAnsi="Arial" w:cs="Arial"/>
          <w:bCs/>
          <w:kern w:val="2"/>
          <w14:ligatures w14:val="standardContextual"/>
        </w:rPr>
        <w:t xml:space="preserve">Perkančioji organizacija </w:t>
      </w:r>
      <w:r w:rsidR="000E0FD1" w:rsidRPr="00917A60">
        <w:rPr>
          <w:rFonts w:ascii="Arial" w:eastAsia="Calibri" w:hAnsi="Arial" w:cs="Arial"/>
          <w:bCs/>
          <w:kern w:val="2"/>
          <w14:ligatures w14:val="standardContextual"/>
        </w:rPr>
        <w:t>/ pirkėjas</w:t>
      </w:r>
      <w:r w:rsidRPr="00917A60">
        <w:rPr>
          <w:rFonts w:ascii="Arial" w:eastAsia="Calibri" w:hAnsi="Arial" w:cs="Arial"/>
          <w:bCs/>
          <w:kern w:val="2"/>
          <w14:ligatures w14:val="standardContextual"/>
        </w:rPr>
        <w:t>), siekdama</w:t>
      </w:r>
      <w:r w:rsidR="000E0FD1" w:rsidRPr="00917A60">
        <w:rPr>
          <w:rFonts w:ascii="Arial" w:eastAsia="Calibri" w:hAnsi="Arial" w:cs="Arial"/>
          <w:bCs/>
          <w:kern w:val="2"/>
          <w14:ligatures w14:val="standardContextual"/>
        </w:rPr>
        <w:t>s</w:t>
      </w:r>
      <w:r w:rsidRPr="00917A60">
        <w:rPr>
          <w:rFonts w:ascii="Arial" w:eastAsia="Calibri" w:hAnsi="Arial" w:cs="Arial"/>
          <w:bCs/>
          <w:kern w:val="2"/>
          <w14:ligatures w14:val="standardContextual"/>
        </w:rPr>
        <w:t xml:space="preserve"> tinkamai pasirengti numatomam </w:t>
      </w:r>
      <w:r w:rsidR="005F6739" w:rsidRPr="005F6739">
        <w:rPr>
          <w:rFonts w:ascii="Arial" w:eastAsia="Calibri" w:hAnsi="Arial" w:cs="Arial"/>
          <w:bCs/>
          <w:kern w:val="2"/>
          <w14:ligatures w14:val="standardContextual"/>
        </w:rPr>
        <w:t xml:space="preserve">Skysčių chromatografijos sistemos </w:t>
      </w:r>
      <w:r w:rsidR="00595B46">
        <w:rPr>
          <w:rFonts w:ascii="Arial" w:eastAsia="Calibri" w:hAnsi="Arial" w:cs="Arial"/>
          <w:bCs/>
          <w:kern w:val="2"/>
          <w14:ligatures w14:val="standardContextual"/>
        </w:rPr>
        <w:t>(toliau – sistem</w:t>
      </w:r>
      <w:r w:rsidR="00B00AE3">
        <w:rPr>
          <w:rFonts w:ascii="Arial" w:eastAsia="Calibri" w:hAnsi="Arial" w:cs="Arial"/>
          <w:bCs/>
          <w:kern w:val="2"/>
          <w14:ligatures w14:val="standardContextual"/>
        </w:rPr>
        <w:t>a</w:t>
      </w:r>
      <w:r w:rsidR="00595B46">
        <w:rPr>
          <w:rFonts w:ascii="Arial" w:eastAsia="Calibri" w:hAnsi="Arial" w:cs="Arial"/>
          <w:bCs/>
          <w:kern w:val="2"/>
          <w14:ligatures w14:val="standardContextual"/>
        </w:rPr>
        <w:t>/</w:t>
      </w:r>
      <w:r w:rsidR="00B00AE3" w:rsidRPr="00B00AE3">
        <w:t xml:space="preserve"> </w:t>
      </w:r>
      <w:r w:rsidR="00B00AE3" w:rsidRPr="00B00AE3">
        <w:rPr>
          <w:rFonts w:ascii="Arial" w:eastAsia="Calibri" w:hAnsi="Arial" w:cs="Arial"/>
          <w:bCs/>
          <w:kern w:val="2"/>
          <w14:ligatures w14:val="standardContextual"/>
        </w:rPr>
        <w:t>HPLC sistem</w:t>
      </w:r>
      <w:r w:rsidR="00B00AE3">
        <w:rPr>
          <w:rFonts w:ascii="Arial" w:eastAsia="Calibri" w:hAnsi="Arial" w:cs="Arial"/>
          <w:bCs/>
          <w:kern w:val="2"/>
          <w14:ligatures w14:val="standardContextual"/>
        </w:rPr>
        <w:t xml:space="preserve">a/ </w:t>
      </w:r>
      <w:r w:rsidR="00595B46">
        <w:rPr>
          <w:rFonts w:ascii="Arial" w:eastAsia="Calibri" w:hAnsi="Arial" w:cs="Arial"/>
          <w:bCs/>
          <w:kern w:val="2"/>
          <w14:ligatures w14:val="standardContextual"/>
        </w:rPr>
        <w:t>įrang</w:t>
      </w:r>
      <w:r w:rsidR="00B00AE3">
        <w:rPr>
          <w:rFonts w:ascii="Arial" w:eastAsia="Calibri" w:hAnsi="Arial" w:cs="Arial"/>
          <w:bCs/>
          <w:kern w:val="2"/>
          <w14:ligatures w14:val="standardContextual"/>
        </w:rPr>
        <w:t>a</w:t>
      </w:r>
      <w:r w:rsidR="00595B46">
        <w:rPr>
          <w:rFonts w:ascii="Arial" w:eastAsia="Calibri" w:hAnsi="Arial" w:cs="Arial"/>
          <w:bCs/>
          <w:kern w:val="2"/>
          <w14:ligatures w14:val="standardContextual"/>
        </w:rPr>
        <w:t xml:space="preserve">) </w:t>
      </w:r>
      <w:r w:rsidRPr="00917A60">
        <w:rPr>
          <w:rFonts w:ascii="Arial" w:eastAsia="Calibri" w:hAnsi="Arial" w:cs="Arial"/>
          <w:bCs/>
          <w:kern w:val="2"/>
          <w14:ligatures w14:val="standardContextual"/>
        </w:rPr>
        <w:t>pirkimui</w:t>
      </w:r>
      <w:r w:rsidR="008D475A">
        <w:rPr>
          <w:rFonts w:ascii="Arial" w:eastAsia="Calibri" w:hAnsi="Arial" w:cs="Arial"/>
          <w:bCs/>
          <w:kern w:val="2"/>
          <w14:ligatures w14:val="standardContextual"/>
        </w:rPr>
        <w:t>,</w:t>
      </w:r>
      <w:r w:rsidR="00906174" w:rsidRPr="00917A60">
        <w:rPr>
          <w:rFonts w:ascii="Arial" w:eastAsia="Calibri" w:hAnsi="Arial" w:cs="Arial"/>
          <w:bCs/>
          <w:kern w:val="2"/>
          <w14:ligatures w14:val="standardContextual"/>
        </w:rPr>
        <w:t xml:space="preserve"> </w:t>
      </w:r>
      <w:r w:rsidR="005D360B" w:rsidRPr="00917A60">
        <w:rPr>
          <w:rFonts w:ascii="Arial" w:eastAsia="Calibri" w:hAnsi="Arial" w:cs="Arial"/>
          <w:bCs/>
          <w:kern w:val="2"/>
          <w14:ligatures w14:val="standardContextual"/>
        </w:rPr>
        <w:t>vykd</w:t>
      </w:r>
      <w:r w:rsidR="005D360B">
        <w:rPr>
          <w:rFonts w:ascii="Arial" w:eastAsia="Calibri" w:hAnsi="Arial" w:cs="Arial"/>
          <w:bCs/>
          <w:kern w:val="2"/>
          <w14:ligatures w14:val="standardContextual"/>
        </w:rPr>
        <w:t>o</w:t>
      </w:r>
      <w:r w:rsidR="005D360B" w:rsidRPr="00917A60">
        <w:rPr>
          <w:rFonts w:ascii="Arial" w:eastAsia="Calibri" w:hAnsi="Arial" w:cs="Arial"/>
          <w:bCs/>
          <w:kern w:val="2"/>
          <w14:ligatures w14:val="standardContextual"/>
        </w:rPr>
        <w:t xml:space="preserve"> </w:t>
      </w:r>
      <w:r w:rsidR="00212902" w:rsidRPr="00917A60">
        <w:rPr>
          <w:rFonts w:ascii="Arial" w:eastAsia="Calibri" w:hAnsi="Arial" w:cs="Arial"/>
          <w:bCs/>
          <w:kern w:val="2"/>
          <w14:ligatures w14:val="standardContextual"/>
        </w:rPr>
        <w:t>rinkos dalyvių konsultaciją.</w:t>
      </w:r>
      <w:r w:rsidRPr="00917A60">
        <w:rPr>
          <w:rFonts w:ascii="Arial" w:eastAsia="Calibri" w:hAnsi="Arial" w:cs="Arial"/>
          <w:bCs/>
          <w:kern w:val="2"/>
          <w14:ligatures w14:val="standardContextual"/>
        </w:rPr>
        <w:t xml:space="preserve"> </w:t>
      </w:r>
      <w:r w:rsidR="00DF48FD" w:rsidRPr="00917A60">
        <w:rPr>
          <w:rFonts w:ascii="Arial" w:eastAsia="Calibri" w:hAnsi="Arial" w:cs="Arial"/>
          <w:bCs/>
          <w:kern w:val="2"/>
          <w14:ligatures w14:val="standardContextual"/>
        </w:rPr>
        <w:t>Dėkojame</w:t>
      </w:r>
      <w:r w:rsidR="004640D0" w:rsidRPr="00917A60">
        <w:rPr>
          <w:rFonts w:ascii="Arial" w:hAnsi="Arial" w:cs="Arial"/>
        </w:rPr>
        <w:t xml:space="preserve"> </w:t>
      </w:r>
      <w:r w:rsidR="004640D0" w:rsidRPr="00917A60">
        <w:rPr>
          <w:rFonts w:ascii="Arial" w:eastAsia="Calibri" w:hAnsi="Arial" w:cs="Arial"/>
          <w:bCs/>
          <w:kern w:val="2"/>
          <w14:ligatures w14:val="standardContextual"/>
        </w:rPr>
        <w:t>rinkos konsultacijoje dalyvavusiems tiekėjams</w:t>
      </w:r>
      <w:r w:rsidR="00DF48FD" w:rsidRPr="00917A60">
        <w:rPr>
          <w:rFonts w:ascii="Arial" w:eastAsia="Calibri" w:hAnsi="Arial" w:cs="Arial"/>
          <w:bCs/>
          <w:kern w:val="2"/>
          <w14:ligatures w14:val="standardContextual"/>
        </w:rPr>
        <w:t xml:space="preserve"> už aktyvų dalyvavimą ir pateiktus </w:t>
      </w:r>
      <w:r w:rsidR="00C337BA" w:rsidRPr="00917A60">
        <w:rPr>
          <w:rFonts w:ascii="Arial" w:eastAsia="Calibri" w:hAnsi="Arial" w:cs="Arial"/>
          <w:bCs/>
          <w:kern w:val="2"/>
          <w14:ligatures w14:val="standardContextual"/>
        </w:rPr>
        <w:t>siūlymus</w:t>
      </w:r>
      <w:r w:rsidR="004640D0" w:rsidRPr="00917A60">
        <w:rPr>
          <w:rFonts w:ascii="Arial" w:eastAsia="Calibri" w:hAnsi="Arial" w:cs="Arial"/>
          <w:bCs/>
          <w:kern w:val="2"/>
          <w14:ligatures w14:val="standardContextual"/>
        </w:rPr>
        <w:t xml:space="preserve"> </w:t>
      </w:r>
      <w:r w:rsidR="00C337BA" w:rsidRPr="00917A60">
        <w:rPr>
          <w:rFonts w:ascii="Arial" w:eastAsia="Calibri" w:hAnsi="Arial" w:cs="Arial"/>
          <w:bCs/>
          <w:kern w:val="2"/>
          <w14:ligatures w14:val="standardContextual"/>
        </w:rPr>
        <w:t xml:space="preserve">bei įžvalgas. </w:t>
      </w:r>
    </w:p>
    <w:p w14:paraId="62BA8BAE" w14:textId="0D206C67" w:rsidR="00EF6C14" w:rsidRDefault="008A6A6C" w:rsidP="00025372">
      <w:pPr>
        <w:tabs>
          <w:tab w:val="left" w:pos="4962"/>
        </w:tabs>
        <w:ind w:left="-426"/>
        <w:jc w:val="both"/>
        <w:rPr>
          <w:rFonts w:ascii="Arial" w:eastAsia="Calibri" w:hAnsi="Arial" w:cs="Arial"/>
          <w:bCs/>
          <w:kern w:val="2"/>
          <w14:ligatures w14:val="standardContextual"/>
        </w:rPr>
      </w:pPr>
      <w:r w:rsidRPr="004F6C7E">
        <w:rPr>
          <w:rFonts w:ascii="Arial" w:eastAsia="Calibri" w:hAnsi="Arial" w:cs="Arial"/>
          <w:bCs/>
          <w:kern w:val="2"/>
          <w14:ligatures w14:val="standardContextual"/>
        </w:rPr>
        <w:t xml:space="preserve">Atsižvelgiant į tai, kad </w:t>
      </w:r>
      <w:r w:rsidR="00595B46" w:rsidRPr="004F6C7E">
        <w:rPr>
          <w:rFonts w:ascii="Arial" w:eastAsia="Calibri" w:hAnsi="Arial" w:cs="Arial"/>
          <w:bCs/>
          <w:kern w:val="2"/>
          <w14:ligatures w14:val="standardContextual"/>
        </w:rPr>
        <w:t>sistemos pirkimą numatom</w:t>
      </w:r>
      <w:r w:rsidR="0013600C">
        <w:rPr>
          <w:rFonts w:ascii="Arial" w:eastAsia="Calibri" w:hAnsi="Arial" w:cs="Arial"/>
          <w:bCs/>
          <w:kern w:val="2"/>
          <w14:ligatures w14:val="standardContextual"/>
        </w:rPr>
        <w:t>a</w:t>
      </w:r>
      <w:r w:rsidR="00595B46" w:rsidRPr="004F6C7E">
        <w:rPr>
          <w:rFonts w:ascii="Arial" w:eastAsia="Calibri" w:hAnsi="Arial" w:cs="Arial"/>
          <w:bCs/>
          <w:kern w:val="2"/>
          <w14:ligatures w14:val="standardContextual"/>
        </w:rPr>
        <w:t xml:space="preserve"> finansuoti pagal Europos Sąjungos bendrosios mokslinių tyrimų ir inovacijų programos „Europos horizontas“ programą</w:t>
      </w:r>
      <w:r w:rsidR="0086769E" w:rsidRPr="004F6C7E">
        <w:rPr>
          <w:rFonts w:ascii="Arial" w:eastAsia="Calibri" w:hAnsi="Arial" w:cs="Arial"/>
          <w:bCs/>
          <w:kern w:val="2"/>
          <w14:ligatures w14:val="standardContextual"/>
        </w:rPr>
        <w:t xml:space="preserve"> ir siekiant </w:t>
      </w:r>
      <w:r w:rsidR="009D49CE" w:rsidRPr="004F6C7E">
        <w:rPr>
          <w:rFonts w:ascii="Arial" w:eastAsia="Calibri" w:hAnsi="Arial" w:cs="Arial"/>
          <w:bCs/>
          <w:kern w:val="2"/>
          <w14:ligatures w14:val="standardContextual"/>
        </w:rPr>
        <w:t>užtikrinti šios programos</w:t>
      </w:r>
      <w:r w:rsidR="0013600C">
        <w:rPr>
          <w:rFonts w:ascii="Arial" w:eastAsia="Calibri" w:hAnsi="Arial" w:cs="Arial"/>
          <w:bCs/>
          <w:kern w:val="2"/>
          <w14:ligatures w14:val="standardContextual"/>
        </w:rPr>
        <w:t xml:space="preserve"> visus</w:t>
      </w:r>
      <w:r w:rsidR="009D49CE" w:rsidRPr="004F6C7E">
        <w:rPr>
          <w:rFonts w:ascii="Arial" w:eastAsia="Calibri" w:hAnsi="Arial" w:cs="Arial"/>
          <w:bCs/>
          <w:kern w:val="2"/>
          <w14:ligatures w14:val="standardContextual"/>
        </w:rPr>
        <w:t xml:space="preserve"> reikalavimus, </w:t>
      </w:r>
      <w:r w:rsidR="00595B46" w:rsidRPr="004F6C7E">
        <w:rPr>
          <w:rFonts w:ascii="Arial" w:eastAsia="Calibri" w:hAnsi="Arial" w:cs="Arial"/>
          <w:bCs/>
          <w:kern w:val="2"/>
          <w14:ligatures w14:val="standardContextual"/>
        </w:rPr>
        <w:t>m</w:t>
      </w:r>
      <w:r w:rsidR="001268FE" w:rsidRPr="004F6C7E">
        <w:rPr>
          <w:rFonts w:ascii="Arial" w:eastAsia="Calibri" w:hAnsi="Arial" w:cs="Arial"/>
          <w:bCs/>
          <w:kern w:val="2"/>
          <w14:ligatures w14:val="standardContextual"/>
        </w:rPr>
        <w:t xml:space="preserve">aloniai </w:t>
      </w:r>
      <w:r w:rsidR="001268FE" w:rsidRPr="000867FC">
        <w:rPr>
          <w:rFonts w:ascii="Arial" w:eastAsia="Calibri" w:hAnsi="Arial" w:cs="Arial"/>
          <w:b/>
          <w:kern w:val="2"/>
          <w14:ligatures w14:val="standardContextual"/>
        </w:rPr>
        <w:t>prašome</w:t>
      </w:r>
      <w:r w:rsidR="001268FE" w:rsidRPr="004F6C7E">
        <w:rPr>
          <w:rFonts w:ascii="Arial" w:eastAsia="Calibri" w:hAnsi="Arial" w:cs="Arial"/>
          <w:bCs/>
          <w:kern w:val="2"/>
          <w14:ligatures w14:val="standardContextual"/>
        </w:rPr>
        <w:t xml:space="preserve"> tiekėjus </w:t>
      </w:r>
      <w:r w:rsidR="00A1307B" w:rsidRPr="004F6C7E">
        <w:rPr>
          <w:rFonts w:ascii="Arial" w:eastAsia="Calibri" w:hAnsi="Arial" w:cs="Arial"/>
          <w:bCs/>
          <w:kern w:val="2"/>
          <w14:ligatures w14:val="standardContextual"/>
        </w:rPr>
        <w:t xml:space="preserve">laisva forma </w:t>
      </w:r>
      <w:r w:rsidR="006A00BA">
        <w:rPr>
          <w:rFonts w:ascii="Arial" w:eastAsia="Calibri" w:hAnsi="Arial" w:cs="Arial"/>
          <w:bCs/>
          <w:kern w:val="2"/>
          <w14:ligatures w14:val="standardContextual"/>
        </w:rPr>
        <w:t xml:space="preserve">raštu </w:t>
      </w:r>
      <w:r w:rsidR="00A1307B" w:rsidRPr="004F6C7E">
        <w:rPr>
          <w:rFonts w:ascii="Arial" w:eastAsia="Calibri" w:hAnsi="Arial" w:cs="Arial"/>
          <w:bCs/>
          <w:kern w:val="2"/>
          <w14:ligatures w14:val="standardContextual"/>
        </w:rPr>
        <w:t>CVP</w:t>
      </w:r>
      <w:r w:rsidR="005D360B">
        <w:rPr>
          <w:rFonts w:ascii="Arial" w:eastAsia="Calibri" w:hAnsi="Arial" w:cs="Arial"/>
          <w:bCs/>
          <w:kern w:val="2"/>
          <w14:ligatures w14:val="standardContextual"/>
        </w:rPr>
        <w:t xml:space="preserve"> </w:t>
      </w:r>
      <w:r w:rsidR="00A1307B" w:rsidRPr="004F6C7E">
        <w:rPr>
          <w:rFonts w:ascii="Arial" w:eastAsia="Calibri" w:hAnsi="Arial" w:cs="Arial"/>
          <w:bCs/>
          <w:kern w:val="2"/>
          <w14:ligatures w14:val="standardContextual"/>
        </w:rPr>
        <w:t>IS</w:t>
      </w:r>
      <w:r w:rsidR="00664F25">
        <w:rPr>
          <w:rFonts w:ascii="Arial" w:eastAsia="Calibri" w:hAnsi="Arial" w:cs="Arial"/>
          <w:bCs/>
          <w:kern w:val="2"/>
          <w14:ligatures w14:val="standardContextual"/>
        </w:rPr>
        <w:t xml:space="preserve"> (pratęsiamos rinkos konsultacijos ID </w:t>
      </w:r>
      <w:r w:rsidR="00664F25" w:rsidRPr="00664F25">
        <w:rPr>
          <w:rFonts w:ascii="Arial" w:eastAsia="Calibri" w:hAnsi="Arial" w:cs="Arial"/>
          <w:bCs/>
          <w:kern w:val="2"/>
          <w14:ligatures w14:val="standardContextual"/>
        </w:rPr>
        <w:t>2233606</w:t>
      </w:r>
      <w:r w:rsidR="00664F25">
        <w:rPr>
          <w:rFonts w:ascii="Arial" w:eastAsia="Calibri" w:hAnsi="Arial" w:cs="Arial"/>
          <w:bCs/>
          <w:kern w:val="2"/>
          <w14:ligatures w14:val="standardContextual"/>
        </w:rPr>
        <w:t>)</w:t>
      </w:r>
      <w:r w:rsidR="00A1307B" w:rsidRPr="004F6C7E">
        <w:rPr>
          <w:rFonts w:ascii="Arial" w:eastAsia="Calibri" w:hAnsi="Arial" w:cs="Arial"/>
          <w:bCs/>
          <w:kern w:val="2"/>
          <w14:ligatures w14:val="standardContextual"/>
        </w:rPr>
        <w:t xml:space="preserve"> </w:t>
      </w:r>
      <w:r w:rsidR="00737713" w:rsidRPr="004F6C7E">
        <w:rPr>
          <w:rFonts w:ascii="Arial" w:eastAsia="Calibri" w:hAnsi="Arial" w:cs="Arial"/>
          <w:bCs/>
          <w:kern w:val="2"/>
          <w14:ligatures w14:val="standardContextual"/>
        </w:rPr>
        <w:t xml:space="preserve">ne vėliau kaip per </w:t>
      </w:r>
      <w:r w:rsidR="00F4135C">
        <w:rPr>
          <w:rFonts w:ascii="Arial" w:eastAsia="Calibri" w:hAnsi="Arial" w:cs="Arial"/>
          <w:bCs/>
          <w:kern w:val="2"/>
          <w14:ligatures w14:val="standardContextual"/>
        </w:rPr>
        <w:t>3</w:t>
      </w:r>
      <w:r w:rsidR="00737713" w:rsidRPr="004F6C7E">
        <w:rPr>
          <w:rFonts w:ascii="Arial" w:eastAsia="Calibri" w:hAnsi="Arial" w:cs="Arial"/>
          <w:bCs/>
          <w:kern w:val="2"/>
          <w14:ligatures w14:val="standardContextual"/>
        </w:rPr>
        <w:t xml:space="preserve"> darbo dienas nuo šio pranešimo išsiuntimo, </w:t>
      </w:r>
      <w:r w:rsidR="007D4ECA" w:rsidRPr="00875FF6">
        <w:rPr>
          <w:rFonts w:ascii="Arial" w:eastAsia="Calibri" w:hAnsi="Arial" w:cs="Arial"/>
          <w:b/>
          <w:kern w:val="2"/>
          <w14:ligatures w14:val="standardContextual"/>
        </w:rPr>
        <w:t>atsakyti į papildomą klausimą</w:t>
      </w:r>
      <w:r w:rsidR="007D4ECA" w:rsidRPr="004F6C7E">
        <w:rPr>
          <w:rFonts w:ascii="Arial" w:eastAsia="Calibri" w:hAnsi="Arial" w:cs="Arial"/>
          <w:bCs/>
          <w:kern w:val="2"/>
          <w14:ligatures w14:val="standardContextual"/>
        </w:rPr>
        <w:t xml:space="preserve"> dėl </w:t>
      </w:r>
      <w:r w:rsidR="00A120D9" w:rsidRPr="004F6C7E">
        <w:rPr>
          <w:rFonts w:ascii="Arial" w:eastAsia="Calibri" w:hAnsi="Arial" w:cs="Arial"/>
          <w:bCs/>
          <w:kern w:val="2"/>
          <w14:ligatures w14:val="standardContextual"/>
        </w:rPr>
        <w:t>siūlomos s</w:t>
      </w:r>
      <w:r w:rsidR="00B45429" w:rsidRPr="004F6C7E">
        <w:rPr>
          <w:rFonts w:ascii="Arial" w:eastAsia="Calibri" w:hAnsi="Arial" w:cs="Arial"/>
          <w:bCs/>
          <w:kern w:val="2"/>
          <w14:ligatures w14:val="standardContextual"/>
        </w:rPr>
        <w:t xml:space="preserve">kysčių chromatografijos sistemos </w:t>
      </w:r>
      <w:r w:rsidR="00A120D9" w:rsidRPr="004F6C7E">
        <w:rPr>
          <w:rFonts w:ascii="Arial" w:eastAsia="Calibri" w:hAnsi="Arial" w:cs="Arial"/>
          <w:bCs/>
          <w:kern w:val="2"/>
          <w14:ligatures w14:val="standardContextual"/>
        </w:rPr>
        <w:t xml:space="preserve">atitikimo ES direktyvoms -  </w:t>
      </w:r>
      <w:r w:rsidR="00A120D9" w:rsidRPr="004F6C7E">
        <w:rPr>
          <w:rFonts w:ascii="Arial" w:hAnsi="Arial" w:cs="Arial"/>
        </w:rPr>
        <w:t>2009/125/EC (</w:t>
      </w:r>
      <w:hyperlink r:id="rId11" w:tgtFrame="_blank" w:tooltip="https://eur-lex.europa.eu/legal-content/lt/txt/html/?uri=celex:32011l0065" w:history="1">
        <w:r w:rsidR="00A120D9" w:rsidRPr="004F6C7E">
          <w:rPr>
            <w:rStyle w:val="Hyperlink"/>
            <w:rFonts w:ascii="Arial" w:hAnsi="Arial" w:cs="Arial"/>
          </w:rPr>
          <w:t>L_2011174LT.01008801.xml</w:t>
        </w:r>
      </w:hyperlink>
      <w:r w:rsidR="00A120D9" w:rsidRPr="004F6C7E">
        <w:rPr>
          <w:rFonts w:ascii="Arial" w:hAnsi="Arial" w:cs="Arial"/>
        </w:rPr>
        <w:t>) ir 2011/65/EU (</w:t>
      </w:r>
      <w:hyperlink r:id="rId12" w:tgtFrame="_blank" w:tooltip="https://eur-lex.europa.eu/legal-content/lt/txt/html/?uri=celex:32009l0125" w:history="1">
        <w:r w:rsidR="00A120D9" w:rsidRPr="004F6C7E">
          <w:rPr>
            <w:rStyle w:val="Hyperlink"/>
            <w:rFonts w:ascii="Arial" w:hAnsi="Arial" w:cs="Arial"/>
          </w:rPr>
          <w:t>L_2009285LT.01001001.xml</w:t>
        </w:r>
      </w:hyperlink>
      <w:r w:rsidR="004F7868" w:rsidRPr="000867FC">
        <w:rPr>
          <w:rStyle w:val="Hyperlink"/>
          <w:rFonts w:ascii="Arial" w:hAnsi="Arial" w:cs="Arial"/>
          <w:color w:val="auto"/>
          <w:u w:val="none"/>
        </w:rPr>
        <w:t>)</w:t>
      </w:r>
      <w:r w:rsidR="00A120D9" w:rsidRPr="004F6C7E">
        <w:rPr>
          <w:rFonts w:ascii="Arial" w:eastAsia="Calibri" w:hAnsi="Arial" w:cs="Arial"/>
          <w:bCs/>
          <w:kern w:val="2"/>
          <w14:ligatures w14:val="standardContextual"/>
        </w:rPr>
        <w:t xml:space="preserve"> </w:t>
      </w:r>
      <w:r w:rsidR="00A1307B" w:rsidRPr="004F6C7E">
        <w:rPr>
          <w:rFonts w:ascii="Arial" w:eastAsia="Calibri" w:hAnsi="Arial" w:cs="Arial"/>
          <w:bCs/>
          <w:kern w:val="2"/>
          <w14:ligatures w14:val="standardContextual"/>
        </w:rPr>
        <w:t xml:space="preserve">ir </w:t>
      </w:r>
      <w:r w:rsidR="006032CF" w:rsidRPr="004F6C7E">
        <w:rPr>
          <w:rFonts w:ascii="Arial" w:eastAsia="Calibri" w:hAnsi="Arial" w:cs="Arial"/>
          <w:bCs/>
          <w:kern w:val="2"/>
          <w14:ligatures w14:val="standardContextual"/>
        </w:rPr>
        <w:t xml:space="preserve">jos ženklinimo </w:t>
      </w:r>
      <w:r w:rsidR="00176427" w:rsidRPr="004F6C7E">
        <w:rPr>
          <w:rFonts w:ascii="Arial" w:eastAsia="Calibri" w:hAnsi="Arial" w:cs="Arial"/>
          <w:bCs/>
          <w:kern w:val="2"/>
          <w14:ligatures w14:val="standardContextual"/>
        </w:rPr>
        <w:t>CE ženklu, t.</w:t>
      </w:r>
      <w:r w:rsidR="004F7868">
        <w:rPr>
          <w:rFonts w:ascii="Arial" w:eastAsia="Calibri" w:hAnsi="Arial" w:cs="Arial"/>
          <w:bCs/>
          <w:kern w:val="2"/>
          <w14:ligatures w14:val="standardContextual"/>
        </w:rPr>
        <w:t xml:space="preserve"> </w:t>
      </w:r>
      <w:r w:rsidR="00176427" w:rsidRPr="004F6C7E">
        <w:rPr>
          <w:rFonts w:ascii="Arial" w:eastAsia="Calibri" w:hAnsi="Arial" w:cs="Arial"/>
          <w:bCs/>
          <w:kern w:val="2"/>
          <w14:ligatures w14:val="standardContextual"/>
        </w:rPr>
        <w:t>y.</w:t>
      </w:r>
      <w:r w:rsidR="00EF6C14">
        <w:rPr>
          <w:rFonts w:ascii="Arial" w:eastAsia="Calibri" w:hAnsi="Arial" w:cs="Arial"/>
          <w:bCs/>
          <w:kern w:val="2"/>
          <w14:ligatures w14:val="standardContextual"/>
        </w:rPr>
        <w:t>:</w:t>
      </w:r>
    </w:p>
    <w:p w14:paraId="669BB90A" w14:textId="55A38FBF" w:rsidR="001D43C7" w:rsidRPr="00547721" w:rsidRDefault="003D2018" w:rsidP="00EF6C14">
      <w:pPr>
        <w:pStyle w:val="ListParagraph"/>
        <w:numPr>
          <w:ilvl w:val="0"/>
          <w:numId w:val="6"/>
        </w:numPr>
        <w:tabs>
          <w:tab w:val="left" w:pos="4962"/>
        </w:tabs>
        <w:jc w:val="both"/>
        <w:rPr>
          <w:rFonts w:ascii="Arial" w:eastAsia="Calibri" w:hAnsi="Arial" w:cs="Arial"/>
          <w:bCs/>
          <w:kern w:val="2"/>
          <w14:ligatures w14:val="standardContextual"/>
        </w:rPr>
      </w:pPr>
      <w:r w:rsidRPr="00547721">
        <w:rPr>
          <w:rFonts w:ascii="Arial" w:eastAsia="Calibri" w:hAnsi="Arial" w:cs="Arial"/>
          <w:bCs/>
          <w:kern w:val="2"/>
          <w14:ligatures w14:val="standardContextual"/>
        </w:rPr>
        <w:t>a</w:t>
      </w:r>
      <w:r w:rsidR="001D43C7" w:rsidRPr="00547721">
        <w:rPr>
          <w:rFonts w:ascii="Arial" w:eastAsia="Calibri" w:hAnsi="Arial" w:cs="Arial"/>
          <w:bCs/>
          <w:kern w:val="2"/>
          <w14:ligatures w14:val="standardContextual"/>
        </w:rPr>
        <w:t xml:space="preserve">r </w:t>
      </w:r>
      <w:r w:rsidR="00A522BA" w:rsidRPr="00547721">
        <w:rPr>
          <w:rFonts w:ascii="Arial" w:eastAsia="Calibri" w:hAnsi="Arial" w:cs="Arial"/>
          <w:bCs/>
          <w:kern w:val="2"/>
          <w14:ligatures w14:val="standardContextual"/>
        </w:rPr>
        <w:t xml:space="preserve">įrangai yra privalomas CE ženklinimas pagal ES direktyvas Nr. </w:t>
      </w:r>
      <w:r w:rsidR="00A522BA" w:rsidRPr="00547721">
        <w:rPr>
          <w:rFonts w:ascii="Arial" w:hAnsi="Arial" w:cs="Arial"/>
        </w:rPr>
        <w:t>2009/125/EC (</w:t>
      </w:r>
      <w:hyperlink r:id="rId13" w:tgtFrame="_blank" w:tooltip="https://eur-lex.europa.eu/legal-content/lt/txt/html/?uri=celex:32011l0065" w:history="1">
        <w:r w:rsidR="00A522BA" w:rsidRPr="00547721">
          <w:rPr>
            <w:rStyle w:val="Hyperlink"/>
            <w:rFonts w:ascii="Arial" w:hAnsi="Arial" w:cs="Arial"/>
          </w:rPr>
          <w:t>L_2011174LT.01008801.xml</w:t>
        </w:r>
      </w:hyperlink>
      <w:r w:rsidR="00A522BA" w:rsidRPr="00547721">
        <w:rPr>
          <w:rFonts w:ascii="Arial" w:hAnsi="Arial" w:cs="Arial"/>
        </w:rPr>
        <w:t>) ir Nr. 2011/65/EU (</w:t>
      </w:r>
      <w:hyperlink r:id="rId14" w:tgtFrame="_blank" w:tooltip="https://eur-lex.europa.eu/legal-content/lt/txt/html/?uri=celex:32009l0125" w:history="1">
        <w:r w:rsidR="00A522BA" w:rsidRPr="00547721">
          <w:rPr>
            <w:rStyle w:val="Hyperlink"/>
            <w:rFonts w:ascii="Arial" w:hAnsi="Arial" w:cs="Arial"/>
          </w:rPr>
          <w:t>L_2009285LT.01001001.xml</w:t>
        </w:r>
      </w:hyperlink>
      <w:r w:rsidR="00A522BA" w:rsidRPr="00547721">
        <w:rPr>
          <w:rStyle w:val="Hyperlink"/>
          <w:rFonts w:ascii="Arial" w:hAnsi="Arial" w:cs="Arial"/>
          <w:color w:val="auto"/>
          <w:u w:val="none"/>
        </w:rPr>
        <w:t>)</w:t>
      </w:r>
      <w:r w:rsidRPr="00547721">
        <w:rPr>
          <w:rStyle w:val="Hyperlink"/>
          <w:rFonts w:ascii="Arial" w:hAnsi="Arial" w:cs="Arial"/>
          <w:color w:val="auto"/>
          <w:u w:val="none"/>
        </w:rPr>
        <w:t>?</w:t>
      </w:r>
    </w:p>
    <w:p w14:paraId="690FD867" w14:textId="00125C4D" w:rsidR="0008474D" w:rsidRPr="00547721" w:rsidRDefault="00176427" w:rsidP="00EF6C14">
      <w:pPr>
        <w:pStyle w:val="ListParagraph"/>
        <w:numPr>
          <w:ilvl w:val="0"/>
          <w:numId w:val="6"/>
        </w:numPr>
        <w:tabs>
          <w:tab w:val="left" w:pos="4962"/>
        </w:tabs>
        <w:jc w:val="both"/>
        <w:rPr>
          <w:rFonts w:ascii="Arial" w:eastAsia="Calibri" w:hAnsi="Arial" w:cs="Arial"/>
          <w:bCs/>
          <w:kern w:val="2"/>
          <w14:ligatures w14:val="standardContextual"/>
        </w:rPr>
      </w:pPr>
      <w:r w:rsidRPr="000867FC">
        <w:rPr>
          <w:rFonts w:ascii="Arial" w:eastAsia="Calibri" w:hAnsi="Arial" w:cs="Arial"/>
          <w:bCs/>
          <w:kern w:val="2"/>
          <w14:ligatures w14:val="standardContextual"/>
        </w:rPr>
        <w:t xml:space="preserve">ar </w:t>
      </w:r>
      <w:r w:rsidR="00446F26" w:rsidRPr="000867FC">
        <w:rPr>
          <w:rFonts w:ascii="Arial" w:eastAsia="Calibri" w:hAnsi="Arial" w:cs="Arial"/>
          <w:bCs/>
          <w:kern w:val="2"/>
          <w14:ligatures w14:val="standardContextual"/>
        </w:rPr>
        <w:t>siūlomos sistemos atitinka nurodytų direktyvų reikalavimus</w:t>
      </w:r>
      <w:r w:rsidR="0008474D" w:rsidRPr="00547721">
        <w:rPr>
          <w:rFonts w:ascii="Arial" w:eastAsia="Calibri" w:hAnsi="Arial" w:cs="Arial"/>
          <w:bCs/>
          <w:kern w:val="2"/>
          <w14:ligatures w14:val="standardContextual"/>
        </w:rPr>
        <w:t>?</w:t>
      </w:r>
      <w:r w:rsidR="004F7868" w:rsidRPr="000867FC">
        <w:rPr>
          <w:rFonts w:ascii="Arial" w:eastAsia="Calibri" w:hAnsi="Arial" w:cs="Arial"/>
          <w:bCs/>
          <w:kern w:val="2"/>
          <w14:ligatures w14:val="standardContextual"/>
        </w:rPr>
        <w:t xml:space="preserve"> </w:t>
      </w:r>
    </w:p>
    <w:p w14:paraId="347AFB23" w14:textId="69D4179B" w:rsidR="00C924B9" w:rsidRPr="00547721" w:rsidRDefault="00C924B9" w:rsidP="00EF6C14">
      <w:pPr>
        <w:pStyle w:val="ListParagraph"/>
        <w:numPr>
          <w:ilvl w:val="0"/>
          <w:numId w:val="6"/>
        </w:numPr>
        <w:tabs>
          <w:tab w:val="left" w:pos="4962"/>
        </w:tabs>
        <w:jc w:val="both"/>
        <w:rPr>
          <w:rFonts w:ascii="Arial" w:eastAsia="Calibri" w:hAnsi="Arial" w:cs="Arial"/>
          <w:bCs/>
          <w:kern w:val="2"/>
          <w14:ligatures w14:val="standardContextual"/>
        </w:rPr>
      </w:pPr>
      <w:r w:rsidRPr="00547721">
        <w:rPr>
          <w:rFonts w:ascii="Arial" w:eastAsia="Calibri" w:hAnsi="Arial" w:cs="Arial"/>
          <w:bCs/>
          <w:kern w:val="2"/>
          <w14:ligatures w14:val="standardContextual"/>
        </w:rPr>
        <w:t xml:space="preserve">ar įrangą </w:t>
      </w:r>
      <w:r w:rsidR="00B013E4" w:rsidRPr="00547721">
        <w:rPr>
          <w:rFonts w:ascii="Arial" w:eastAsia="Calibri" w:hAnsi="Arial" w:cs="Arial"/>
          <w:bCs/>
          <w:kern w:val="2"/>
          <w14:ligatures w14:val="standardContextual"/>
        </w:rPr>
        <w:t xml:space="preserve">dėl atitikties CE ženklinimo reikalavimams turi tikrinti </w:t>
      </w:r>
      <w:r w:rsidR="00B013E4" w:rsidRPr="00547721">
        <w:rPr>
          <w:rStyle w:val="Strong"/>
          <w:rFonts w:ascii="Arial" w:hAnsi="Arial" w:cs="Arial"/>
          <w:color w:val="515560"/>
          <w:bdr w:val="none" w:sz="0" w:space="0" w:color="auto" w:frame="1"/>
          <w:shd w:val="clear" w:color="auto" w:fill="FFFFFF"/>
        </w:rPr>
        <w:t xml:space="preserve">notifikuotoji įstaiga </w:t>
      </w:r>
      <w:r w:rsidR="00B013E4" w:rsidRPr="000867FC">
        <w:rPr>
          <w:rStyle w:val="Strong"/>
          <w:rFonts w:ascii="Arial" w:hAnsi="Arial" w:cs="Arial"/>
          <w:b w:val="0"/>
          <w:bCs w:val="0"/>
          <w:color w:val="515560"/>
          <w:bdr w:val="none" w:sz="0" w:space="0" w:color="auto" w:frame="1"/>
          <w:shd w:val="clear" w:color="auto" w:fill="FFFFFF"/>
        </w:rPr>
        <w:t>(</w:t>
      </w:r>
      <w:hyperlink r:id="rId15" w:history="1">
        <w:r w:rsidR="00A91E02" w:rsidRPr="000867FC">
          <w:rPr>
            <w:rStyle w:val="Hyperlink"/>
            <w:rFonts w:ascii="Arial" w:hAnsi="Arial" w:cs="Arial"/>
          </w:rPr>
          <w:t>Žymėjimas CE ženklu, sertifikato gavimas, ES reikalavimai - Your Europe</w:t>
        </w:r>
      </w:hyperlink>
      <w:r w:rsidR="00A91E02" w:rsidRPr="000867FC">
        <w:rPr>
          <w:rFonts w:ascii="Arial" w:hAnsi="Arial" w:cs="Arial"/>
        </w:rPr>
        <w:t>)?</w:t>
      </w:r>
    </w:p>
    <w:p w14:paraId="37CA4478" w14:textId="7130A604" w:rsidR="00A91E02" w:rsidRPr="00547721" w:rsidRDefault="00025802" w:rsidP="00EF6C14">
      <w:pPr>
        <w:pStyle w:val="ListParagraph"/>
        <w:numPr>
          <w:ilvl w:val="0"/>
          <w:numId w:val="6"/>
        </w:numPr>
        <w:tabs>
          <w:tab w:val="left" w:pos="4962"/>
        </w:tabs>
        <w:jc w:val="both"/>
        <w:rPr>
          <w:rFonts w:ascii="Arial" w:eastAsia="Calibri" w:hAnsi="Arial" w:cs="Arial"/>
          <w:bCs/>
          <w:kern w:val="2"/>
          <w14:ligatures w14:val="standardContextual"/>
        </w:rPr>
      </w:pPr>
      <w:r w:rsidRPr="00547721">
        <w:rPr>
          <w:rFonts w:ascii="Arial" w:eastAsia="Calibri" w:hAnsi="Arial" w:cs="Arial"/>
          <w:bCs/>
          <w:kern w:val="2"/>
          <w14:ligatures w14:val="standardContextual"/>
        </w:rPr>
        <w:t>ar įrang</w:t>
      </w:r>
      <w:r w:rsidR="0081219E">
        <w:rPr>
          <w:rFonts w:ascii="Arial" w:eastAsia="Calibri" w:hAnsi="Arial" w:cs="Arial"/>
          <w:bCs/>
          <w:kern w:val="2"/>
          <w14:ligatures w14:val="standardContextual"/>
        </w:rPr>
        <w:t>os</w:t>
      </w:r>
      <w:r w:rsidRPr="00547721">
        <w:rPr>
          <w:rFonts w:ascii="Arial" w:eastAsia="Calibri" w:hAnsi="Arial" w:cs="Arial"/>
          <w:bCs/>
          <w:kern w:val="2"/>
          <w14:ligatures w14:val="standardContextual"/>
        </w:rPr>
        <w:t xml:space="preserve"> </w:t>
      </w:r>
      <w:r w:rsidR="00446F26" w:rsidRPr="00873C4F">
        <w:rPr>
          <w:rFonts w:ascii="Arial" w:eastAsia="Calibri" w:hAnsi="Arial" w:cs="Arial"/>
          <w:bCs/>
          <w:kern w:val="2"/>
          <w14:ligatures w14:val="standardContextual"/>
        </w:rPr>
        <w:t xml:space="preserve">tiekėjai turi </w:t>
      </w:r>
      <w:r w:rsidR="00247565" w:rsidRPr="00873C4F">
        <w:rPr>
          <w:rFonts w:ascii="Arial" w:eastAsia="Calibri" w:hAnsi="Arial" w:cs="Arial"/>
          <w:bCs/>
          <w:kern w:val="2"/>
          <w14:ligatures w14:val="standardContextual"/>
        </w:rPr>
        <w:t xml:space="preserve">notifikuotų </w:t>
      </w:r>
      <w:r w:rsidR="00904B41" w:rsidRPr="00873C4F">
        <w:rPr>
          <w:rFonts w:ascii="Arial" w:eastAsia="Calibri" w:hAnsi="Arial" w:cs="Arial"/>
          <w:bCs/>
          <w:kern w:val="2"/>
          <w14:ligatures w14:val="standardContextual"/>
        </w:rPr>
        <w:t xml:space="preserve">įstaigų išduotus </w:t>
      </w:r>
      <w:r w:rsidR="009B42EE" w:rsidRPr="00873C4F">
        <w:rPr>
          <w:rFonts w:ascii="Arial" w:eastAsia="Calibri" w:hAnsi="Arial" w:cs="Arial"/>
          <w:bCs/>
          <w:kern w:val="2"/>
          <w14:ligatures w14:val="standardContextual"/>
        </w:rPr>
        <w:t xml:space="preserve">CE ženklinimo </w:t>
      </w:r>
      <w:r w:rsidR="00737713" w:rsidRPr="00873C4F">
        <w:rPr>
          <w:rFonts w:ascii="Arial" w:eastAsia="Calibri" w:hAnsi="Arial" w:cs="Arial"/>
          <w:bCs/>
          <w:kern w:val="2"/>
          <w14:ligatures w14:val="standardContextual"/>
        </w:rPr>
        <w:t>sertifikatus, kuriuos galės pateikti pasiūlymo pateikimo metu</w:t>
      </w:r>
      <w:r w:rsidR="00A91E02" w:rsidRPr="00547721">
        <w:rPr>
          <w:rFonts w:ascii="Arial" w:eastAsia="Calibri" w:hAnsi="Arial" w:cs="Arial"/>
          <w:bCs/>
          <w:kern w:val="2"/>
          <w14:ligatures w14:val="standardContextual"/>
        </w:rPr>
        <w:t>?</w:t>
      </w:r>
    </w:p>
    <w:p w14:paraId="0A7B43BB" w14:textId="725DDCF0" w:rsidR="00D21F9D" w:rsidRPr="00547721" w:rsidRDefault="009B42EE" w:rsidP="00EF6C14">
      <w:pPr>
        <w:pStyle w:val="ListParagraph"/>
        <w:numPr>
          <w:ilvl w:val="0"/>
          <w:numId w:val="6"/>
        </w:numPr>
        <w:tabs>
          <w:tab w:val="left" w:pos="4962"/>
        </w:tabs>
        <w:jc w:val="both"/>
        <w:rPr>
          <w:rFonts w:ascii="Arial" w:eastAsia="Calibri" w:hAnsi="Arial" w:cs="Arial"/>
          <w:bCs/>
          <w:kern w:val="2"/>
          <w14:ligatures w14:val="standardContextual"/>
        </w:rPr>
      </w:pPr>
      <w:r w:rsidRPr="000867FC">
        <w:rPr>
          <w:rFonts w:ascii="Arial" w:eastAsia="Calibri" w:hAnsi="Arial" w:cs="Arial"/>
          <w:bCs/>
          <w:kern w:val="2"/>
          <w14:ligatures w14:val="standardContextual"/>
        </w:rPr>
        <w:t xml:space="preserve">ar </w:t>
      </w:r>
      <w:r w:rsidR="0081219E">
        <w:rPr>
          <w:rFonts w:ascii="Arial" w:eastAsia="Calibri" w:hAnsi="Arial" w:cs="Arial"/>
          <w:bCs/>
          <w:kern w:val="2"/>
          <w14:ligatures w14:val="standardContextual"/>
        </w:rPr>
        <w:t xml:space="preserve">pirkimo laimėjimo atveju </w:t>
      </w:r>
      <w:r w:rsidR="009B0632" w:rsidRPr="000867FC">
        <w:rPr>
          <w:rFonts w:ascii="Arial" w:eastAsia="Calibri" w:hAnsi="Arial" w:cs="Arial"/>
          <w:bCs/>
          <w:kern w:val="2"/>
          <w14:ligatures w14:val="standardContextual"/>
        </w:rPr>
        <w:t>sistema bus gaminama</w:t>
      </w:r>
      <w:r w:rsidRPr="000867FC">
        <w:rPr>
          <w:rFonts w:ascii="Arial" w:eastAsia="Calibri" w:hAnsi="Arial" w:cs="Arial"/>
          <w:bCs/>
          <w:kern w:val="2"/>
          <w14:ligatures w14:val="standardContextual"/>
        </w:rPr>
        <w:t xml:space="preserve"> </w:t>
      </w:r>
      <w:r w:rsidR="009B0632" w:rsidRPr="000867FC">
        <w:rPr>
          <w:rFonts w:ascii="Arial" w:eastAsia="Calibri" w:hAnsi="Arial" w:cs="Arial"/>
          <w:bCs/>
          <w:kern w:val="2"/>
          <w14:ligatures w14:val="standardContextual"/>
        </w:rPr>
        <w:t xml:space="preserve">ir </w:t>
      </w:r>
      <w:r w:rsidR="00E11DF4" w:rsidRPr="000867FC">
        <w:rPr>
          <w:rFonts w:ascii="Arial" w:eastAsia="Calibri" w:hAnsi="Arial" w:cs="Arial"/>
          <w:bCs/>
          <w:kern w:val="2"/>
          <w14:ligatures w14:val="standardContextual"/>
        </w:rPr>
        <w:t xml:space="preserve">CE ženklinimo sertifikatai </w:t>
      </w:r>
      <w:r w:rsidR="009B0632" w:rsidRPr="000867FC">
        <w:rPr>
          <w:rFonts w:ascii="Arial" w:eastAsia="Calibri" w:hAnsi="Arial" w:cs="Arial"/>
          <w:bCs/>
          <w:kern w:val="2"/>
          <w14:ligatures w14:val="standardContextual"/>
        </w:rPr>
        <w:t xml:space="preserve">galės būti pateikti tik </w:t>
      </w:r>
      <w:r w:rsidR="00373D9B" w:rsidRPr="000867FC">
        <w:rPr>
          <w:rFonts w:ascii="Arial" w:eastAsia="Calibri" w:hAnsi="Arial" w:cs="Arial"/>
          <w:bCs/>
          <w:kern w:val="2"/>
          <w14:ligatures w14:val="standardContextual"/>
        </w:rPr>
        <w:t xml:space="preserve">su </w:t>
      </w:r>
      <w:r w:rsidR="009B0632" w:rsidRPr="000867FC">
        <w:rPr>
          <w:rFonts w:ascii="Arial" w:eastAsia="Calibri" w:hAnsi="Arial" w:cs="Arial"/>
          <w:bCs/>
          <w:kern w:val="2"/>
          <w14:ligatures w14:val="standardContextual"/>
        </w:rPr>
        <w:t>sistem</w:t>
      </w:r>
      <w:r w:rsidR="00373D9B" w:rsidRPr="000867FC">
        <w:rPr>
          <w:rFonts w:ascii="Arial" w:eastAsia="Calibri" w:hAnsi="Arial" w:cs="Arial"/>
          <w:bCs/>
          <w:kern w:val="2"/>
          <w14:ligatures w14:val="standardContextual"/>
        </w:rPr>
        <w:t>a sutarties vykdymo metu</w:t>
      </w:r>
      <w:r w:rsidR="00D21F9D" w:rsidRPr="00547721">
        <w:rPr>
          <w:rFonts w:ascii="Arial" w:eastAsia="Calibri" w:hAnsi="Arial" w:cs="Arial"/>
          <w:bCs/>
          <w:kern w:val="2"/>
          <w14:ligatures w14:val="standardContextual"/>
        </w:rPr>
        <w:t>?</w:t>
      </w:r>
    </w:p>
    <w:p w14:paraId="40628140" w14:textId="0AA12322" w:rsidR="001268FE" w:rsidRPr="000867FC" w:rsidRDefault="00725BBC" w:rsidP="000867FC">
      <w:pPr>
        <w:pStyle w:val="ListParagraph"/>
        <w:numPr>
          <w:ilvl w:val="0"/>
          <w:numId w:val="6"/>
        </w:numPr>
        <w:tabs>
          <w:tab w:val="left" w:pos="4962"/>
        </w:tabs>
        <w:jc w:val="both"/>
        <w:rPr>
          <w:rFonts w:ascii="Arial" w:eastAsia="Calibri" w:hAnsi="Arial" w:cs="Arial"/>
          <w:bCs/>
          <w:kern w:val="2"/>
          <w14:ligatures w14:val="standardContextual"/>
        </w:rPr>
      </w:pPr>
      <w:r>
        <w:rPr>
          <w:rFonts w:ascii="Arial" w:eastAsia="Calibri" w:hAnsi="Arial" w:cs="Arial"/>
          <w:bCs/>
          <w:kern w:val="2"/>
          <w14:ligatures w14:val="standardContextual"/>
        </w:rPr>
        <w:t xml:space="preserve">pagal poreikį, </w:t>
      </w:r>
      <w:r w:rsidR="00D21F9D" w:rsidRPr="00547721">
        <w:rPr>
          <w:rFonts w:ascii="Arial" w:eastAsia="Calibri" w:hAnsi="Arial" w:cs="Arial"/>
          <w:bCs/>
          <w:kern w:val="2"/>
          <w14:ligatures w14:val="standardContextual"/>
        </w:rPr>
        <w:t>nurody</w:t>
      </w:r>
      <w:r>
        <w:rPr>
          <w:rFonts w:ascii="Arial" w:eastAsia="Calibri" w:hAnsi="Arial" w:cs="Arial"/>
          <w:bCs/>
          <w:kern w:val="2"/>
          <w14:ligatures w14:val="standardContextual"/>
        </w:rPr>
        <w:t>kite</w:t>
      </w:r>
      <w:r w:rsidR="0094292D" w:rsidRPr="000867FC">
        <w:rPr>
          <w:rFonts w:ascii="Arial" w:eastAsia="Calibri" w:hAnsi="Arial" w:cs="Arial"/>
          <w:bCs/>
          <w:kern w:val="2"/>
          <w14:ligatures w14:val="standardContextual"/>
        </w:rPr>
        <w:t xml:space="preserve"> kitas </w:t>
      </w:r>
      <w:r>
        <w:rPr>
          <w:rFonts w:ascii="Arial" w:eastAsia="Calibri" w:hAnsi="Arial" w:cs="Arial"/>
          <w:bCs/>
          <w:kern w:val="2"/>
          <w14:ligatures w14:val="standardContextual"/>
        </w:rPr>
        <w:t xml:space="preserve">svarbias </w:t>
      </w:r>
      <w:r w:rsidR="0094292D" w:rsidRPr="000867FC">
        <w:rPr>
          <w:rFonts w:ascii="Arial" w:eastAsia="Calibri" w:hAnsi="Arial" w:cs="Arial"/>
          <w:bCs/>
          <w:kern w:val="2"/>
          <w14:ligatures w14:val="standardContextual"/>
        </w:rPr>
        <w:t>aplinkybes</w:t>
      </w:r>
      <w:r w:rsidR="00AB5711" w:rsidRPr="000867FC">
        <w:rPr>
          <w:rFonts w:ascii="Arial" w:eastAsia="Calibri" w:hAnsi="Arial" w:cs="Arial"/>
          <w:bCs/>
          <w:kern w:val="2"/>
          <w14:ligatures w14:val="standardContextual"/>
        </w:rPr>
        <w:t xml:space="preserve">, turinčias įtakos </w:t>
      </w:r>
      <w:r w:rsidR="00D21F9D" w:rsidRPr="00547721">
        <w:rPr>
          <w:rFonts w:ascii="Arial" w:eastAsia="Calibri" w:hAnsi="Arial" w:cs="Arial"/>
          <w:bCs/>
          <w:kern w:val="2"/>
          <w14:ligatures w14:val="standardContextual"/>
        </w:rPr>
        <w:t>CE ženklinimo</w:t>
      </w:r>
      <w:r w:rsidR="00D21F9D" w:rsidRPr="000867FC">
        <w:rPr>
          <w:rFonts w:ascii="Arial" w:eastAsia="Calibri" w:hAnsi="Arial" w:cs="Arial"/>
          <w:bCs/>
          <w:kern w:val="2"/>
          <w14:ligatures w14:val="standardContextual"/>
        </w:rPr>
        <w:t xml:space="preserve"> </w:t>
      </w:r>
      <w:r w:rsidR="00AB5711" w:rsidRPr="000867FC">
        <w:rPr>
          <w:rFonts w:ascii="Arial" w:eastAsia="Calibri" w:hAnsi="Arial" w:cs="Arial"/>
          <w:bCs/>
          <w:kern w:val="2"/>
          <w14:ligatures w14:val="standardContextual"/>
        </w:rPr>
        <w:t>reikalavimų vykdymui</w:t>
      </w:r>
      <w:r w:rsidR="003D777A" w:rsidRPr="000867FC">
        <w:rPr>
          <w:rFonts w:ascii="Arial" w:eastAsia="Calibri" w:hAnsi="Arial" w:cs="Arial"/>
          <w:bCs/>
          <w:kern w:val="2"/>
          <w14:ligatures w14:val="standardContextual"/>
        </w:rPr>
        <w:t>.</w:t>
      </w:r>
    </w:p>
    <w:p w14:paraId="6462086C" w14:textId="7883A908" w:rsidR="001C7F50" w:rsidRPr="00917A60" w:rsidRDefault="00F85AF8" w:rsidP="00025372">
      <w:pPr>
        <w:tabs>
          <w:tab w:val="left" w:pos="4962"/>
        </w:tabs>
        <w:ind w:left="-426"/>
        <w:jc w:val="both"/>
        <w:rPr>
          <w:rFonts w:ascii="Arial" w:eastAsia="Calibri" w:hAnsi="Arial" w:cs="Arial"/>
          <w:bCs/>
          <w:kern w:val="2"/>
          <w14:ligatures w14:val="standardContextual"/>
        </w:rPr>
      </w:pPr>
      <w:r>
        <w:rPr>
          <w:rFonts w:ascii="Arial" w:eastAsia="Calibri" w:hAnsi="Arial" w:cs="Arial"/>
          <w:bCs/>
          <w:kern w:val="2"/>
          <w14:ligatures w14:val="standardContextual"/>
        </w:rPr>
        <w:lastRenderedPageBreak/>
        <w:t>Taip pat t</w:t>
      </w:r>
      <w:r w:rsidR="001C7F50" w:rsidRPr="00917A60">
        <w:rPr>
          <w:rFonts w:ascii="Arial" w:eastAsia="Calibri" w:hAnsi="Arial" w:cs="Arial"/>
          <w:bCs/>
          <w:kern w:val="2"/>
          <w14:ligatures w14:val="standardContextual"/>
        </w:rPr>
        <w:t xml:space="preserve">eikiame apibendrintą informaciją apie </w:t>
      </w:r>
      <w:r w:rsidR="00DE55CD">
        <w:rPr>
          <w:rFonts w:ascii="Arial" w:eastAsia="Calibri" w:hAnsi="Arial" w:cs="Arial"/>
          <w:bCs/>
          <w:kern w:val="2"/>
          <w14:ligatures w14:val="standardContextual"/>
        </w:rPr>
        <w:t>r</w:t>
      </w:r>
      <w:r w:rsidR="001C7F50" w:rsidRPr="00917A60">
        <w:rPr>
          <w:rFonts w:ascii="Arial" w:eastAsia="Calibri" w:hAnsi="Arial" w:cs="Arial"/>
          <w:bCs/>
          <w:kern w:val="2"/>
          <w14:ligatures w14:val="standardContextual"/>
        </w:rPr>
        <w:t xml:space="preserve">inkos konsultacijos </w:t>
      </w:r>
      <w:r w:rsidR="00DE55CD">
        <w:rPr>
          <w:rFonts w:ascii="Arial" w:eastAsia="Calibri" w:hAnsi="Arial" w:cs="Arial"/>
          <w:bCs/>
          <w:kern w:val="2"/>
          <w14:ligatures w14:val="standardContextual"/>
        </w:rPr>
        <w:t>metu gautus klausimus</w:t>
      </w:r>
      <w:r w:rsidR="00737669">
        <w:rPr>
          <w:rFonts w:ascii="Arial" w:eastAsia="Calibri" w:hAnsi="Arial" w:cs="Arial"/>
          <w:bCs/>
          <w:kern w:val="2"/>
          <w14:ligatures w14:val="standardContextual"/>
        </w:rPr>
        <w:t xml:space="preserve"> </w:t>
      </w:r>
      <w:r w:rsidR="00DE55CD">
        <w:rPr>
          <w:rFonts w:ascii="Arial" w:eastAsia="Calibri" w:hAnsi="Arial" w:cs="Arial"/>
          <w:bCs/>
          <w:kern w:val="2"/>
          <w14:ligatures w14:val="standardContextual"/>
        </w:rPr>
        <w:t>/</w:t>
      </w:r>
      <w:r w:rsidR="00737669">
        <w:rPr>
          <w:rFonts w:ascii="Arial" w:eastAsia="Calibri" w:hAnsi="Arial" w:cs="Arial"/>
          <w:bCs/>
          <w:kern w:val="2"/>
          <w14:ligatures w14:val="standardContextual"/>
        </w:rPr>
        <w:t xml:space="preserve"> </w:t>
      </w:r>
      <w:r w:rsidR="00DE55CD">
        <w:rPr>
          <w:rFonts w:ascii="Arial" w:eastAsia="Calibri" w:hAnsi="Arial" w:cs="Arial"/>
          <w:bCs/>
          <w:kern w:val="2"/>
          <w14:ligatures w14:val="standardContextual"/>
        </w:rPr>
        <w:t xml:space="preserve">pastebėjimus. </w:t>
      </w:r>
      <w:r w:rsidR="00250CEF">
        <w:rPr>
          <w:rFonts w:ascii="Arial" w:eastAsia="Calibri" w:hAnsi="Arial" w:cs="Arial"/>
          <w:bCs/>
          <w:kern w:val="2"/>
          <w14:ligatures w14:val="standardContextual"/>
        </w:rPr>
        <w:t xml:space="preserve">Jei turite </w:t>
      </w:r>
      <w:r w:rsidR="00737669">
        <w:rPr>
          <w:rFonts w:ascii="Arial" w:eastAsia="Calibri" w:hAnsi="Arial" w:cs="Arial"/>
          <w:bCs/>
          <w:kern w:val="2"/>
          <w14:ligatures w14:val="standardContextual"/>
        </w:rPr>
        <w:t xml:space="preserve">dar papildomų </w:t>
      </w:r>
      <w:r w:rsidR="00250CEF">
        <w:rPr>
          <w:rFonts w:ascii="Arial" w:eastAsia="Calibri" w:hAnsi="Arial" w:cs="Arial"/>
          <w:bCs/>
          <w:kern w:val="2"/>
          <w14:ligatures w14:val="standardContextual"/>
        </w:rPr>
        <w:t xml:space="preserve">pastebėjimų dėl pateikiamų atsakymų, maloniai prašome juos pateikti </w:t>
      </w:r>
      <w:r w:rsidR="00C413A7">
        <w:rPr>
          <w:rFonts w:ascii="Arial" w:eastAsia="Calibri" w:hAnsi="Arial" w:cs="Arial"/>
          <w:bCs/>
          <w:kern w:val="2"/>
          <w14:ligatures w14:val="standardContextual"/>
        </w:rPr>
        <w:t xml:space="preserve">raštu </w:t>
      </w:r>
      <w:r w:rsidR="00250CEF" w:rsidRPr="00250CEF">
        <w:rPr>
          <w:rFonts w:ascii="Arial" w:eastAsia="Calibri" w:hAnsi="Arial" w:cs="Arial"/>
          <w:bCs/>
          <w:kern w:val="2"/>
          <w14:ligatures w14:val="standardContextual"/>
        </w:rPr>
        <w:t xml:space="preserve">ne vėliau kaip per </w:t>
      </w:r>
      <w:r w:rsidR="00F4135C">
        <w:rPr>
          <w:rFonts w:ascii="Arial" w:eastAsia="Calibri" w:hAnsi="Arial" w:cs="Arial"/>
          <w:bCs/>
          <w:kern w:val="2"/>
          <w14:ligatures w14:val="standardContextual"/>
        </w:rPr>
        <w:t>3</w:t>
      </w:r>
      <w:r w:rsidR="00250CEF" w:rsidRPr="00250CEF">
        <w:rPr>
          <w:rFonts w:ascii="Arial" w:eastAsia="Calibri" w:hAnsi="Arial" w:cs="Arial"/>
          <w:bCs/>
          <w:kern w:val="2"/>
          <w14:ligatures w14:val="standardContextual"/>
        </w:rPr>
        <w:t xml:space="preserve"> darbo dienas nuo šio pranešimo išsiuntimo</w:t>
      </w:r>
      <w:r w:rsidR="00DD7A10">
        <w:rPr>
          <w:rFonts w:ascii="Arial" w:eastAsia="Calibri" w:hAnsi="Arial" w:cs="Arial"/>
          <w:bCs/>
          <w:kern w:val="2"/>
          <w14:ligatures w14:val="standardContextual"/>
        </w:rPr>
        <w:t>.</w:t>
      </w:r>
    </w:p>
    <w:tbl>
      <w:tblPr>
        <w:tblStyle w:val="TableGrid"/>
        <w:tblW w:w="14596" w:type="dxa"/>
        <w:jc w:val="center"/>
        <w:tblLook w:val="04A0" w:firstRow="1" w:lastRow="0" w:firstColumn="1" w:lastColumn="0" w:noHBand="0" w:noVBand="1"/>
      </w:tblPr>
      <w:tblGrid>
        <w:gridCol w:w="6237"/>
        <w:gridCol w:w="8359"/>
      </w:tblGrid>
      <w:tr w:rsidR="00DB56AA" w:rsidRPr="006C3D27" w14:paraId="72BE4AFF" w14:textId="77777777" w:rsidTr="00025372">
        <w:trPr>
          <w:jc w:val="center"/>
        </w:trPr>
        <w:tc>
          <w:tcPr>
            <w:tcW w:w="6237" w:type="dxa"/>
            <w:shd w:val="clear" w:color="auto" w:fill="D9D9D9" w:themeFill="background1" w:themeFillShade="D9"/>
          </w:tcPr>
          <w:p w14:paraId="50C4800D" w14:textId="7C176F26" w:rsidR="00DB56AA" w:rsidRPr="00E11DF4" w:rsidRDefault="000C74DC" w:rsidP="00B80E3B">
            <w:pPr>
              <w:spacing w:after="120"/>
              <w:jc w:val="center"/>
              <w:rPr>
                <w:rFonts w:ascii="Arial" w:hAnsi="Arial" w:cs="Arial"/>
                <w:b/>
                <w:bCs/>
              </w:rPr>
            </w:pPr>
            <w:r w:rsidRPr="00E11DF4">
              <w:rPr>
                <w:rFonts w:ascii="Arial" w:hAnsi="Arial" w:cs="Arial"/>
                <w:b/>
                <w:bCs/>
              </w:rPr>
              <w:t>P</w:t>
            </w:r>
            <w:r w:rsidR="00DB56AA" w:rsidRPr="00E11DF4">
              <w:rPr>
                <w:rFonts w:ascii="Arial" w:hAnsi="Arial" w:cs="Arial"/>
                <w:b/>
                <w:bCs/>
              </w:rPr>
              <w:t>astabos</w:t>
            </w:r>
          </w:p>
        </w:tc>
        <w:tc>
          <w:tcPr>
            <w:tcW w:w="8359" w:type="dxa"/>
            <w:shd w:val="clear" w:color="auto" w:fill="D9D9D9" w:themeFill="background1" w:themeFillShade="D9"/>
          </w:tcPr>
          <w:p w14:paraId="32AEB0B8" w14:textId="27001321" w:rsidR="00DB56AA" w:rsidRPr="00E11DF4" w:rsidRDefault="00DB56AA" w:rsidP="00F27C7D">
            <w:pPr>
              <w:spacing w:after="120"/>
              <w:jc w:val="center"/>
              <w:rPr>
                <w:rFonts w:ascii="Arial" w:hAnsi="Arial" w:cs="Arial"/>
                <w:b/>
                <w:bCs/>
              </w:rPr>
            </w:pPr>
            <w:r w:rsidRPr="00E11DF4">
              <w:rPr>
                <w:rFonts w:ascii="Arial" w:hAnsi="Arial" w:cs="Arial"/>
                <w:b/>
                <w:bCs/>
              </w:rPr>
              <w:t>Apibendrinimas</w:t>
            </w:r>
          </w:p>
        </w:tc>
      </w:tr>
      <w:tr w:rsidR="00DB56AA" w:rsidRPr="006C3D27" w14:paraId="068909F2" w14:textId="5327BB2E" w:rsidTr="00025372">
        <w:trPr>
          <w:jc w:val="center"/>
        </w:trPr>
        <w:tc>
          <w:tcPr>
            <w:tcW w:w="6237" w:type="dxa"/>
          </w:tcPr>
          <w:p w14:paraId="13148223" w14:textId="52E0BF10" w:rsidR="00DB56AA" w:rsidRPr="00917A60" w:rsidRDefault="004858A8" w:rsidP="008B473E">
            <w:pPr>
              <w:spacing w:after="120"/>
              <w:rPr>
                <w:rFonts w:ascii="Arial" w:hAnsi="Arial" w:cs="Arial"/>
              </w:rPr>
            </w:pPr>
            <w:r>
              <w:rPr>
                <w:rFonts w:ascii="Arial" w:hAnsi="Arial" w:cs="Arial"/>
              </w:rPr>
              <w:t xml:space="preserve">Bendrosios pastabos </w:t>
            </w:r>
          </w:p>
        </w:tc>
        <w:tc>
          <w:tcPr>
            <w:tcW w:w="8359" w:type="dxa"/>
          </w:tcPr>
          <w:p w14:paraId="3644A622" w14:textId="497AB901" w:rsidR="00DB56AA" w:rsidRPr="00917A60" w:rsidRDefault="000C74DC">
            <w:pPr>
              <w:spacing w:after="120"/>
              <w:jc w:val="both"/>
              <w:rPr>
                <w:rFonts w:ascii="Arial" w:hAnsi="Arial" w:cs="Arial"/>
              </w:rPr>
            </w:pPr>
            <w:r w:rsidRPr="000C74DC">
              <w:rPr>
                <w:rFonts w:ascii="Arial" w:hAnsi="Arial" w:cs="Arial"/>
              </w:rPr>
              <w:t>Dėkojame už siūlymus, juos įvertinsime ruošdamiesi pirkimui</w:t>
            </w:r>
            <w:r w:rsidR="004B61C3">
              <w:rPr>
                <w:rFonts w:ascii="Arial" w:hAnsi="Arial" w:cs="Arial"/>
              </w:rPr>
              <w:t>.</w:t>
            </w:r>
          </w:p>
        </w:tc>
      </w:tr>
      <w:tr w:rsidR="00DB56AA" w:rsidRPr="006C3D27" w14:paraId="3AD1BCA4" w14:textId="73C7AAF9" w:rsidTr="00025372">
        <w:trPr>
          <w:jc w:val="center"/>
        </w:trPr>
        <w:tc>
          <w:tcPr>
            <w:tcW w:w="6237" w:type="dxa"/>
            <w:shd w:val="clear" w:color="auto" w:fill="D9D9D9" w:themeFill="background1" w:themeFillShade="D9"/>
          </w:tcPr>
          <w:p w14:paraId="7741B555" w14:textId="6B4CB325" w:rsidR="00DB56AA" w:rsidRPr="00917A60" w:rsidRDefault="00517C40" w:rsidP="00DE6E11">
            <w:pPr>
              <w:spacing w:after="120"/>
              <w:rPr>
                <w:rFonts w:ascii="Arial" w:hAnsi="Arial" w:cs="Arial"/>
                <w:b/>
                <w:bCs/>
              </w:rPr>
            </w:pPr>
            <w:r>
              <w:rPr>
                <w:rFonts w:ascii="Arial" w:hAnsi="Arial" w:cs="Arial"/>
                <w:b/>
                <w:bCs/>
              </w:rPr>
              <w:t>Techninės s</w:t>
            </w:r>
            <w:r w:rsidR="00DB56AA" w:rsidRPr="00917A60">
              <w:rPr>
                <w:rFonts w:ascii="Arial" w:hAnsi="Arial" w:cs="Arial"/>
                <w:b/>
                <w:bCs/>
              </w:rPr>
              <w:t>pecifikacijo</w:t>
            </w:r>
            <w:r w:rsidR="004E5B7F">
              <w:rPr>
                <w:rFonts w:ascii="Arial" w:hAnsi="Arial" w:cs="Arial"/>
                <w:b/>
                <w:bCs/>
              </w:rPr>
              <w:t>s</w:t>
            </w:r>
            <w:r>
              <w:rPr>
                <w:rFonts w:ascii="Arial" w:hAnsi="Arial" w:cs="Arial"/>
                <w:b/>
                <w:bCs/>
              </w:rPr>
              <w:t xml:space="preserve"> reikalavimai</w:t>
            </w:r>
          </w:p>
        </w:tc>
        <w:tc>
          <w:tcPr>
            <w:tcW w:w="8359" w:type="dxa"/>
            <w:shd w:val="clear" w:color="auto" w:fill="D9D9D9" w:themeFill="background1" w:themeFillShade="D9"/>
          </w:tcPr>
          <w:p w14:paraId="4DF70147" w14:textId="17988E2A" w:rsidR="00DB56AA" w:rsidRPr="00917A60" w:rsidRDefault="00DB56AA" w:rsidP="008867EF">
            <w:pPr>
              <w:spacing w:after="120"/>
              <w:jc w:val="center"/>
              <w:rPr>
                <w:rFonts w:ascii="Arial" w:hAnsi="Arial" w:cs="Arial"/>
              </w:rPr>
            </w:pPr>
          </w:p>
        </w:tc>
      </w:tr>
      <w:tr w:rsidR="00DB56AA" w:rsidRPr="006C3D27" w14:paraId="67CC55E0" w14:textId="20FD5BC1" w:rsidTr="00025372">
        <w:trPr>
          <w:jc w:val="center"/>
        </w:trPr>
        <w:tc>
          <w:tcPr>
            <w:tcW w:w="6237" w:type="dxa"/>
          </w:tcPr>
          <w:p w14:paraId="08AD943F" w14:textId="13BA8657" w:rsidR="00DB56AA" w:rsidRPr="00DC4C14" w:rsidRDefault="004858A8" w:rsidP="00507A83">
            <w:pPr>
              <w:pStyle w:val="ListParagraph"/>
              <w:numPr>
                <w:ilvl w:val="0"/>
                <w:numId w:val="4"/>
              </w:numPr>
              <w:spacing w:after="120"/>
              <w:ind w:left="318" w:hanging="284"/>
              <w:jc w:val="both"/>
              <w:rPr>
                <w:rFonts w:ascii="Arial" w:hAnsi="Arial" w:cs="Arial"/>
              </w:rPr>
            </w:pPr>
            <w:r w:rsidRPr="00DC4C14">
              <w:rPr>
                <w:rFonts w:ascii="Arial" w:hAnsi="Arial" w:cs="Arial"/>
              </w:rPr>
              <w:t>TS yra labai ribojanti konkurenciją</w:t>
            </w:r>
            <w:r w:rsidR="00515AFD" w:rsidRPr="00DC4C14">
              <w:rPr>
                <w:rFonts w:ascii="Arial" w:hAnsi="Arial" w:cs="Arial"/>
              </w:rPr>
              <w:t xml:space="preserve"> &lt;...&gt;.</w:t>
            </w:r>
          </w:p>
        </w:tc>
        <w:tc>
          <w:tcPr>
            <w:tcW w:w="8359" w:type="dxa"/>
          </w:tcPr>
          <w:p w14:paraId="32B5AC44" w14:textId="458DE357" w:rsidR="00DB56AA" w:rsidRPr="00DC4C14" w:rsidRDefault="00C43CF8" w:rsidP="00DC4C14">
            <w:pPr>
              <w:pStyle w:val="ListParagraph"/>
              <w:numPr>
                <w:ilvl w:val="0"/>
                <w:numId w:val="5"/>
              </w:numPr>
              <w:spacing w:after="120"/>
              <w:jc w:val="both"/>
              <w:rPr>
                <w:rFonts w:ascii="Arial" w:hAnsi="Arial" w:cs="Arial"/>
              </w:rPr>
            </w:pPr>
            <w:r w:rsidRPr="00DC4C14">
              <w:rPr>
                <w:rFonts w:ascii="Arial" w:hAnsi="Arial" w:cs="Arial"/>
                <w:color w:val="000000" w:themeColor="text1"/>
              </w:rPr>
              <w:t xml:space="preserve">Perkama </w:t>
            </w:r>
            <w:r w:rsidR="006C3C1F" w:rsidRPr="00DC4C14">
              <w:rPr>
                <w:rFonts w:ascii="Arial" w:hAnsi="Arial" w:cs="Arial"/>
                <w:color w:val="000000" w:themeColor="text1"/>
              </w:rPr>
              <w:t xml:space="preserve">skysčių chromatografijos sistema </w:t>
            </w:r>
            <w:r w:rsidRPr="00DC4C14">
              <w:rPr>
                <w:rFonts w:ascii="Arial" w:hAnsi="Arial" w:cs="Arial"/>
                <w:color w:val="000000" w:themeColor="text1"/>
              </w:rPr>
              <w:t>orientuota į galimybes, vykdant mokslinę veiklą, pasinaudoti pažangiausių technologijų teikiamais privalumais</w:t>
            </w:r>
            <w:r w:rsidR="00956F0A" w:rsidRPr="00DC4C14">
              <w:rPr>
                <w:rFonts w:ascii="Arial" w:hAnsi="Arial" w:cs="Arial"/>
                <w:color w:val="000000" w:themeColor="text1"/>
              </w:rPr>
              <w:t xml:space="preserve">, todėl ir </w:t>
            </w:r>
            <w:r w:rsidR="006B4299" w:rsidRPr="00DC4C14">
              <w:rPr>
                <w:rFonts w:ascii="Arial" w:hAnsi="Arial" w:cs="Arial"/>
                <w:color w:val="000000" w:themeColor="text1"/>
              </w:rPr>
              <w:t xml:space="preserve">perkamo objekto </w:t>
            </w:r>
            <w:r w:rsidR="00CA46D3" w:rsidRPr="00DC4C14">
              <w:rPr>
                <w:rFonts w:ascii="Arial" w:hAnsi="Arial" w:cs="Arial"/>
                <w:color w:val="000000" w:themeColor="text1"/>
              </w:rPr>
              <w:t>parametrai</w:t>
            </w:r>
            <w:r w:rsidR="006B4299" w:rsidRPr="00DC4C14">
              <w:rPr>
                <w:rFonts w:ascii="Arial" w:hAnsi="Arial" w:cs="Arial"/>
                <w:color w:val="000000" w:themeColor="text1"/>
              </w:rPr>
              <w:t xml:space="preserve"> turi atitikti </w:t>
            </w:r>
            <w:r w:rsidR="00956F0A" w:rsidRPr="00DC4C14">
              <w:rPr>
                <w:rFonts w:ascii="Arial" w:hAnsi="Arial" w:cs="Arial"/>
                <w:color w:val="000000" w:themeColor="text1"/>
              </w:rPr>
              <w:t>kokybišk</w:t>
            </w:r>
            <w:r w:rsidR="00CD216A" w:rsidRPr="00DC4C14">
              <w:rPr>
                <w:rFonts w:ascii="Arial" w:hAnsi="Arial" w:cs="Arial"/>
                <w:color w:val="000000" w:themeColor="text1"/>
              </w:rPr>
              <w:t>os</w:t>
            </w:r>
            <w:r w:rsidR="00956F0A" w:rsidRPr="00DC4C14">
              <w:rPr>
                <w:rFonts w:ascii="Arial" w:hAnsi="Arial" w:cs="Arial"/>
                <w:color w:val="000000" w:themeColor="text1"/>
              </w:rPr>
              <w:t xml:space="preserve"> ir pažangi</w:t>
            </w:r>
            <w:r w:rsidR="00CD216A" w:rsidRPr="00DC4C14">
              <w:rPr>
                <w:rFonts w:ascii="Arial" w:hAnsi="Arial" w:cs="Arial"/>
                <w:color w:val="000000" w:themeColor="text1"/>
              </w:rPr>
              <w:t>os</w:t>
            </w:r>
            <w:r w:rsidR="00956F0A" w:rsidRPr="00DC4C14">
              <w:rPr>
                <w:rFonts w:ascii="Arial" w:hAnsi="Arial" w:cs="Arial"/>
                <w:color w:val="000000" w:themeColor="text1"/>
              </w:rPr>
              <w:t xml:space="preserve"> tokio tipo įrang</w:t>
            </w:r>
            <w:r w:rsidR="00CD216A" w:rsidRPr="00DC4C14">
              <w:rPr>
                <w:rFonts w:ascii="Arial" w:hAnsi="Arial" w:cs="Arial"/>
                <w:color w:val="000000" w:themeColor="text1"/>
              </w:rPr>
              <w:t xml:space="preserve">os </w:t>
            </w:r>
            <w:r w:rsidR="006C3C1F" w:rsidRPr="00DC4C14">
              <w:rPr>
                <w:rFonts w:ascii="Arial" w:hAnsi="Arial" w:cs="Arial"/>
                <w:color w:val="000000" w:themeColor="text1"/>
              </w:rPr>
              <w:t>s</w:t>
            </w:r>
            <w:r w:rsidR="00CA46D3" w:rsidRPr="00DC4C14">
              <w:rPr>
                <w:rFonts w:ascii="Arial" w:hAnsi="Arial" w:cs="Arial"/>
                <w:color w:val="000000" w:themeColor="text1"/>
              </w:rPr>
              <w:t>avybes</w:t>
            </w:r>
            <w:r w:rsidR="00CD216A" w:rsidRPr="00DC4C14">
              <w:rPr>
                <w:rFonts w:ascii="Arial" w:hAnsi="Arial" w:cs="Arial"/>
                <w:color w:val="000000" w:themeColor="text1"/>
              </w:rPr>
              <w:t>.</w:t>
            </w:r>
            <w:r w:rsidRPr="00DC4C14">
              <w:rPr>
                <w:rFonts w:ascii="Arial" w:hAnsi="Arial" w:cs="Arial"/>
                <w:color w:val="000000" w:themeColor="text1"/>
              </w:rPr>
              <w:t xml:space="preserve"> </w:t>
            </w:r>
            <w:r w:rsidR="003C202F" w:rsidRPr="00DC4C14">
              <w:rPr>
                <w:rFonts w:ascii="Arial" w:hAnsi="Arial" w:cs="Arial"/>
                <w:color w:val="000000" w:themeColor="text1"/>
              </w:rPr>
              <w:t>Taip pat p</w:t>
            </w:r>
            <w:r w:rsidR="00071809" w:rsidRPr="00DC4C14">
              <w:rPr>
                <w:rFonts w:ascii="Arial" w:hAnsi="Arial" w:cs="Arial"/>
                <w:color w:val="000000" w:themeColor="text1"/>
              </w:rPr>
              <w:t>erkam</w:t>
            </w:r>
            <w:r w:rsidR="005A6716" w:rsidRPr="00DC4C14">
              <w:rPr>
                <w:rFonts w:ascii="Arial" w:hAnsi="Arial" w:cs="Arial"/>
                <w:color w:val="000000" w:themeColor="text1"/>
              </w:rPr>
              <w:t>a</w:t>
            </w:r>
            <w:r w:rsidR="00071809" w:rsidRPr="00DC4C14">
              <w:rPr>
                <w:rFonts w:ascii="Arial" w:hAnsi="Arial" w:cs="Arial"/>
                <w:color w:val="000000" w:themeColor="text1"/>
              </w:rPr>
              <w:t xml:space="preserve"> </w:t>
            </w:r>
            <w:r w:rsidR="00BE7A95" w:rsidRPr="00DC4C14">
              <w:rPr>
                <w:rFonts w:ascii="Arial" w:hAnsi="Arial" w:cs="Arial"/>
                <w:color w:val="000000" w:themeColor="text1"/>
              </w:rPr>
              <w:t>sistema</w:t>
            </w:r>
            <w:r w:rsidR="00071809" w:rsidRPr="00DC4C14">
              <w:rPr>
                <w:rFonts w:ascii="Arial" w:hAnsi="Arial" w:cs="Arial"/>
                <w:color w:val="000000" w:themeColor="text1"/>
              </w:rPr>
              <w:t xml:space="preserve"> bus integruojam</w:t>
            </w:r>
            <w:r w:rsidR="00BE7A95" w:rsidRPr="00DC4C14">
              <w:rPr>
                <w:rFonts w:ascii="Arial" w:hAnsi="Arial" w:cs="Arial"/>
                <w:color w:val="000000" w:themeColor="text1"/>
              </w:rPr>
              <w:t>a</w:t>
            </w:r>
            <w:r w:rsidR="00071809" w:rsidRPr="00DC4C14">
              <w:rPr>
                <w:rFonts w:ascii="Arial" w:hAnsi="Arial" w:cs="Arial"/>
                <w:color w:val="000000" w:themeColor="text1"/>
              </w:rPr>
              <w:t xml:space="preserve">, kaip kompleksinė VU turimos matavimo prietaisų sistemos dalis, todėl siekiant užtikrinti tinkamą bendros sistemos veikimą turi būti užtikrinamas </w:t>
            </w:r>
            <w:r w:rsidR="001D5896" w:rsidRPr="00DC4C14">
              <w:rPr>
                <w:rFonts w:ascii="Arial" w:hAnsi="Arial" w:cs="Arial"/>
                <w:color w:val="000000" w:themeColor="text1"/>
              </w:rPr>
              <w:t>sistemos</w:t>
            </w:r>
            <w:r w:rsidR="00071809" w:rsidRPr="00DC4C14">
              <w:rPr>
                <w:rFonts w:ascii="Arial" w:hAnsi="Arial" w:cs="Arial"/>
                <w:color w:val="000000" w:themeColor="text1"/>
              </w:rPr>
              <w:t xml:space="preserve"> integralumas (kaip nurodyta techninėje specifikacijoje) su VU esamos sistemos įranga. </w:t>
            </w:r>
          </w:p>
        </w:tc>
      </w:tr>
      <w:tr w:rsidR="00DB56AA" w:rsidRPr="006C3D27" w14:paraId="656112BF" w14:textId="7E9E8C88" w:rsidTr="00025372">
        <w:trPr>
          <w:jc w:val="center"/>
        </w:trPr>
        <w:tc>
          <w:tcPr>
            <w:tcW w:w="6237" w:type="dxa"/>
          </w:tcPr>
          <w:p w14:paraId="3D8F9049" w14:textId="1292966A" w:rsidR="00E767D9" w:rsidRPr="00E767D9" w:rsidRDefault="00DC4C14" w:rsidP="00E767D9">
            <w:pPr>
              <w:spacing w:after="120"/>
              <w:jc w:val="both"/>
              <w:rPr>
                <w:rFonts w:ascii="Arial" w:hAnsi="Arial" w:cs="Arial"/>
              </w:rPr>
            </w:pPr>
            <w:r>
              <w:rPr>
                <w:rFonts w:ascii="Arial" w:hAnsi="Arial" w:cs="Arial"/>
              </w:rPr>
              <w:t xml:space="preserve">2. </w:t>
            </w:r>
            <w:r w:rsidR="00E767D9" w:rsidRPr="00E767D9">
              <w:rPr>
                <w:rFonts w:ascii="Arial" w:hAnsi="Arial" w:cs="Arial"/>
              </w:rPr>
              <w:t>Kadangi techniniai reikalavimai negali būti vertinami išskaidant pavieniui, o reikia vertinti jų visumą, šie punktai sudaro ribojimus pateikti analogiškų sistemų pasiūlymus:</w:t>
            </w:r>
          </w:p>
          <w:p w14:paraId="3D5B91C0" w14:textId="35B60E7B" w:rsidR="00E767D9" w:rsidRPr="00E767D9" w:rsidRDefault="00E767D9" w:rsidP="00E767D9">
            <w:pPr>
              <w:spacing w:after="120"/>
              <w:jc w:val="both"/>
              <w:rPr>
                <w:rFonts w:ascii="Arial" w:hAnsi="Arial" w:cs="Arial"/>
              </w:rPr>
            </w:pPr>
            <w:r w:rsidRPr="00E767D9">
              <w:rPr>
                <w:rFonts w:ascii="Arial" w:hAnsi="Arial" w:cs="Arial"/>
              </w:rPr>
              <w:t>a)</w:t>
            </w:r>
            <w:r w:rsidRPr="00E767D9">
              <w:rPr>
                <w:rFonts w:ascii="Arial" w:hAnsi="Arial" w:cs="Arial"/>
              </w:rPr>
              <w:tab/>
              <w:t>1.1.2 ir 1.1.5. punktai yra glaudžiai susiję ir jų visumoje tik viena sistema gali tai</w:t>
            </w:r>
            <w:r w:rsidR="00D41C0B">
              <w:rPr>
                <w:rFonts w:ascii="Arial" w:hAnsi="Arial" w:cs="Arial"/>
              </w:rPr>
              <w:t xml:space="preserve"> </w:t>
            </w:r>
            <w:r w:rsidRPr="00E767D9">
              <w:rPr>
                <w:rFonts w:ascii="Arial" w:hAnsi="Arial" w:cs="Arial"/>
              </w:rPr>
              <w:t>įgyvendinti. Galima būtų sumažinti reikalavimus 1.1.5. punktui slėgius pakeičiant į 1000 bar srautui iki 2 mL/min ir 700 bar srautui iki 5 mL/min, kas iš esmės neapribotų galimų tyrimų visumos, bet padidintų konkurencingumą.</w:t>
            </w:r>
          </w:p>
          <w:p w14:paraId="7CF3470A" w14:textId="77777777" w:rsidR="00E767D9" w:rsidRPr="00E767D9" w:rsidRDefault="00E767D9" w:rsidP="00E767D9">
            <w:pPr>
              <w:spacing w:after="120"/>
              <w:jc w:val="both"/>
              <w:rPr>
                <w:rFonts w:ascii="Arial" w:hAnsi="Arial" w:cs="Arial"/>
              </w:rPr>
            </w:pPr>
            <w:r w:rsidRPr="00E767D9">
              <w:rPr>
                <w:rFonts w:ascii="Arial" w:hAnsi="Arial" w:cs="Arial"/>
              </w:rPr>
              <w:t>b)</w:t>
            </w:r>
            <w:r w:rsidRPr="00E767D9">
              <w:rPr>
                <w:rFonts w:ascii="Arial" w:hAnsi="Arial" w:cs="Arial"/>
              </w:rPr>
              <w:tab/>
              <w:t>1.1.13 punktas yra perteklinis reikalavimas, nes nudujinimo modulio kanalo tūris niekaip neduoda techninio privalumo galutiniam vartotojui ar nedaro įtakos tyrimų rezultatui. Kiekvienas gamintojas privalo užtikrinti nudujinimo efektyvumą visame pageidaujamame srauto intervale (nuo 0,001 iki 5 mL/min) tai reiškia, kad nesvarbu koks vidinis tūris, techniškai gamintojas privalo užtikrinti nudujinimo</w:t>
            </w:r>
          </w:p>
          <w:p w14:paraId="1BF9581A" w14:textId="77777777" w:rsidR="00E767D9" w:rsidRPr="00E767D9" w:rsidRDefault="00E767D9" w:rsidP="00E767D9">
            <w:pPr>
              <w:spacing w:after="120"/>
              <w:jc w:val="both"/>
              <w:rPr>
                <w:rFonts w:ascii="Arial" w:hAnsi="Arial" w:cs="Arial"/>
              </w:rPr>
            </w:pPr>
            <w:r w:rsidRPr="00E767D9">
              <w:rPr>
                <w:rFonts w:ascii="Arial" w:hAnsi="Arial" w:cs="Arial"/>
              </w:rPr>
              <w:t xml:space="preserve">efektyvumą, kai kurie gamintojai to net nespecifikuoja dėl šios priežasties. Esant mažesniam nei 1 mL tūriui įmanoma </w:t>
            </w:r>
            <w:r w:rsidRPr="00E767D9">
              <w:rPr>
                <w:rFonts w:ascii="Arial" w:hAnsi="Arial" w:cs="Arial"/>
              </w:rPr>
              <w:lastRenderedPageBreak/>
              <w:t>užtikrinti efektyvų nudujinimą sukuriant gilesnį nudujinimo vakuumą ir efektyviai pašalinant tirpiklyje ištirpusias dujas visame srauto intervale.</w:t>
            </w:r>
          </w:p>
          <w:p w14:paraId="47B58E86" w14:textId="77777777" w:rsidR="00E767D9" w:rsidRPr="00E767D9" w:rsidRDefault="00E767D9" w:rsidP="00E767D9">
            <w:pPr>
              <w:spacing w:after="120"/>
              <w:jc w:val="both"/>
              <w:rPr>
                <w:rFonts w:ascii="Arial" w:hAnsi="Arial" w:cs="Arial"/>
              </w:rPr>
            </w:pPr>
            <w:r w:rsidRPr="00E767D9">
              <w:rPr>
                <w:rFonts w:ascii="Arial" w:hAnsi="Arial" w:cs="Arial"/>
              </w:rPr>
              <w:t>Siūloma keisti į: nudujinami visi eliuento kanalai.</w:t>
            </w:r>
          </w:p>
          <w:p w14:paraId="22A855AC" w14:textId="2E4010EC" w:rsidR="00E767D9" w:rsidRPr="00E767D9" w:rsidRDefault="00E767D9" w:rsidP="00E767D9">
            <w:pPr>
              <w:spacing w:after="120"/>
              <w:jc w:val="both"/>
              <w:rPr>
                <w:rFonts w:ascii="Arial" w:hAnsi="Arial" w:cs="Arial"/>
              </w:rPr>
            </w:pPr>
            <w:r w:rsidRPr="00E767D9">
              <w:rPr>
                <w:rFonts w:ascii="Arial" w:hAnsi="Arial" w:cs="Arial"/>
              </w:rPr>
              <w:t>c)</w:t>
            </w:r>
            <w:r w:rsidRPr="00E767D9">
              <w:rPr>
                <w:rFonts w:ascii="Arial" w:hAnsi="Arial" w:cs="Arial"/>
              </w:rPr>
              <w:tab/>
              <w:t>1.1.15. detaliai aprašytas vienintelio gamintojo Agilent Technologies ISET techninis</w:t>
            </w:r>
            <w:r w:rsidR="00E412D2">
              <w:rPr>
                <w:rFonts w:ascii="Arial" w:hAnsi="Arial" w:cs="Arial"/>
              </w:rPr>
              <w:t xml:space="preserve"> </w:t>
            </w:r>
            <w:r w:rsidRPr="00E767D9">
              <w:rPr>
                <w:rFonts w:ascii="Arial" w:hAnsi="Arial" w:cs="Arial"/>
              </w:rPr>
              <w:t>pranašumas suderinamas su 1290 Infinity III LC sistema</w:t>
            </w:r>
            <w:r w:rsidR="00E412D2">
              <w:rPr>
                <w:rFonts w:ascii="Arial" w:hAnsi="Arial" w:cs="Arial"/>
              </w:rPr>
              <w:t>.</w:t>
            </w:r>
          </w:p>
          <w:p w14:paraId="1843A791" w14:textId="6AD5F92F" w:rsidR="00E767D9" w:rsidRPr="00E767D9" w:rsidRDefault="00E767D9" w:rsidP="00E412D2">
            <w:pPr>
              <w:spacing w:after="120"/>
              <w:jc w:val="both"/>
              <w:rPr>
                <w:rFonts w:ascii="Arial" w:hAnsi="Arial" w:cs="Arial"/>
              </w:rPr>
            </w:pPr>
            <w:r w:rsidRPr="00E767D9">
              <w:rPr>
                <w:rFonts w:ascii="Arial" w:hAnsi="Arial" w:cs="Arial"/>
              </w:rPr>
              <w:t>Techniškai galutiniam vartotojui tai nesuteikia privalumo, nes net naudojant šį sprendimą idealiai atkurti kito gamintojo sistemos analizės nėra įmanoma dėl šių priežasčių: visos sistemos turės skirtingą „negyvą“ sistemos tūrį, dėl skirtingų naudojamų kapiliarų sistemos moduliams sujungti, jei sistema perkama su žemo slėgio maišymo opcija (1.1.4. punktas) ji negalės atkartoti aukšto slėgio maišymo funkcijos. Šios išvardintos priežastys tiesiogiai daro įtaką rezultatų atkartojamumui, dėl šios priežasties nėra įmanoma 100% atkurti kitos sistemos rezultato su pageidajma įranga. Punktas vertinamas kaip perteklinis ir sudarantis konkurenciją pasiūlyti konkurencingą sistemą pilnai gebančią atlikti klienti reikalingas tyrimus.</w:t>
            </w:r>
          </w:p>
          <w:p w14:paraId="7680127B" w14:textId="77777777" w:rsidR="00E767D9" w:rsidRPr="00E767D9" w:rsidRDefault="00E767D9" w:rsidP="00E767D9">
            <w:pPr>
              <w:spacing w:after="120"/>
              <w:jc w:val="both"/>
              <w:rPr>
                <w:rFonts w:ascii="Arial" w:hAnsi="Arial" w:cs="Arial"/>
              </w:rPr>
            </w:pPr>
            <w:r w:rsidRPr="00E767D9">
              <w:rPr>
                <w:rFonts w:ascii="Arial" w:hAnsi="Arial" w:cs="Arial"/>
              </w:rPr>
              <w:t>d)</w:t>
            </w:r>
            <w:r w:rsidRPr="00E767D9">
              <w:rPr>
                <w:rFonts w:ascii="Arial" w:hAnsi="Arial" w:cs="Arial"/>
              </w:rPr>
              <w:tab/>
              <w:t>1.2.1. perteklinis reikalavimas, susijęs su 1.1.5. punktu, siūloma keisti: Automatinė mėginių įvedimo sistema privalo palaikyti ≥1000 bar darbinį slėgį.</w:t>
            </w:r>
          </w:p>
          <w:p w14:paraId="23F42F30" w14:textId="4F891F88" w:rsidR="00E767D9" w:rsidRPr="00E767D9" w:rsidRDefault="00E767D9" w:rsidP="00E767D9">
            <w:pPr>
              <w:spacing w:after="120"/>
              <w:jc w:val="both"/>
              <w:rPr>
                <w:rFonts w:ascii="Arial" w:hAnsi="Arial" w:cs="Arial"/>
              </w:rPr>
            </w:pPr>
            <w:r w:rsidRPr="00E767D9">
              <w:rPr>
                <w:rFonts w:ascii="Arial" w:hAnsi="Arial" w:cs="Arial"/>
              </w:rPr>
              <w:t>e)</w:t>
            </w:r>
            <w:r w:rsidRPr="00E767D9">
              <w:rPr>
                <w:rFonts w:ascii="Arial" w:hAnsi="Arial" w:cs="Arial"/>
              </w:rPr>
              <w:tab/>
              <w:t>1.2.3. Injekcijos preciziškumas, perteklinis reikalavimas išskiriant tik vieno gamintojo techninius pranašumus, rekomenduojama pakeisti į</w:t>
            </w:r>
            <w:r w:rsidR="007D5A21">
              <w:rPr>
                <w:rFonts w:ascii="Arial" w:hAnsi="Arial" w:cs="Arial"/>
              </w:rPr>
              <w:t xml:space="preserve"> </w:t>
            </w:r>
            <w:r w:rsidRPr="00E767D9">
              <w:rPr>
                <w:rFonts w:ascii="Arial" w:hAnsi="Arial" w:cs="Arial"/>
              </w:rPr>
              <w:t>≤0,3% RSD.</w:t>
            </w:r>
            <w:r w:rsidR="007D5A21">
              <w:rPr>
                <w:rFonts w:ascii="Arial" w:hAnsi="Arial" w:cs="Arial"/>
              </w:rPr>
              <w:t xml:space="preserve"> </w:t>
            </w:r>
            <w:r w:rsidRPr="00E767D9">
              <w:rPr>
                <w:rFonts w:ascii="Arial" w:hAnsi="Arial" w:cs="Arial"/>
              </w:rPr>
              <w:t>Labai aiškų visų specifikacijų atitikimą galima rasti: www.agilent.com/cs/library/userma nuals/public/G7167-G5668-G7137- Multisampler-UseMa-en-SD- 29000238.pdf</w:t>
            </w:r>
          </w:p>
          <w:p w14:paraId="69C31296" w14:textId="77777777" w:rsidR="00E767D9" w:rsidRPr="00E767D9" w:rsidRDefault="00E767D9" w:rsidP="00E767D9">
            <w:pPr>
              <w:spacing w:after="120"/>
              <w:jc w:val="both"/>
              <w:rPr>
                <w:rFonts w:ascii="Arial" w:hAnsi="Arial" w:cs="Arial"/>
              </w:rPr>
            </w:pPr>
            <w:r w:rsidRPr="00E767D9">
              <w:rPr>
                <w:rFonts w:ascii="Arial" w:hAnsi="Arial" w:cs="Arial"/>
              </w:rPr>
              <w:t>44-45 puslapiuose.</w:t>
            </w:r>
          </w:p>
          <w:p w14:paraId="042E39F9" w14:textId="07350047" w:rsidR="00E767D9" w:rsidRPr="00E767D9" w:rsidRDefault="00E767D9" w:rsidP="00E767D9">
            <w:pPr>
              <w:spacing w:after="120"/>
              <w:jc w:val="both"/>
              <w:rPr>
                <w:rFonts w:ascii="Arial" w:hAnsi="Arial" w:cs="Arial"/>
              </w:rPr>
            </w:pPr>
            <w:r w:rsidRPr="00E767D9">
              <w:rPr>
                <w:rFonts w:ascii="Arial" w:hAnsi="Arial" w:cs="Arial"/>
              </w:rPr>
              <w:t>f)</w:t>
            </w:r>
            <w:r w:rsidRPr="00E767D9">
              <w:rPr>
                <w:rFonts w:ascii="Arial" w:hAnsi="Arial" w:cs="Arial"/>
              </w:rPr>
              <w:tab/>
              <w:t xml:space="preserve">1.2.5. punktas labai glaudžiai susijęs su 1.2.4. punktu, visumoje tam, kad injekcija būtų greitesnė nei 10s </w:t>
            </w:r>
            <w:r w:rsidRPr="00E767D9">
              <w:rPr>
                <w:rFonts w:ascii="Arial" w:hAnsi="Arial" w:cs="Arial"/>
              </w:rPr>
              <w:lastRenderedPageBreak/>
              <w:t>reikia labai specifinių sąlygų: tam tikro injekcijos tūrio, mėginio</w:t>
            </w:r>
            <w:r w:rsidR="007D5A21">
              <w:rPr>
                <w:rFonts w:ascii="Arial" w:hAnsi="Arial" w:cs="Arial"/>
              </w:rPr>
              <w:t xml:space="preserve"> </w:t>
            </w:r>
            <w:r w:rsidRPr="00E767D9">
              <w:rPr>
                <w:rFonts w:ascii="Arial" w:hAnsi="Arial" w:cs="Arial"/>
              </w:rPr>
              <w:t>paėmimo ir išleiimo greičio ir netaikyti papildomo adatos</w:t>
            </w:r>
            <w:r w:rsidR="007D5A21">
              <w:rPr>
                <w:rFonts w:ascii="Arial" w:hAnsi="Arial" w:cs="Arial"/>
              </w:rPr>
              <w:t xml:space="preserve"> </w:t>
            </w:r>
            <w:r w:rsidRPr="00E767D9">
              <w:rPr>
                <w:rFonts w:ascii="Arial" w:hAnsi="Arial" w:cs="Arial"/>
              </w:rPr>
              <w:t>praplovimo. Jei nebus taikomas papildomoas praplovimas, techniškei nėra įmanoma pasiekti tokią žemą mėginio pernašą kas pageidaujama</w:t>
            </w:r>
          </w:p>
          <w:p w14:paraId="1CEE2B55" w14:textId="0C43B842" w:rsidR="00E767D9" w:rsidRPr="00E767D9" w:rsidRDefault="00E767D9" w:rsidP="00E767D9">
            <w:pPr>
              <w:spacing w:after="120"/>
              <w:jc w:val="both"/>
              <w:rPr>
                <w:rFonts w:ascii="Arial" w:hAnsi="Arial" w:cs="Arial"/>
              </w:rPr>
            </w:pPr>
            <w:r w:rsidRPr="00E767D9">
              <w:rPr>
                <w:rFonts w:ascii="Arial" w:hAnsi="Arial" w:cs="Arial"/>
              </w:rPr>
              <w:t>1.2.4. punkte, o jei bus taikomas praplovimas, nebus įmanoma</w:t>
            </w:r>
            <w:r w:rsidR="007D5A21">
              <w:rPr>
                <w:rFonts w:ascii="Arial" w:hAnsi="Arial" w:cs="Arial"/>
              </w:rPr>
              <w:t xml:space="preserve"> </w:t>
            </w:r>
            <w:r w:rsidRPr="00E767D9">
              <w:rPr>
                <w:rFonts w:ascii="Arial" w:hAnsi="Arial" w:cs="Arial"/>
              </w:rPr>
              <w:t>taip greitai atlikti injekcijos kaip reikalaujama 1.2.5. punkte. Dėl šių priežasčių reikia arba prašyti ilgesnio inkjekcijos laiko arba didesnės pernašos, nes abiejų parametrų vienu metu joks gamintojas tehnciškai negali išpildyti:</w:t>
            </w:r>
          </w:p>
          <w:p w14:paraId="78010FA7" w14:textId="77777777" w:rsidR="00E767D9" w:rsidRPr="00E767D9" w:rsidRDefault="00E767D9" w:rsidP="00E767D9">
            <w:pPr>
              <w:spacing w:after="120"/>
              <w:jc w:val="both"/>
              <w:rPr>
                <w:rFonts w:ascii="Arial" w:hAnsi="Arial" w:cs="Arial"/>
              </w:rPr>
            </w:pPr>
            <w:r w:rsidRPr="00E767D9">
              <w:rPr>
                <w:rFonts w:ascii="Arial" w:hAnsi="Arial" w:cs="Arial"/>
              </w:rPr>
              <w:t>Labai aiškų visų specifikacijų atitikimą galima rasti: www.agilent.com/cs/library/user manuals/public/G7167-G5668- G7137-Multisampler-UseMa-en- SD-29000238.pdf</w:t>
            </w:r>
          </w:p>
          <w:p w14:paraId="5BC26736" w14:textId="77777777" w:rsidR="00E767D9" w:rsidRPr="00E767D9" w:rsidRDefault="00E767D9" w:rsidP="00E767D9">
            <w:pPr>
              <w:spacing w:after="120"/>
              <w:jc w:val="both"/>
              <w:rPr>
                <w:rFonts w:ascii="Arial" w:hAnsi="Arial" w:cs="Arial"/>
              </w:rPr>
            </w:pPr>
            <w:r w:rsidRPr="00E767D9">
              <w:rPr>
                <w:rFonts w:ascii="Arial" w:hAnsi="Arial" w:cs="Arial"/>
              </w:rPr>
              <w:t>44-45 puslapiuose. Rekomenduojama pakeisti injekcijos greitis: Minimalus ciklas ≤15 s arba Mėginio pernaša privalo būti ≤0,005%.</w:t>
            </w:r>
          </w:p>
          <w:p w14:paraId="4BFE7209" w14:textId="77777777" w:rsidR="00E767D9" w:rsidRPr="00E767D9" w:rsidRDefault="00E767D9" w:rsidP="00E767D9">
            <w:pPr>
              <w:spacing w:after="120"/>
              <w:jc w:val="both"/>
              <w:rPr>
                <w:rFonts w:ascii="Arial" w:hAnsi="Arial" w:cs="Arial"/>
              </w:rPr>
            </w:pPr>
            <w:r w:rsidRPr="00E767D9">
              <w:rPr>
                <w:rFonts w:ascii="Arial" w:hAnsi="Arial" w:cs="Arial"/>
              </w:rPr>
              <w:t>g)</w:t>
            </w:r>
            <w:r w:rsidRPr="00E767D9">
              <w:rPr>
                <w:rFonts w:ascii="Arial" w:hAnsi="Arial" w:cs="Arial"/>
              </w:rPr>
              <w:tab/>
              <w:t>1.2.6. perteklinis reikalavimas, dažniausiai vienu metu sistemoje nelaikoma daugiau nei 100 mėginių standartinių chromatografinių buteliukų pavidalu. Jei norima daugiau mėginių naudojamos mikroplokštelės. Rekomenduojame keisti: Privalo būti ne mažiau nei 100 pozicijų standartiniams chromatografiniams buteliukams.</w:t>
            </w:r>
          </w:p>
          <w:p w14:paraId="7B69A0ED" w14:textId="77777777" w:rsidR="00E767D9" w:rsidRPr="00E767D9" w:rsidRDefault="00E767D9" w:rsidP="00E767D9">
            <w:pPr>
              <w:spacing w:after="120"/>
              <w:jc w:val="both"/>
              <w:rPr>
                <w:rFonts w:ascii="Arial" w:hAnsi="Arial" w:cs="Arial"/>
              </w:rPr>
            </w:pPr>
            <w:r w:rsidRPr="00E767D9">
              <w:rPr>
                <w:rFonts w:ascii="Arial" w:hAnsi="Arial" w:cs="Arial"/>
              </w:rPr>
              <w:t>h)</w:t>
            </w:r>
            <w:r w:rsidRPr="00E767D9">
              <w:rPr>
                <w:rFonts w:ascii="Arial" w:hAnsi="Arial" w:cs="Arial"/>
              </w:rPr>
              <w:tab/>
              <w:t>1.3.1. – 1.3.8. – visų keliamų reikalavimų visumą atitinka tik vienintelio gamintojo Agilent Technologies 1290 Infinity III Multicolumn Thermostat sistema https://www.agilent.com/cs/librar y/usermanuals/public/G7116- MCT-UseMa-en-SD- 29000232.pdf</w:t>
            </w:r>
          </w:p>
          <w:p w14:paraId="1E4FA640" w14:textId="77777777" w:rsidR="00E767D9" w:rsidRPr="00E767D9" w:rsidRDefault="00E767D9" w:rsidP="00E767D9">
            <w:pPr>
              <w:spacing w:after="120"/>
              <w:jc w:val="both"/>
              <w:rPr>
                <w:rFonts w:ascii="Arial" w:hAnsi="Arial" w:cs="Arial"/>
              </w:rPr>
            </w:pPr>
            <w:r w:rsidRPr="00E767D9">
              <w:rPr>
                <w:rFonts w:ascii="Arial" w:hAnsi="Arial" w:cs="Arial"/>
              </w:rPr>
              <w:t>26 – 27 psl.</w:t>
            </w:r>
          </w:p>
          <w:p w14:paraId="70A9AC5B" w14:textId="77777777" w:rsidR="00E767D9" w:rsidRPr="00E767D9" w:rsidRDefault="00E767D9" w:rsidP="00E767D9">
            <w:pPr>
              <w:spacing w:after="120"/>
              <w:jc w:val="both"/>
              <w:rPr>
                <w:rFonts w:ascii="Arial" w:hAnsi="Arial" w:cs="Arial"/>
              </w:rPr>
            </w:pPr>
            <w:r w:rsidRPr="00E767D9">
              <w:rPr>
                <w:rFonts w:ascii="Arial" w:hAnsi="Arial" w:cs="Arial"/>
              </w:rPr>
              <w:t xml:space="preserve"> </w:t>
            </w:r>
          </w:p>
          <w:p w14:paraId="3846075C" w14:textId="35E8997E" w:rsidR="00E767D9" w:rsidRPr="00E767D9" w:rsidRDefault="00E767D9" w:rsidP="00E767D9">
            <w:pPr>
              <w:spacing w:after="120"/>
              <w:jc w:val="both"/>
              <w:rPr>
                <w:rFonts w:ascii="Arial" w:hAnsi="Arial" w:cs="Arial"/>
              </w:rPr>
            </w:pPr>
            <w:r w:rsidRPr="00E767D9">
              <w:rPr>
                <w:rFonts w:ascii="Arial" w:hAnsi="Arial" w:cs="Arial"/>
              </w:rPr>
              <w:t>Rekomenduojama keisti reikalavimus:</w:t>
            </w:r>
          </w:p>
          <w:p w14:paraId="71952844" w14:textId="77777777" w:rsidR="00E767D9" w:rsidRPr="00E767D9" w:rsidRDefault="00E767D9" w:rsidP="00E767D9">
            <w:pPr>
              <w:spacing w:after="120"/>
              <w:jc w:val="both"/>
              <w:rPr>
                <w:rFonts w:ascii="Arial" w:hAnsi="Arial" w:cs="Arial"/>
              </w:rPr>
            </w:pPr>
            <w:r w:rsidRPr="00E767D9">
              <w:rPr>
                <w:rFonts w:ascii="Arial" w:hAnsi="Arial" w:cs="Arial"/>
              </w:rPr>
              <w:lastRenderedPageBreak/>
              <w:t>1.3.1.</w:t>
            </w:r>
            <w:r w:rsidRPr="00E767D9">
              <w:rPr>
                <w:rFonts w:ascii="Arial" w:hAnsi="Arial" w:cs="Arial"/>
              </w:rPr>
              <w:tab/>
              <w:t>- Termostato temperatūros intervalas ne siauresnis nei nuo 5°C iki 80°C. Palaikomos temperatūros apatinė riba turi būti ne didesnė nei 20°C žemiau aplinkos temperatūros.</w:t>
            </w:r>
          </w:p>
          <w:p w14:paraId="02369C5D" w14:textId="77777777" w:rsidR="00E767D9" w:rsidRPr="00E767D9" w:rsidRDefault="00E767D9" w:rsidP="00E767D9">
            <w:pPr>
              <w:spacing w:after="120"/>
              <w:jc w:val="both"/>
              <w:rPr>
                <w:rFonts w:ascii="Arial" w:hAnsi="Arial" w:cs="Arial"/>
              </w:rPr>
            </w:pPr>
            <w:r w:rsidRPr="00E767D9">
              <w:rPr>
                <w:rFonts w:ascii="Arial" w:hAnsi="Arial" w:cs="Arial"/>
              </w:rPr>
              <w:t>1.3.2.</w:t>
            </w:r>
            <w:r w:rsidRPr="00E767D9">
              <w:rPr>
                <w:rFonts w:ascii="Arial" w:hAnsi="Arial" w:cs="Arial"/>
              </w:rPr>
              <w:tab/>
              <w:t>- Privalo būti ≤0,1 °C.</w:t>
            </w:r>
          </w:p>
          <w:p w14:paraId="04193F61" w14:textId="77777777" w:rsidR="00E767D9" w:rsidRPr="00E767D9" w:rsidRDefault="00E767D9" w:rsidP="00E767D9">
            <w:pPr>
              <w:spacing w:after="120"/>
              <w:jc w:val="both"/>
              <w:rPr>
                <w:rFonts w:ascii="Arial" w:hAnsi="Arial" w:cs="Arial"/>
              </w:rPr>
            </w:pPr>
            <w:r w:rsidRPr="00E767D9">
              <w:rPr>
                <w:rFonts w:ascii="Arial" w:hAnsi="Arial" w:cs="Arial"/>
              </w:rPr>
              <w:t>1.3.3.</w:t>
            </w:r>
            <w:r w:rsidRPr="00E767D9">
              <w:rPr>
                <w:rFonts w:ascii="Arial" w:hAnsi="Arial" w:cs="Arial"/>
              </w:rPr>
              <w:tab/>
              <w:t>- Privalo būti ±0,3 °C.</w:t>
            </w:r>
          </w:p>
          <w:p w14:paraId="57A12A6E" w14:textId="77777777" w:rsidR="00E767D9" w:rsidRPr="00E767D9" w:rsidRDefault="00E767D9" w:rsidP="00E767D9">
            <w:pPr>
              <w:spacing w:after="120"/>
              <w:jc w:val="both"/>
              <w:rPr>
                <w:rFonts w:ascii="Arial" w:hAnsi="Arial" w:cs="Arial"/>
              </w:rPr>
            </w:pPr>
            <w:r w:rsidRPr="00E767D9">
              <w:rPr>
                <w:rFonts w:ascii="Arial" w:hAnsi="Arial" w:cs="Arial"/>
              </w:rPr>
              <w:t>1.3.4.</w:t>
            </w:r>
            <w:r w:rsidRPr="00E767D9">
              <w:rPr>
                <w:rFonts w:ascii="Arial" w:hAnsi="Arial" w:cs="Arial"/>
              </w:rPr>
              <w:tab/>
              <w:t>- Privalo būti ±0,1 °C</w:t>
            </w:r>
          </w:p>
          <w:p w14:paraId="5CE5A5A7" w14:textId="77777777" w:rsidR="00E767D9" w:rsidRPr="00E767D9" w:rsidRDefault="00E767D9" w:rsidP="00E767D9">
            <w:pPr>
              <w:spacing w:after="120"/>
              <w:jc w:val="both"/>
              <w:rPr>
                <w:rFonts w:ascii="Arial" w:hAnsi="Arial" w:cs="Arial"/>
              </w:rPr>
            </w:pPr>
            <w:r w:rsidRPr="00E767D9">
              <w:rPr>
                <w:rFonts w:ascii="Arial" w:hAnsi="Arial" w:cs="Arial"/>
              </w:rPr>
              <w:t>1.3.5.</w:t>
            </w:r>
            <w:r w:rsidRPr="00E767D9">
              <w:rPr>
                <w:rFonts w:ascii="Arial" w:hAnsi="Arial" w:cs="Arial"/>
              </w:rPr>
              <w:tab/>
              <w:t>- Termostato kaitimo greitis ne mažesnis nei 2</w:t>
            </w:r>
          </w:p>
          <w:p w14:paraId="7110D134" w14:textId="77777777" w:rsidR="00E767D9" w:rsidRPr="00E767D9" w:rsidRDefault="00E767D9" w:rsidP="00E767D9">
            <w:pPr>
              <w:spacing w:after="120"/>
              <w:jc w:val="both"/>
              <w:rPr>
                <w:rFonts w:ascii="Arial" w:hAnsi="Arial" w:cs="Arial"/>
              </w:rPr>
            </w:pPr>
            <w:r w:rsidRPr="00E767D9">
              <w:rPr>
                <w:rFonts w:ascii="Arial" w:hAnsi="Arial" w:cs="Arial"/>
              </w:rPr>
              <w:t>°C/min.</w:t>
            </w:r>
          </w:p>
          <w:p w14:paraId="2D36BA6B" w14:textId="77777777" w:rsidR="00E767D9" w:rsidRPr="00E767D9" w:rsidRDefault="00E767D9" w:rsidP="00E767D9">
            <w:pPr>
              <w:spacing w:after="120"/>
              <w:jc w:val="both"/>
              <w:rPr>
                <w:rFonts w:ascii="Arial" w:hAnsi="Arial" w:cs="Arial"/>
              </w:rPr>
            </w:pPr>
            <w:r w:rsidRPr="00E767D9">
              <w:rPr>
                <w:rFonts w:ascii="Arial" w:hAnsi="Arial" w:cs="Arial"/>
              </w:rPr>
              <w:t>1.3.7.</w:t>
            </w:r>
            <w:r w:rsidRPr="00E767D9">
              <w:rPr>
                <w:rFonts w:ascii="Arial" w:hAnsi="Arial" w:cs="Arial"/>
              </w:rPr>
              <w:tab/>
              <w:t>- Ne mažiau nei dvi nepriklausomos temperatūros zonos tame pačiame kolonėlių termostate arba du atskiri termostatai.</w:t>
            </w:r>
          </w:p>
          <w:p w14:paraId="279A5E88" w14:textId="77777777" w:rsidR="00E767D9" w:rsidRPr="00E767D9" w:rsidRDefault="00E767D9" w:rsidP="00E767D9">
            <w:pPr>
              <w:spacing w:after="120"/>
              <w:jc w:val="both"/>
              <w:rPr>
                <w:rFonts w:ascii="Arial" w:hAnsi="Arial" w:cs="Arial"/>
              </w:rPr>
            </w:pPr>
            <w:r w:rsidRPr="00E767D9">
              <w:rPr>
                <w:rFonts w:ascii="Arial" w:hAnsi="Arial" w:cs="Arial"/>
              </w:rPr>
              <w:t>1.3.8.</w:t>
            </w:r>
            <w:r w:rsidRPr="00E767D9">
              <w:rPr>
                <w:rFonts w:ascii="Arial" w:hAnsi="Arial" w:cs="Arial"/>
              </w:rPr>
              <w:tab/>
              <w:t>- Kolonėlių termostatas privalo kontroliuojamoje temperatūrinėje zonoje fiziškai integruoti ir valdyti vožtuvą ne mažiau nei 8 kolonėlių parinkimui, palaikantį ≥1000 bar slėgį.</w:t>
            </w:r>
          </w:p>
          <w:p w14:paraId="68296211" w14:textId="77777777" w:rsidR="00E767D9" w:rsidRPr="00E767D9" w:rsidRDefault="00E767D9" w:rsidP="00E767D9">
            <w:pPr>
              <w:spacing w:after="120"/>
              <w:jc w:val="both"/>
              <w:rPr>
                <w:rFonts w:ascii="Arial" w:hAnsi="Arial" w:cs="Arial"/>
              </w:rPr>
            </w:pPr>
            <w:r w:rsidRPr="00E767D9">
              <w:rPr>
                <w:rFonts w:ascii="Arial" w:hAnsi="Arial" w:cs="Arial"/>
              </w:rPr>
              <w:t>Pasiūlyti pakeitimai niekaip nedaro įtakos galutiniam tyrimų rezultatui dėl šių priežasčių: pasiūlytos temperatūrinės korekcijos niekaip nedaro įtakos galutiniam rezultatui, nes jos keičiamos minimaliai tik dėl konkurencingumo išplėtimo.</w:t>
            </w:r>
          </w:p>
          <w:p w14:paraId="16A41E24" w14:textId="77777777" w:rsidR="00E767D9" w:rsidRPr="00E767D9" w:rsidRDefault="00E767D9" w:rsidP="00E767D9">
            <w:pPr>
              <w:spacing w:after="120"/>
              <w:jc w:val="both"/>
              <w:rPr>
                <w:rFonts w:ascii="Arial" w:hAnsi="Arial" w:cs="Arial"/>
              </w:rPr>
            </w:pPr>
            <w:r w:rsidRPr="00E767D9">
              <w:rPr>
                <w:rFonts w:ascii="Arial" w:hAnsi="Arial" w:cs="Arial"/>
              </w:rPr>
              <w:t>i)</w:t>
            </w:r>
            <w:r w:rsidRPr="00E767D9">
              <w:rPr>
                <w:rFonts w:ascii="Arial" w:hAnsi="Arial" w:cs="Arial"/>
              </w:rPr>
              <w:tab/>
              <w:t>1.4.1-1.4.11 - visų keliamų reikalavimų visumą atitinka tik vienintelio gamintojo Agilent Technologies 1290 Infinity III Diode Array Detector FS sistema https://www.agilent.com/cs/librar y/usermanuals/public/G7117- DAD-UseMa-en-SD- 29000132.pdf</w:t>
            </w:r>
          </w:p>
          <w:p w14:paraId="3124F723" w14:textId="77777777" w:rsidR="00E767D9" w:rsidRPr="00E767D9" w:rsidRDefault="00E767D9" w:rsidP="00E767D9">
            <w:pPr>
              <w:spacing w:after="120"/>
              <w:jc w:val="both"/>
              <w:rPr>
                <w:rFonts w:ascii="Arial" w:hAnsi="Arial" w:cs="Arial"/>
              </w:rPr>
            </w:pPr>
            <w:r w:rsidRPr="00E767D9">
              <w:rPr>
                <w:rFonts w:ascii="Arial" w:hAnsi="Arial" w:cs="Arial"/>
              </w:rPr>
              <w:t>27 – 29 psl.</w:t>
            </w:r>
          </w:p>
          <w:p w14:paraId="7229CC0F" w14:textId="77777777" w:rsidR="00E767D9" w:rsidRPr="00E767D9" w:rsidRDefault="00E767D9" w:rsidP="00E767D9">
            <w:pPr>
              <w:spacing w:after="120"/>
              <w:jc w:val="both"/>
              <w:rPr>
                <w:rFonts w:ascii="Arial" w:hAnsi="Arial" w:cs="Arial"/>
              </w:rPr>
            </w:pPr>
            <w:r w:rsidRPr="00E767D9">
              <w:rPr>
                <w:rFonts w:ascii="Arial" w:hAnsi="Arial" w:cs="Arial"/>
              </w:rPr>
              <w:t>Siūloma keisti šiuos parametrus:</w:t>
            </w:r>
          </w:p>
          <w:p w14:paraId="48864D31" w14:textId="77777777" w:rsidR="00E767D9" w:rsidRPr="00E767D9" w:rsidRDefault="00E767D9" w:rsidP="00E767D9">
            <w:pPr>
              <w:spacing w:after="120"/>
              <w:jc w:val="both"/>
              <w:rPr>
                <w:rFonts w:ascii="Arial" w:hAnsi="Arial" w:cs="Arial"/>
              </w:rPr>
            </w:pPr>
            <w:r w:rsidRPr="00E767D9">
              <w:rPr>
                <w:rFonts w:ascii="Arial" w:hAnsi="Arial" w:cs="Arial"/>
              </w:rPr>
              <w:t>1.4.9. - Privaloma. Optinio kelio ilgis ne mažesnis nei 10 (±1) mm, tūris ne didesnis nei 2 µl.</w:t>
            </w:r>
          </w:p>
          <w:p w14:paraId="2A58BC8F" w14:textId="301F928E" w:rsidR="00DB56AA" w:rsidRPr="00917A60" w:rsidRDefault="00E767D9" w:rsidP="00E767D9">
            <w:pPr>
              <w:spacing w:after="120"/>
              <w:jc w:val="both"/>
              <w:rPr>
                <w:rFonts w:ascii="Arial" w:hAnsi="Arial" w:cs="Arial"/>
              </w:rPr>
            </w:pPr>
            <w:r w:rsidRPr="00E767D9">
              <w:rPr>
                <w:rFonts w:ascii="Arial" w:hAnsi="Arial" w:cs="Arial"/>
              </w:rPr>
              <w:lastRenderedPageBreak/>
              <w:t>Norima pažymėti, kad pakeitus tik vieną punktą iš išvardintų, konkurencijos tai nepadidins, nes pavienius punktus gali atitikti ir kitos tiekėjų sistemos, bet visų</w:t>
            </w:r>
            <w:r>
              <w:rPr>
                <w:rFonts w:ascii="Arial" w:hAnsi="Arial" w:cs="Arial"/>
              </w:rPr>
              <w:t xml:space="preserve"> </w:t>
            </w:r>
            <w:r w:rsidRPr="00E767D9">
              <w:rPr>
                <w:rFonts w:ascii="Arial" w:hAnsi="Arial" w:cs="Arial"/>
              </w:rPr>
              <w:t>punktų visumos ne. Iš visų punktų</w:t>
            </w:r>
            <w:r w:rsidR="00E412D2">
              <w:t xml:space="preserve"> </w:t>
            </w:r>
            <w:r w:rsidR="00E412D2" w:rsidRPr="00E412D2">
              <w:rPr>
                <w:rFonts w:ascii="Arial" w:hAnsi="Arial" w:cs="Arial"/>
              </w:rPr>
              <w:t>visumos matoma, kad rinkos konsultacija sudaryta pagal vieno gamintojo sistemą, remiantis to gamintojo techniniais privalumais, kurie aiškiai išdėstyti pridėtose nuorodose.</w:t>
            </w:r>
          </w:p>
        </w:tc>
        <w:tc>
          <w:tcPr>
            <w:tcW w:w="8359" w:type="dxa"/>
          </w:tcPr>
          <w:p w14:paraId="3028214E" w14:textId="62CD7BDB" w:rsidR="00DC4C14" w:rsidRDefault="00DC4C14" w:rsidP="00DC4C14">
            <w:pPr>
              <w:pStyle w:val="ListParagraph"/>
              <w:spacing w:after="120"/>
              <w:jc w:val="both"/>
              <w:rPr>
                <w:rFonts w:ascii="Arial" w:hAnsi="Arial" w:cs="Arial"/>
              </w:rPr>
            </w:pPr>
            <w:r>
              <w:rPr>
                <w:rFonts w:ascii="Arial" w:hAnsi="Arial" w:cs="Arial"/>
              </w:rPr>
              <w:lastRenderedPageBreak/>
              <w:t>2</w:t>
            </w:r>
            <w:r w:rsidR="006865EA">
              <w:rPr>
                <w:rFonts w:ascii="Arial" w:hAnsi="Arial" w:cs="Arial"/>
              </w:rPr>
              <w:t>:</w:t>
            </w:r>
          </w:p>
          <w:p w14:paraId="221FCBA6" w14:textId="77777777" w:rsidR="00DC4C14" w:rsidRDefault="00DC4C14" w:rsidP="00DC4C14">
            <w:pPr>
              <w:pStyle w:val="ListParagraph"/>
              <w:spacing w:after="120"/>
              <w:jc w:val="both"/>
              <w:rPr>
                <w:rFonts w:ascii="Arial" w:hAnsi="Arial" w:cs="Arial"/>
              </w:rPr>
            </w:pPr>
          </w:p>
          <w:p w14:paraId="1F401F86" w14:textId="2114E871" w:rsidR="00DB56AA" w:rsidRDefault="00C00C06" w:rsidP="00BC6708">
            <w:pPr>
              <w:pStyle w:val="ListParagraph"/>
              <w:numPr>
                <w:ilvl w:val="0"/>
                <w:numId w:val="3"/>
              </w:numPr>
              <w:spacing w:after="120"/>
              <w:jc w:val="both"/>
              <w:rPr>
                <w:rFonts w:ascii="Arial" w:hAnsi="Arial" w:cs="Arial"/>
              </w:rPr>
            </w:pPr>
            <w:r>
              <w:rPr>
                <w:rFonts w:ascii="Arial" w:hAnsi="Arial" w:cs="Arial"/>
              </w:rPr>
              <w:t>R</w:t>
            </w:r>
            <w:r w:rsidR="00F83796" w:rsidRPr="00BC6708">
              <w:rPr>
                <w:rFonts w:ascii="Arial" w:hAnsi="Arial" w:cs="Arial"/>
              </w:rPr>
              <w:t>inkoje yra ne viena sistema, kuri gali užtikrinti iki keturių skirtingų eliuentų maišymą vienu metu ir palaikyti iki 1300 bar slėgį, todėl reikalavimas neriboja konkurencijos (gamintojai Agilent Technologies, Shimadzu Corporation, Thermo Fisher Scientific). Taip pat, siūlymas sumažinti reikalavimą sistemos slėgiui negali būti tenkinamas, nes tai neatitinka pirkėjo poreikių. Kadangi įsigijama HPLC sistema bus naudojama sudėtingiems ir sunkiai prognozuojamiems moksliniams bei užsakomiesiems tyrimams atlikti</w:t>
            </w:r>
            <w:r w:rsidR="00602090">
              <w:rPr>
                <w:rFonts w:ascii="Arial" w:hAnsi="Arial" w:cs="Arial"/>
              </w:rPr>
              <w:t>.</w:t>
            </w:r>
          </w:p>
          <w:p w14:paraId="508AFF8F" w14:textId="77777777" w:rsidR="00D87AC6" w:rsidRDefault="00D87AC6" w:rsidP="00D87AC6">
            <w:pPr>
              <w:pStyle w:val="ListParagraph"/>
              <w:spacing w:after="120"/>
              <w:jc w:val="both"/>
              <w:rPr>
                <w:rFonts w:ascii="Arial" w:hAnsi="Arial" w:cs="Arial"/>
              </w:rPr>
            </w:pPr>
          </w:p>
          <w:p w14:paraId="2BCDA6C4" w14:textId="77777777" w:rsidR="00602090" w:rsidRDefault="005724B3" w:rsidP="00BC6708">
            <w:pPr>
              <w:pStyle w:val="ListParagraph"/>
              <w:numPr>
                <w:ilvl w:val="0"/>
                <w:numId w:val="3"/>
              </w:numPr>
              <w:spacing w:after="120"/>
              <w:jc w:val="both"/>
              <w:rPr>
                <w:rFonts w:ascii="Arial" w:hAnsi="Arial" w:cs="Arial"/>
              </w:rPr>
            </w:pPr>
            <w:r>
              <w:rPr>
                <w:rFonts w:ascii="Arial" w:hAnsi="Arial" w:cs="Arial"/>
              </w:rPr>
              <w:t>D</w:t>
            </w:r>
            <w:r w:rsidR="004571A1" w:rsidRPr="004571A1">
              <w:rPr>
                <w:rFonts w:ascii="Arial" w:hAnsi="Arial" w:cs="Arial"/>
              </w:rPr>
              <w:t>idesnis nudujinimo kanalo tūris leidžia dujų pašalinimą iš mobilios fazės atlikti greičiau ir efektyviau.</w:t>
            </w:r>
          </w:p>
          <w:p w14:paraId="688A5682" w14:textId="77777777" w:rsidR="003670AD" w:rsidRDefault="003670AD" w:rsidP="003670AD">
            <w:pPr>
              <w:pStyle w:val="ListParagraph"/>
              <w:spacing w:after="120"/>
              <w:jc w:val="both"/>
              <w:rPr>
                <w:rFonts w:ascii="Arial" w:hAnsi="Arial" w:cs="Arial"/>
              </w:rPr>
            </w:pPr>
          </w:p>
          <w:p w14:paraId="25BAFFFE" w14:textId="77777777" w:rsidR="003670AD" w:rsidRDefault="003670AD" w:rsidP="003670AD">
            <w:pPr>
              <w:pStyle w:val="ListParagraph"/>
              <w:spacing w:after="120"/>
              <w:jc w:val="both"/>
              <w:rPr>
                <w:rFonts w:ascii="Arial" w:hAnsi="Arial" w:cs="Arial"/>
              </w:rPr>
            </w:pPr>
          </w:p>
          <w:p w14:paraId="76C6ACB8" w14:textId="77777777" w:rsidR="003670AD" w:rsidRDefault="003670AD" w:rsidP="003670AD">
            <w:pPr>
              <w:pStyle w:val="ListParagraph"/>
              <w:spacing w:after="120"/>
              <w:jc w:val="both"/>
              <w:rPr>
                <w:rFonts w:ascii="Arial" w:hAnsi="Arial" w:cs="Arial"/>
              </w:rPr>
            </w:pPr>
          </w:p>
          <w:p w14:paraId="3E8C1414" w14:textId="77777777" w:rsidR="003670AD" w:rsidRDefault="003670AD" w:rsidP="003670AD">
            <w:pPr>
              <w:pStyle w:val="ListParagraph"/>
              <w:spacing w:after="120"/>
              <w:jc w:val="both"/>
              <w:rPr>
                <w:rFonts w:ascii="Arial" w:hAnsi="Arial" w:cs="Arial"/>
              </w:rPr>
            </w:pPr>
          </w:p>
          <w:p w14:paraId="3D5AFFE3" w14:textId="77777777" w:rsidR="003670AD" w:rsidRDefault="003670AD" w:rsidP="003670AD">
            <w:pPr>
              <w:pStyle w:val="ListParagraph"/>
              <w:spacing w:after="120"/>
              <w:jc w:val="both"/>
              <w:rPr>
                <w:rFonts w:ascii="Arial" w:hAnsi="Arial" w:cs="Arial"/>
              </w:rPr>
            </w:pPr>
          </w:p>
          <w:p w14:paraId="08F6DF79" w14:textId="77777777" w:rsidR="003670AD" w:rsidRDefault="003670AD" w:rsidP="003670AD">
            <w:pPr>
              <w:pStyle w:val="ListParagraph"/>
              <w:spacing w:after="120"/>
              <w:jc w:val="both"/>
              <w:rPr>
                <w:rFonts w:ascii="Arial" w:hAnsi="Arial" w:cs="Arial"/>
              </w:rPr>
            </w:pPr>
          </w:p>
          <w:p w14:paraId="29885951" w14:textId="77777777" w:rsidR="00D87AC6" w:rsidRDefault="00D87AC6" w:rsidP="003670AD">
            <w:pPr>
              <w:pStyle w:val="ListParagraph"/>
              <w:spacing w:after="120"/>
              <w:jc w:val="both"/>
              <w:rPr>
                <w:rFonts w:ascii="Arial" w:hAnsi="Arial" w:cs="Arial"/>
              </w:rPr>
            </w:pPr>
          </w:p>
          <w:p w14:paraId="50E70124" w14:textId="77777777" w:rsidR="00D87AC6" w:rsidRDefault="00D87AC6" w:rsidP="003670AD">
            <w:pPr>
              <w:pStyle w:val="ListParagraph"/>
              <w:spacing w:after="120"/>
              <w:jc w:val="both"/>
              <w:rPr>
                <w:rFonts w:ascii="Arial" w:hAnsi="Arial" w:cs="Arial"/>
              </w:rPr>
            </w:pPr>
          </w:p>
          <w:p w14:paraId="361F0F3B" w14:textId="77777777" w:rsidR="003670AD" w:rsidRDefault="003670AD" w:rsidP="003670AD">
            <w:pPr>
              <w:pStyle w:val="ListParagraph"/>
              <w:spacing w:after="120"/>
              <w:jc w:val="both"/>
              <w:rPr>
                <w:rFonts w:ascii="Arial" w:hAnsi="Arial" w:cs="Arial"/>
              </w:rPr>
            </w:pPr>
          </w:p>
          <w:p w14:paraId="45D46FB4" w14:textId="77777777" w:rsidR="003670AD" w:rsidRDefault="003670AD" w:rsidP="003670AD">
            <w:pPr>
              <w:pStyle w:val="ListParagraph"/>
              <w:spacing w:after="120"/>
              <w:jc w:val="both"/>
              <w:rPr>
                <w:rFonts w:ascii="Arial" w:hAnsi="Arial" w:cs="Arial"/>
              </w:rPr>
            </w:pPr>
          </w:p>
          <w:p w14:paraId="1C710158" w14:textId="77777777" w:rsidR="005724B3" w:rsidRDefault="003670AD" w:rsidP="00BC6708">
            <w:pPr>
              <w:pStyle w:val="ListParagraph"/>
              <w:numPr>
                <w:ilvl w:val="0"/>
                <w:numId w:val="3"/>
              </w:numPr>
              <w:spacing w:after="120"/>
              <w:jc w:val="both"/>
              <w:rPr>
                <w:rFonts w:ascii="Arial" w:hAnsi="Arial" w:cs="Arial"/>
              </w:rPr>
            </w:pPr>
            <w:r w:rsidRPr="003670AD">
              <w:rPr>
                <w:rFonts w:ascii="Arial" w:hAnsi="Arial" w:cs="Arial"/>
              </w:rPr>
              <w:t>Aprašyta funkcija įvertina skirtingų sistemų „negyvą“ turį ir emuliuoja maišymą tokiu būdų, kad eliuentų gradientas kolonėlės pradžią pasiektu tuo pačiu metu kaip emuliuojama sistema. Funkcija yra naudinga pirkėjui ir suteikia galimybę atkartoti mokslinių straipsnių ar kitų laboratorijų metodus su įsigyta sistema.</w:t>
            </w:r>
          </w:p>
          <w:p w14:paraId="076586B3" w14:textId="77777777" w:rsidR="00F94016" w:rsidRDefault="00F94016" w:rsidP="00F94016">
            <w:pPr>
              <w:pStyle w:val="ListParagraph"/>
              <w:spacing w:after="120"/>
              <w:jc w:val="both"/>
              <w:rPr>
                <w:rFonts w:ascii="Arial" w:hAnsi="Arial" w:cs="Arial"/>
              </w:rPr>
            </w:pPr>
          </w:p>
          <w:p w14:paraId="144BBBCC" w14:textId="77777777" w:rsidR="00F94016" w:rsidRDefault="00F94016" w:rsidP="00F94016">
            <w:pPr>
              <w:pStyle w:val="ListParagraph"/>
              <w:spacing w:after="120"/>
              <w:jc w:val="both"/>
              <w:rPr>
                <w:rFonts w:ascii="Arial" w:hAnsi="Arial" w:cs="Arial"/>
              </w:rPr>
            </w:pPr>
          </w:p>
          <w:p w14:paraId="4222C13C" w14:textId="77777777" w:rsidR="00F94016" w:rsidRDefault="00F94016" w:rsidP="00F94016">
            <w:pPr>
              <w:pStyle w:val="ListParagraph"/>
              <w:spacing w:after="120"/>
              <w:jc w:val="both"/>
              <w:rPr>
                <w:rFonts w:ascii="Arial" w:hAnsi="Arial" w:cs="Arial"/>
              </w:rPr>
            </w:pPr>
          </w:p>
          <w:p w14:paraId="45BC17C4" w14:textId="77777777" w:rsidR="00F94016" w:rsidRDefault="00F94016" w:rsidP="00F94016">
            <w:pPr>
              <w:pStyle w:val="ListParagraph"/>
              <w:spacing w:after="120"/>
              <w:jc w:val="both"/>
              <w:rPr>
                <w:rFonts w:ascii="Arial" w:hAnsi="Arial" w:cs="Arial"/>
              </w:rPr>
            </w:pPr>
          </w:p>
          <w:p w14:paraId="03144C3A" w14:textId="77777777" w:rsidR="00F94016" w:rsidRDefault="00F94016" w:rsidP="00F94016">
            <w:pPr>
              <w:pStyle w:val="ListParagraph"/>
              <w:spacing w:after="120"/>
              <w:jc w:val="both"/>
              <w:rPr>
                <w:rFonts w:ascii="Arial" w:hAnsi="Arial" w:cs="Arial"/>
              </w:rPr>
            </w:pPr>
          </w:p>
          <w:p w14:paraId="38499DDD" w14:textId="77777777" w:rsidR="00F94016" w:rsidRDefault="00F94016" w:rsidP="00F94016">
            <w:pPr>
              <w:pStyle w:val="ListParagraph"/>
              <w:spacing w:after="120"/>
              <w:jc w:val="both"/>
              <w:rPr>
                <w:rFonts w:ascii="Arial" w:hAnsi="Arial" w:cs="Arial"/>
              </w:rPr>
            </w:pPr>
          </w:p>
          <w:p w14:paraId="7B301B75" w14:textId="77777777" w:rsidR="00F94016" w:rsidRDefault="00F94016" w:rsidP="00F94016">
            <w:pPr>
              <w:pStyle w:val="ListParagraph"/>
              <w:spacing w:after="120"/>
              <w:jc w:val="both"/>
              <w:rPr>
                <w:rFonts w:ascii="Arial" w:hAnsi="Arial" w:cs="Arial"/>
              </w:rPr>
            </w:pPr>
          </w:p>
          <w:p w14:paraId="489EA051" w14:textId="77777777" w:rsidR="00F94016" w:rsidRDefault="00F94016" w:rsidP="00F94016">
            <w:pPr>
              <w:pStyle w:val="ListParagraph"/>
              <w:spacing w:after="120"/>
              <w:jc w:val="both"/>
              <w:rPr>
                <w:rFonts w:ascii="Arial" w:hAnsi="Arial" w:cs="Arial"/>
              </w:rPr>
            </w:pPr>
          </w:p>
          <w:p w14:paraId="3D8A230C" w14:textId="77777777" w:rsidR="00606D58" w:rsidRDefault="00606D58" w:rsidP="00F94016">
            <w:pPr>
              <w:pStyle w:val="ListParagraph"/>
              <w:spacing w:after="120"/>
              <w:jc w:val="both"/>
              <w:rPr>
                <w:rFonts w:ascii="Arial" w:hAnsi="Arial" w:cs="Arial"/>
              </w:rPr>
            </w:pPr>
          </w:p>
          <w:p w14:paraId="049F72FD" w14:textId="77777777" w:rsidR="00606D58" w:rsidRDefault="00606D58" w:rsidP="00F94016">
            <w:pPr>
              <w:pStyle w:val="ListParagraph"/>
              <w:spacing w:after="120"/>
              <w:jc w:val="both"/>
              <w:rPr>
                <w:rFonts w:ascii="Arial" w:hAnsi="Arial" w:cs="Arial"/>
              </w:rPr>
            </w:pPr>
          </w:p>
          <w:p w14:paraId="6899D671" w14:textId="77777777" w:rsidR="00606D58" w:rsidRDefault="00606D58" w:rsidP="00F94016">
            <w:pPr>
              <w:pStyle w:val="ListParagraph"/>
              <w:spacing w:after="120"/>
              <w:jc w:val="both"/>
              <w:rPr>
                <w:rFonts w:ascii="Arial" w:hAnsi="Arial" w:cs="Arial"/>
              </w:rPr>
            </w:pPr>
          </w:p>
          <w:p w14:paraId="41BF04BD" w14:textId="77777777" w:rsidR="00606D58" w:rsidRDefault="00606D58" w:rsidP="00F94016">
            <w:pPr>
              <w:pStyle w:val="ListParagraph"/>
              <w:spacing w:after="120"/>
              <w:jc w:val="both"/>
              <w:rPr>
                <w:rFonts w:ascii="Arial" w:hAnsi="Arial" w:cs="Arial"/>
              </w:rPr>
            </w:pPr>
          </w:p>
          <w:p w14:paraId="34633901" w14:textId="77777777" w:rsidR="00606D58" w:rsidRDefault="00606D58" w:rsidP="00F94016">
            <w:pPr>
              <w:pStyle w:val="ListParagraph"/>
              <w:spacing w:after="120"/>
              <w:jc w:val="both"/>
              <w:rPr>
                <w:rFonts w:ascii="Arial" w:hAnsi="Arial" w:cs="Arial"/>
              </w:rPr>
            </w:pPr>
          </w:p>
          <w:p w14:paraId="4491372B" w14:textId="77777777" w:rsidR="00606D58" w:rsidRDefault="00606D58" w:rsidP="00F94016">
            <w:pPr>
              <w:pStyle w:val="ListParagraph"/>
              <w:spacing w:after="120"/>
              <w:jc w:val="both"/>
              <w:rPr>
                <w:rFonts w:ascii="Arial" w:hAnsi="Arial" w:cs="Arial"/>
              </w:rPr>
            </w:pPr>
          </w:p>
          <w:p w14:paraId="29B507C1" w14:textId="77777777" w:rsidR="00F94016" w:rsidRDefault="00F94016" w:rsidP="00F94016">
            <w:pPr>
              <w:pStyle w:val="ListParagraph"/>
              <w:spacing w:after="120"/>
              <w:jc w:val="both"/>
              <w:rPr>
                <w:rFonts w:ascii="Arial" w:hAnsi="Arial" w:cs="Arial"/>
              </w:rPr>
            </w:pPr>
          </w:p>
          <w:p w14:paraId="30BF9B27" w14:textId="77777777" w:rsidR="00F94016" w:rsidRDefault="004D771A" w:rsidP="00BC6708">
            <w:pPr>
              <w:pStyle w:val="ListParagraph"/>
              <w:numPr>
                <w:ilvl w:val="0"/>
                <w:numId w:val="3"/>
              </w:numPr>
              <w:spacing w:after="120"/>
              <w:jc w:val="both"/>
              <w:rPr>
                <w:rFonts w:ascii="Arial" w:hAnsi="Arial" w:cs="Arial"/>
              </w:rPr>
            </w:pPr>
            <w:r w:rsidRPr="004D771A">
              <w:rPr>
                <w:rFonts w:ascii="Arial" w:hAnsi="Arial" w:cs="Arial"/>
              </w:rPr>
              <w:t>Reikalavimas esminis siekiant įsigyti tinkamai veikiančią sistemą. Autosamplerio palaikomas slėgis turi būti ne mažesnis nei pompos maksimalus sukuriamas ir palaikomas slėgis jog sistema veiktų be ribojimų ir nekiltų su viršslėgiu susijusių gedimų.</w:t>
            </w:r>
          </w:p>
          <w:p w14:paraId="148DA563" w14:textId="77777777" w:rsidR="004D771A" w:rsidRDefault="00450B7E" w:rsidP="00BC6708">
            <w:pPr>
              <w:pStyle w:val="ListParagraph"/>
              <w:numPr>
                <w:ilvl w:val="0"/>
                <w:numId w:val="3"/>
              </w:numPr>
              <w:spacing w:after="120"/>
              <w:jc w:val="both"/>
              <w:rPr>
                <w:rFonts w:ascii="Arial" w:hAnsi="Arial" w:cs="Arial"/>
              </w:rPr>
            </w:pPr>
            <w:r w:rsidRPr="00450B7E">
              <w:rPr>
                <w:rFonts w:ascii="Arial" w:hAnsi="Arial" w:cs="Arial"/>
              </w:rPr>
              <w:t>Pirkėjo tikslas nėra įsigyti bet kurią pigiausią HPLC sistemą rinkoje, tačiau atsirinkti kokybišką ir pažangią tokio tipo įrangą. Injekcijos preciziškumas yra svarbus parametras rezultatų pakartojamumui, kadangi smulkūs pokyčiai chromatografijoje turi įtakos galutiniam rezultatui. Kadangi HPLC sistema bus naudojama su trigubu masių spektrometru pagrinde skirtu atlikti kiekybinę analizę, injekcijos tūrio atsikartojamumas turi didelę įtaką analičių kiekio įvertinime. Be to, reikalavimą tenkina daugiau nei vienas gamintojas rinkoje (Agilent Technologies, Shimadzu Corporation), todėl tai nėra konkurenciją ribojantis parametras.</w:t>
            </w:r>
          </w:p>
          <w:p w14:paraId="06049208" w14:textId="36658FAF" w:rsidR="00D73214" w:rsidRDefault="00B8486E" w:rsidP="00BC6708">
            <w:pPr>
              <w:pStyle w:val="ListParagraph"/>
              <w:numPr>
                <w:ilvl w:val="0"/>
                <w:numId w:val="3"/>
              </w:numPr>
              <w:spacing w:after="120"/>
              <w:jc w:val="both"/>
              <w:rPr>
                <w:rFonts w:ascii="Arial" w:hAnsi="Arial" w:cs="Arial"/>
              </w:rPr>
            </w:pPr>
            <w:r w:rsidRPr="00B8486E">
              <w:rPr>
                <w:rFonts w:ascii="Arial" w:hAnsi="Arial" w:cs="Arial"/>
              </w:rPr>
              <w:lastRenderedPageBreak/>
              <w:t xml:space="preserve">Nėra reikalaujama, kad 1.2.4 ir 1.2.5 punktai būtų įvykdomi vienu metu, jų pagalba yra apibūdinamos maksimalios įsigyjamos sistemos galimybės. </w:t>
            </w:r>
            <w:r w:rsidRPr="003E2563">
              <w:rPr>
                <w:rFonts w:ascii="Arial" w:hAnsi="Arial" w:cs="Arial"/>
              </w:rPr>
              <w:t xml:space="preserve">Siekiant išvengti dviprasmybės techninėse specifikacijose, 1.2.4 punktą </w:t>
            </w:r>
            <w:r w:rsidR="00BF7003" w:rsidRPr="003E2563">
              <w:rPr>
                <w:rFonts w:ascii="Arial" w:hAnsi="Arial" w:cs="Arial"/>
              </w:rPr>
              <w:t>numatoma pa</w:t>
            </w:r>
            <w:r w:rsidRPr="003E2563">
              <w:rPr>
                <w:rFonts w:ascii="Arial" w:hAnsi="Arial" w:cs="Arial"/>
              </w:rPr>
              <w:t>šalinti.</w:t>
            </w:r>
          </w:p>
          <w:p w14:paraId="089BAA27" w14:textId="77777777" w:rsidR="00B8486E" w:rsidRDefault="00B8486E" w:rsidP="00B8486E">
            <w:pPr>
              <w:pStyle w:val="ListParagraph"/>
              <w:spacing w:after="120"/>
              <w:jc w:val="both"/>
              <w:rPr>
                <w:rFonts w:ascii="Arial" w:hAnsi="Arial" w:cs="Arial"/>
              </w:rPr>
            </w:pPr>
          </w:p>
          <w:p w14:paraId="3566F9D1" w14:textId="77777777" w:rsidR="00B8486E" w:rsidRDefault="00B8486E" w:rsidP="00B8486E">
            <w:pPr>
              <w:pStyle w:val="ListParagraph"/>
              <w:spacing w:after="120"/>
              <w:jc w:val="both"/>
              <w:rPr>
                <w:rFonts w:ascii="Arial" w:hAnsi="Arial" w:cs="Arial"/>
              </w:rPr>
            </w:pPr>
          </w:p>
          <w:p w14:paraId="3FFC16C5" w14:textId="77777777" w:rsidR="00B8486E" w:rsidRDefault="00B8486E" w:rsidP="00B8486E">
            <w:pPr>
              <w:pStyle w:val="ListParagraph"/>
              <w:spacing w:after="120"/>
              <w:jc w:val="both"/>
              <w:rPr>
                <w:rFonts w:ascii="Arial" w:hAnsi="Arial" w:cs="Arial"/>
              </w:rPr>
            </w:pPr>
          </w:p>
          <w:p w14:paraId="03AFB406" w14:textId="77777777" w:rsidR="00B8486E" w:rsidRDefault="00B8486E" w:rsidP="00B8486E">
            <w:pPr>
              <w:pStyle w:val="ListParagraph"/>
              <w:spacing w:after="120"/>
              <w:jc w:val="both"/>
              <w:rPr>
                <w:rFonts w:ascii="Arial" w:hAnsi="Arial" w:cs="Arial"/>
              </w:rPr>
            </w:pPr>
          </w:p>
          <w:p w14:paraId="59F026DF" w14:textId="77777777" w:rsidR="00B8486E" w:rsidRDefault="00B8486E" w:rsidP="00B8486E">
            <w:pPr>
              <w:pStyle w:val="ListParagraph"/>
              <w:spacing w:after="120"/>
              <w:jc w:val="both"/>
              <w:rPr>
                <w:rFonts w:ascii="Arial" w:hAnsi="Arial" w:cs="Arial"/>
              </w:rPr>
            </w:pPr>
          </w:p>
          <w:p w14:paraId="178542D7" w14:textId="77777777" w:rsidR="00D87AC6" w:rsidRDefault="00D87AC6" w:rsidP="00B8486E">
            <w:pPr>
              <w:pStyle w:val="ListParagraph"/>
              <w:spacing w:after="120"/>
              <w:jc w:val="both"/>
              <w:rPr>
                <w:rFonts w:ascii="Arial" w:hAnsi="Arial" w:cs="Arial"/>
              </w:rPr>
            </w:pPr>
          </w:p>
          <w:p w14:paraId="4096C9ED" w14:textId="77777777" w:rsidR="00D87AC6" w:rsidRDefault="00D87AC6" w:rsidP="00B8486E">
            <w:pPr>
              <w:pStyle w:val="ListParagraph"/>
              <w:spacing w:after="120"/>
              <w:jc w:val="both"/>
              <w:rPr>
                <w:rFonts w:ascii="Arial" w:hAnsi="Arial" w:cs="Arial"/>
              </w:rPr>
            </w:pPr>
          </w:p>
          <w:p w14:paraId="27B5B5BE" w14:textId="77777777" w:rsidR="00D87AC6" w:rsidRDefault="00D87AC6" w:rsidP="00B8486E">
            <w:pPr>
              <w:pStyle w:val="ListParagraph"/>
              <w:spacing w:after="120"/>
              <w:jc w:val="both"/>
              <w:rPr>
                <w:rFonts w:ascii="Arial" w:hAnsi="Arial" w:cs="Arial"/>
              </w:rPr>
            </w:pPr>
          </w:p>
          <w:p w14:paraId="78C5ECAE" w14:textId="77777777" w:rsidR="00D87AC6" w:rsidRDefault="00D87AC6" w:rsidP="00B8486E">
            <w:pPr>
              <w:pStyle w:val="ListParagraph"/>
              <w:spacing w:after="120"/>
              <w:jc w:val="both"/>
              <w:rPr>
                <w:rFonts w:ascii="Arial" w:hAnsi="Arial" w:cs="Arial"/>
              </w:rPr>
            </w:pPr>
          </w:p>
          <w:p w14:paraId="1BFAEF04" w14:textId="77777777" w:rsidR="00B8486E" w:rsidRDefault="00B8486E" w:rsidP="00B8486E">
            <w:pPr>
              <w:pStyle w:val="ListParagraph"/>
              <w:spacing w:after="120"/>
              <w:jc w:val="both"/>
              <w:rPr>
                <w:rFonts w:ascii="Arial" w:hAnsi="Arial" w:cs="Arial"/>
              </w:rPr>
            </w:pPr>
          </w:p>
          <w:p w14:paraId="60A28610" w14:textId="77777777" w:rsidR="00DF618D" w:rsidRDefault="00DF618D" w:rsidP="00B8486E">
            <w:pPr>
              <w:pStyle w:val="ListParagraph"/>
              <w:spacing w:after="120"/>
              <w:jc w:val="both"/>
              <w:rPr>
                <w:rFonts w:ascii="Arial" w:hAnsi="Arial" w:cs="Arial"/>
              </w:rPr>
            </w:pPr>
          </w:p>
          <w:p w14:paraId="0B75DB9E" w14:textId="77777777" w:rsidR="00DF618D" w:rsidRDefault="00DF618D" w:rsidP="00B8486E">
            <w:pPr>
              <w:pStyle w:val="ListParagraph"/>
              <w:spacing w:after="120"/>
              <w:jc w:val="both"/>
              <w:rPr>
                <w:rFonts w:ascii="Arial" w:hAnsi="Arial" w:cs="Arial"/>
              </w:rPr>
            </w:pPr>
          </w:p>
          <w:p w14:paraId="78210CF4" w14:textId="77777777" w:rsidR="00B8486E" w:rsidRDefault="00B8486E" w:rsidP="00B8486E">
            <w:pPr>
              <w:pStyle w:val="ListParagraph"/>
              <w:spacing w:after="120"/>
              <w:jc w:val="both"/>
              <w:rPr>
                <w:rFonts w:ascii="Arial" w:hAnsi="Arial" w:cs="Arial"/>
              </w:rPr>
            </w:pPr>
          </w:p>
          <w:p w14:paraId="7CF99E8D" w14:textId="77777777" w:rsidR="00B8486E" w:rsidRDefault="000128B8" w:rsidP="00BC6708">
            <w:pPr>
              <w:pStyle w:val="ListParagraph"/>
              <w:numPr>
                <w:ilvl w:val="0"/>
                <w:numId w:val="3"/>
              </w:numPr>
              <w:spacing w:after="120"/>
              <w:jc w:val="both"/>
              <w:rPr>
                <w:rFonts w:ascii="Arial" w:hAnsi="Arial" w:cs="Arial"/>
              </w:rPr>
            </w:pPr>
            <w:r w:rsidRPr="000128B8">
              <w:rPr>
                <w:rFonts w:ascii="Arial" w:hAnsi="Arial" w:cs="Arial"/>
              </w:rPr>
              <w:t>Reikalavimas nėra perteklinis, bet atitinkantis laboratorijos poreikį. Laboratorija atlieka didelį kiekį skirtingų tyrimų. Didelės talpos autosampleris leidžia mėginius palikti ilgesniam laikui autosampleryje, kas yra patogu tiek sudaranti ilgas analizių sekas, kurioms nereikėtų vartotojo įsikišimo, tiek suplanuojant kai kurių mėginių pakartotines analizes. Laboratorijoje dažnai dirbama su chromatografiniais buteliukais, nes tokiu būdų mėginį patogu išsaugoti kitai analizei, jei būtų reikalingas pakartojimas, todėl alternatyva patenkinti autosamplerio talpą keičiant buteliukus į plokšteles netinka.</w:t>
            </w:r>
          </w:p>
          <w:p w14:paraId="4C18E402" w14:textId="701E0D0A" w:rsidR="00FA4799" w:rsidRDefault="00805819" w:rsidP="00BC6708">
            <w:pPr>
              <w:pStyle w:val="ListParagraph"/>
              <w:numPr>
                <w:ilvl w:val="0"/>
                <w:numId w:val="3"/>
              </w:numPr>
              <w:spacing w:after="120"/>
              <w:jc w:val="both"/>
              <w:rPr>
                <w:rFonts w:ascii="Arial" w:hAnsi="Arial" w:cs="Arial"/>
              </w:rPr>
            </w:pPr>
            <w:r w:rsidRPr="00805819">
              <w:rPr>
                <w:rFonts w:ascii="Arial" w:hAnsi="Arial" w:cs="Arial"/>
              </w:rPr>
              <w:t>Tiekėjas aiškiai nepagrindžia reikalavimų nepagrįstumo ir siūlomų pakeitimų priežasties. Pirkėjo tikslas nėra įsigyti bet kurią pigiausią HPLC sistemą rinkoje, tačiau atsirinkti kokybišką ir pažangią tokio tipo įrangą. Kolonėlių termostato temperatūros tikslumas, stabilumas, preciz</w:t>
            </w:r>
            <w:r w:rsidR="003E2563">
              <w:rPr>
                <w:rFonts w:ascii="Arial" w:hAnsi="Arial" w:cs="Arial"/>
              </w:rPr>
              <w:t>i</w:t>
            </w:r>
            <w:r w:rsidRPr="00805819">
              <w:rPr>
                <w:rFonts w:ascii="Arial" w:hAnsi="Arial" w:cs="Arial"/>
              </w:rPr>
              <w:t xml:space="preserve">škumas yra visi svarbūs parametrai, turintys įtakos rezultatų kokybei. Kolonėlių vožtuvo palaikomas slėgis privalo būti ne mažesnis nei pompos maksimalus sukuriamas ir palaikomas slėgis jog sistema veiktų be ribojimų ir nekiltų su viršslėgiu susijusių gedimų. Aukšto slėgio sistemos poreikis paaiškintas prie  a) punkto. Be to, termostato parametrus atitinka daugiau nei vienas </w:t>
            </w:r>
            <w:r w:rsidRPr="00805819">
              <w:rPr>
                <w:rFonts w:ascii="Arial" w:hAnsi="Arial" w:cs="Arial"/>
              </w:rPr>
              <w:lastRenderedPageBreak/>
              <w:t>gamintojas (Agilent Technologies, Shimadzu Corporation, Thermo Fisher Scientific)</w:t>
            </w:r>
            <w:r w:rsidR="0051293F">
              <w:rPr>
                <w:rFonts w:ascii="Arial" w:hAnsi="Arial" w:cs="Arial"/>
              </w:rPr>
              <w:t>.</w:t>
            </w:r>
          </w:p>
          <w:p w14:paraId="0EDCA20B" w14:textId="77777777" w:rsidR="0051293F" w:rsidRDefault="0051293F" w:rsidP="0051293F">
            <w:pPr>
              <w:pStyle w:val="ListParagraph"/>
              <w:spacing w:after="120"/>
              <w:jc w:val="both"/>
              <w:rPr>
                <w:rFonts w:ascii="Arial" w:hAnsi="Arial" w:cs="Arial"/>
              </w:rPr>
            </w:pPr>
          </w:p>
          <w:p w14:paraId="28E2E58C" w14:textId="77777777" w:rsidR="00252E09" w:rsidRDefault="00252E09" w:rsidP="0051293F">
            <w:pPr>
              <w:pStyle w:val="ListParagraph"/>
              <w:spacing w:after="120"/>
              <w:jc w:val="both"/>
              <w:rPr>
                <w:rFonts w:ascii="Arial" w:hAnsi="Arial" w:cs="Arial"/>
              </w:rPr>
            </w:pPr>
          </w:p>
          <w:p w14:paraId="7337A02C" w14:textId="77777777" w:rsidR="00252E09" w:rsidRDefault="00252E09" w:rsidP="0051293F">
            <w:pPr>
              <w:pStyle w:val="ListParagraph"/>
              <w:spacing w:after="120"/>
              <w:jc w:val="both"/>
              <w:rPr>
                <w:rFonts w:ascii="Arial" w:hAnsi="Arial" w:cs="Arial"/>
              </w:rPr>
            </w:pPr>
          </w:p>
          <w:p w14:paraId="3FC5CFAC" w14:textId="77777777" w:rsidR="00252E09" w:rsidRDefault="00252E09" w:rsidP="0051293F">
            <w:pPr>
              <w:pStyle w:val="ListParagraph"/>
              <w:spacing w:after="120"/>
              <w:jc w:val="both"/>
              <w:rPr>
                <w:rFonts w:ascii="Arial" w:hAnsi="Arial" w:cs="Arial"/>
              </w:rPr>
            </w:pPr>
          </w:p>
          <w:p w14:paraId="4168844C" w14:textId="77777777" w:rsidR="00252E09" w:rsidRDefault="00252E09" w:rsidP="0051293F">
            <w:pPr>
              <w:pStyle w:val="ListParagraph"/>
              <w:spacing w:after="120"/>
              <w:jc w:val="both"/>
              <w:rPr>
                <w:rFonts w:ascii="Arial" w:hAnsi="Arial" w:cs="Arial"/>
              </w:rPr>
            </w:pPr>
          </w:p>
          <w:p w14:paraId="0DCE2B52" w14:textId="77777777" w:rsidR="00252E09" w:rsidRDefault="00252E09" w:rsidP="0051293F">
            <w:pPr>
              <w:pStyle w:val="ListParagraph"/>
              <w:spacing w:after="120"/>
              <w:jc w:val="both"/>
              <w:rPr>
                <w:rFonts w:ascii="Arial" w:hAnsi="Arial" w:cs="Arial"/>
              </w:rPr>
            </w:pPr>
          </w:p>
          <w:p w14:paraId="4CC1B292" w14:textId="77777777" w:rsidR="00252E09" w:rsidRDefault="00252E09" w:rsidP="0051293F">
            <w:pPr>
              <w:pStyle w:val="ListParagraph"/>
              <w:spacing w:after="120"/>
              <w:jc w:val="both"/>
              <w:rPr>
                <w:rFonts w:ascii="Arial" w:hAnsi="Arial" w:cs="Arial"/>
              </w:rPr>
            </w:pPr>
          </w:p>
          <w:p w14:paraId="3048C486" w14:textId="77777777" w:rsidR="00252E09" w:rsidRDefault="00252E09" w:rsidP="0051293F">
            <w:pPr>
              <w:pStyle w:val="ListParagraph"/>
              <w:spacing w:after="120"/>
              <w:jc w:val="both"/>
              <w:rPr>
                <w:rFonts w:ascii="Arial" w:hAnsi="Arial" w:cs="Arial"/>
              </w:rPr>
            </w:pPr>
          </w:p>
          <w:p w14:paraId="36A8C0D8" w14:textId="77777777" w:rsidR="00252E09" w:rsidRDefault="00252E09" w:rsidP="0051293F">
            <w:pPr>
              <w:pStyle w:val="ListParagraph"/>
              <w:spacing w:after="120"/>
              <w:jc w:val="both"/>
              <w:rPr>
                <w:rFonts w:ascii="Arial" w:hAnsi="Arial" w:cs="Arial"/>
              </w:rPr>
            </w:pPr>
          </w:p>
          <w:p w14:paraId="6F431552" w14:textId="77777777" w:rsidR="00252E09" w:rsidRDefault="00252E09" w:rsidP="0051293F">
            <w:pPr>
              <w:pStyle w:val="ListParagraph"/>
              <w:spacing w:after="120"/>
              <w:jc w:val="both"/>
              <w:rPr>
                <w:rFonts w:ascii="Arial" w:hAnsi="Arial" w:cs="Arial"/>
              </w:rPr>
            </w:pPr>
          </w:p>
          <w:p w14:paraId="3DE4234C" w14:textId="77777777" w:rsidR="00252E09" w:rsidRDefault="00252E09" w:rsidP="0051293F">
            <w:pPr>
              <w:pStyle w:val="ListParagraph"/>
              <w:spacing w:after="120"/>
              <w:jc w:val="both"/>
              <w:rPr>
                <w:rFonts w:ascii="Arial" w:hAnsi="Arial" w:cs="Arial"/>
              </w:rPr>
            </w:pPr>
          </w:p>
          <w:p w14:paraId="307D5F9A" w14:textId="77777777" w:rsidR="00252E09" w:rsidRDefault="00252E09" w:rsidP="0051293F">
            <w:pPr>
              <w:pStyle w:val="ListParagraph"/>
              <w:spacing w:after="120"/>
              <w:jc w:val="both"/>
              <w:rPr>
                <w:rFonts w:ascii="Arial" w:hAnsi="Arial" w:cs="Arial"/>
              </w:rPr>
            </w:pPr>
          </w:p>
          <w:p w14:paraId="4FEA15D4" w14:textId="77777777" w:rsidR="00252E09" w:rsidRDefault="00252E09" w:rsidP="0051293F">
            <w:pPr>
              <w:pStyle w:val="ListParagraph"/>
              <w:spacing w:after="120"/>
              <w:jc w:val="both"/>
              <w:rPr>
                <w:rFonts w:ascii="Arial" w:hAnsi="Arial" w:cs="Arial"/>
              </w:rPr>
            </w:pPr>
          </w:p>
          <w:p w14:paraId="54EEC88F" w14:textId="77777777" w:rsidR="00252E09" w:rsidRDefault="00252E09" w:rsidP="0051293F">
            <w:pPr>
              <w:pStyle w:val="ListParagraph"/>
              <w:spacing w:after="120"/>
              <w:jc w:val="both"/>
              <w:rPr>
                <w:rFonts w:ascii="Arial" w:hAnsi="Arial" w:cs="Arial"/>
              </w:rPr>
            </w:pPr>
          </w:p>
          <w:p w14:paraId="15B338D5" w14:textId="77777777" w:rsidR="00546219" w:rsidRDefault="00546219" w:rsidP="0051293F">
            <w:pPr>
              <w:pStyle w:val="ListParagraph"/>
              <w:spacing w:after="120"/>
              <w:jc w:val="both"/>
              <w:rPr>
                <w:rFonts w:ascii="Arial" w:hAnsi="Arial" w:cs="Arial"/>
              </w:rPr>
            </w:pPr>
          </w:p>
          <w:p w14:paraId="3D3EF1B6" w14:textId="77777777" w:rsidR="00546219" w:rsidRDefault="00546219" w:rsidP="0051293F">
            <w:pPr>
              <w:pStyle w:val="ListParagraph"/>
              <w:spacing w:after="120"/>
              <w:jc w:val="both"/>
              <w:rPr>
                <w:rFonts w:ascii="Arial" w:hAnsi="Arial" w:cs="Arial"/>
              </w:rPr>
            </w:pPr>
          </w:p>
          <w:p w14:paraId="4B46BE36" w14:textId="77777777" w:rsidR="00546219" w:rsidRDefault="00546219" w:rsidP="0051293F">
            <w:pPr>
              <w:pStyle w:val="ListParagraph"/>
              <w:spacing w:after="120"/>
              <w:jc w:val="both"/>
              <w:rPr>
                <w:rFonts w:ascii="Arial" w:hAnsi="Arial" w:cs="Arial"/>
              </w:rPr>
            </w:pPr>
          </w:p>
          <w:p w14:paraId="221DAE87" w14:textId="77777777" w:rsidR="00546219" w:rsidRDefault="00546219" w:rsidP="0051293F">
            <w:pPr>
              <w:pStyle w:val="ListParagraph"/>
              <w:spacing w:after="120"/>
              <w:jc w:val="both"/>
              <w:rPr>
                <w:rFonts w:ascii="Arial" w:hAnsi="Arial" w:cs="Arial"/>
              </w:rPr>
            </w:pPr>
          </w:p>
          <w:p w14:paraId="5E73D0E2" w14:textId="77777777" w:rsidR="00546219" w:rsidRDefault="00546219" w:rsidP="0051293F">
            <w:pPr>
              <w:pStyle w:val="ListParagraph"/>
              <w:spacing w:after="120"/>
              <w:jc w:val="both"/>
              <w:rPr>
                <w:rFonts w:ascii="Arial" w:hAnsi="Arial" w:cs="Arial"/>
              </w:rPr>
            </w:pPr>
          </w:p>
          <w:p w14:paraId="462D5F10" w14:textId="77777777" w:rsidR="00546219" w:rsidRDefault="00546219" w:rsidP="0051293F">
            <w:pPr>
              <w:pStyle w:val="ListParagraph"/>
              <w:spacing w:after="120"/>
              <w:jc w:val="both"/>
              <w:rPr>
                <w:rFonts w:ascii="Arial" w:hAnsi="Arial" w:cs="Arial"/>
              </w:rPr>
            </w:pPr>
          </w:p>
          <w:p w14:paraId="2F44B5E4" w14:textId="77777777" w:rsidR="00546219" w:rsidRDefault="00546219" w:rsidP="0051293F">
            <w:pPr>
              <w:pStyle w:val="ListParagraph"/>
              <w:spacing w:after="120"/>
              <w:jc w:val="both"/>
              <w:rPr>
                <w:rFonts w:ascii="Arial" w:hAnsi="Arial" w:cs="Arial"/>
              </w:rPr>
            </w:pPr>
          </w:p>
          <w:p w14:paraId="53B16D78" w14:textId="77777777" w:rsidR="00546219" w:rsidRDefault="00546219" w:rsidP="0051293F">
            <w:pPr>
              <w:pStyle w:val="ListParagraph"/>
              <w:spacing w:after="120"/>
              <w:jc w:val="both"/>
              <w:rPr>
                <w:rFonts w:ascii="Arial" w:hAnsi="Arial" w:cs="Arial"/>
              </w:rPr>
            </w:pPr>
          </w:p>
          <w:p w14:paraId="238249D3" w14:textId="4BE726B4" w:rsidR="0051293F" w:rsidRPr="00BC6708" w:rsidRDefault="00252E09" w:rsidP="00BC6708">
            <w:pPr>
              <w:pStyle w:val="ListParagraph"/>
              <w:numPr>
                <w:ilvl w:val="0"/>
                <w:numId w:val="3"/>
              </w:numPr>
              <w:spacing w:after="120"/>
              <w:jc w:val="both"/>
              <w:rPr>
                <w:rFonts w:ascii="Arial" w:hAnsi="Arial" w:cs="Arial"/>
              </w:rPr>
            </w:pPr>
            <w:r w:rsidRPr="00252E09">
              <w:rPr>
                <w:rFonts w:ascii="Arial" w:hAnsi="Arial" w:cs="Arial"/>
              </w:rPr>
              <w:t>Tokio tipo detektorius yra pritaikytas UHPLC sistemai. Labai svarbu, jog mėginio kelias detektoriuje būtų ilgas siekiant padidinti detekcijos jautrumą. Tačiau svarbu atsižvelgti, jog celės tūris būtų kuo mažesnis ir artimesnis mėginio injekcijos tūriui, jog analičių pikai neprasiskiestų ir neišpl</w:t>
            </w:r>
            <w:r w:rsidR="00DE00E8">
              <w:rPr>
                <w:rFonts w:ascii="Arial" w:hAnsi="Arial" w:cs="Arial"/>
              </w:rPr>
              <w:t>i</w:t>
            </w:r>
            <w:r w:rsidRPr="00252E09">
              <w:rPr>
                <w:rFonts w:ascii="Arial" w:hAnsi="Arial" w:cs="Arial"/>
              </w:rPr>
              <w:t>stų detektoriuje. Tokiu būdu bus išlaikoma UHPLC analizės metu gauta pikų rezoliucija, forma ir jautrumas, kas garantuos kokybiškesnius rezultatus.</w:t>
            </w:r>
          </w:p>
        </w:tc>
      </w:tr>
      <w:tr w:rsidR="000F7A00" w:rsidRPr="006C3D27" w14:paraId="68851C5F" w14:textId="77777777" w:rsidTr="00025372">
        <w:trPr>
          <w:jc w:val="center"/>
        </w:trPr>
        <w:tc>
          <w:tcPr>
            <w:tcW w:w="6237" w:type="dxa"/>
          </w:tcPr>
          <w:p w14:paraId="2D9A7345" w14:textId="77777777" w:rsidR="000F7A00" w:rsidRPr="000F7A00" w:rsidRDefault="000F7A00" w:rsidP="000F7A00">
            <w:pPr>
              <w:spacing w:after="120"/>
              <w:jc w:val="both"/>
              <w:rPr>
                <w:rFonts w:ascii="Arial" w:hAnsi="Arial" w:cs="Arial"/>
              </w:rPr>
            </w:pPr>
            <w:r w:rsidRPr="000F7A00">
              <w:rPr>
                <w:rFonts w:ascii="Arial" w:hAnsi="Arial" w:cs="Arial"/>
              </w:rPr>
              <w:lastRenderedPageBreak/>
              <w:t xml:space="preserve">Internetiniuose šaltiniuose yra deklaruojama (nuoroda į šaltinį šio failo apačioje, 9 psl.), kad MassHunter programinė įranga nepalaiko jokių trečiųjų šalių prietaisų. Šis reikalavimas riboja sąžiningą konkurenciją bei atitinka tik Agilent gamintojo prietaisą. Todėl prašome pakeisti šį reikalavimą. </w:t>
            </w:r>
          </w:p>
          <w:p w14:paraId="1944DCC9" w14:textId="77777777" w:rsidR="000F7A00" w:rsidRPr="000F7A00" w:rsidRDefault="000F7A00" w:rsidP="000F7A00">
            <w:pPr>
              <w:spacing w:after="120"/>
              <w:jc w:val="both"/>
              <w:rPr>
                <w:rFonts w:ascii="Arial" w:hAnsi="Arial" w:cs="Arial"/>
              </w:rPr>
            </w:pPr>
          </w:p>
          <w:p w14:paraId="6D85C968" w14:textId="01D6BFC6" w:rsidR="000F7A00" w:rsidRPr="00E767D9" w:rsidRDefault="000F7A00" w:rsidP="000F7A00">
            <w:pPr>
              <w:spacing w:after="120"/>
              <w:jc w:val="both"/>
              <w:rPr>
                <w:rFonts w:ascii="Arial" w:hAnsi="Arial" w:cs="Arial"/>
              </w:rPr>
            </w:pPr>
            <w:r w:rsidRPr="000F7A00">
              <w:rPr>
                <w:rFonts w:ascii="Arial" w:hAnsi="Arial" w:cs="Arial"/>
              </w:rPr>
              <w:t>Prietaisas gali būti suderinamas su trigubo kvadrupolio masių spektrometriniu detektoriumi bet gali būti valdomas prietaiso gamintojo pateikiamos dedikuotos programinės įrangos pagalba.</w:t>
            </w:r>
          </w:p>
        </w:tc>
        <w:tc>
          <w:tcPr>
            <w:tcW w:w="8359" w:type="dxa"/>
          </w:tcPr>
          <w:p w14:paraId="7B9257C1" w14:textId="77777777" w:rsidR="00787969" w:rsidRPr="0037617B" w:rsidRDefault="00E80971" w:rsidP="00E80971">
            <w:pPr>
              <w:spacing w:after="120"/>
              <w:jc w:val="both"/>
              <w:rPr>
                <w:rFonts w:ascii="Arial" w:hAnsi="Arial" w:cs="Arial"/>
              </w:rPr>
            </w:pPr>
            <w:r w:rsidRPr="0037617B">
              <w:rPr>
                <w:rFonts w:ascii="Arial" w:hAnsi="Arial" w:cs="Arial"/>
              </w:rPr>
              <w:t xml:space="preserve">Reikalavimas yra būtinas ir pagrindžiamas laboratorijos poreikiu suderinti ir pritaikyti naują HPLC sistemą darbui su turimu masių spektrometrijos detektoriumi. Suderinamumas turi būti patikrintas ir patvirtintas gamintojo, jog nekiltų jokių nesklandumų dėl pilnaverčio prietaiso naudojimo ir priežiūros. Perkančiajai organizacijai šiuo metu žinomas ir tinkamas sprendimas yra tik naujos HPLC įrangos suderinamumas su masių spektrometro valdymo programa MassHunter. </w:t>
            </w:r>
          </w:p>
          <w:p w14:paraId="63610454" w14:textId="0BF3AF14" w:rsidR="00144DAD" w:rsidRPr="0037617B" w:rsidRDefault="00E80971" w:rsidP="00E80971">
            <w:pPr>
              <w:spacing w:after="120"/>
              <w:jc w:val="both"/>
              <w:rPr>
                <w:rFonts w:ascii="Arial" w:hAnsi="Arial" w:cs="Arial"/>
              </w:rPr>
            </w:pPr>
            <w:r w:rsidRPr="0037617B">
              <w:rPr>
                <w:rFonts w:ascii="Arial" w:hAnsi="Arial" w:cs="Arial"/>
              </w:rPr>
              <w:t>Tiekėjas nepaaiškina, kokiu būdų gali išpildyti šį reikalavimą, todėl siūlymas jį koreguoti nėra priimtinas, nes negalima įvertinti, ar jis bus tinkamas</w:t>
            </w:r>
            <w:r w:rsidR="00C12B1F" w:rsidRPr="0037617B">
              <w:rPr>
                <w:rFonts w:ascii="Arial" w:hAnsi="Arial" w:cs="Arial"/>
              </w:rPr>
              <w:t>,</w:t>
            </w:r>
            <w:r w:rsidRPr="0037617B">
              <w:rPr>
                <w:rFonts w:ascii="Arial" w:hAnsi="Arial" w:cs="Arial"/>
              </w:rPr>
              <w:t xml:space="preserve"> kai nėra pateikiamas siūlomo sprendimo veikimo principo paaiškinimas. </w:t>
            </w:r>
          </w:p>
          <w:p w14:paraId="5CBA35EC" w14:textId="646946E2" w:rsidR="005710B2" w:rsidRPr="0037617B" w:rsidRDefault="009847EF" w:rsidP="00E80971">
            <w:pPr>
              <w:spacing w:after="120"/>
              <w:jc w:val="both"/>
              <w:rPr>
                <w:rFonts w:ascii="Arial" w:hAnsi="Arial" w:cs="Arial"/>
              </w:rPr>
            </w:pPr>
            <w:r w:rsidRPr="0037617B">
              <w:rPr>
                <w:rFonts w:ascii="Arial" w:hAnsi="Arial" w:cs="Arial"/>
              </w:rPr>
              <w:t xml:space="preserve">Jei </w:t>
            </w:r>
            <w:r w:rsidR="00D11818" w:rsidRPr="0037617B">
              <w:rPr>
                <w:rFonts w:ascii="Arial" w:hAnsi="Arial" w:cs="Arial"/>
              </w:rPr>
              <w:t xml:space="preserve">klausimo kontekste </w:t>
            </w:r>
            <w:r w:rsidRPr="0037617B">
              <w:rPr>
                <w:rFonts w:ascii="Arial" w:hAnsi="Arial" w:cs="Arial"/>
              </w:rPr>
              <w:t>turima</w:t>
            </w:r>
            <w:r w:rsidR="00D11818" w:rsidRPr="0037617B">
              <w:rPr>
                <w:rFonts w:ascii="Arial" w:hAnsi="Arial" w:cs="Arial"/>
              </w:rPr>
              <w:t>s</w:t>
            </w:r>
            <w:r w:rsidRPr="0037617B">
              <w:rPr>
                <w:rFonts w:ascii="Arial" w:hAnsi="Arial" w:cs="Arial"/>
              </w:rPr>
              <w:t xml:space="preserve"> omenyje</w:t>
            </w:r>
            <w:r w:rsidR="00E80971" w:rsidRPr="0037617B">
              <w:rPr>
                <w:rFonts w:ascii="Arial" w:hAnsi="Arial" w:cs="Arial"/>
              </w:rPr>
              <w:t xml:space="preserve"> trečiųjų šalių sukurtos programinės įrangos panaudojimas, </w:t>
            </w:r>
            <w:r w:rsidRPr="0037617B">
              <w:rPr>
                <w:rFonts w:ascii="Arial" w:hAnsi="Arial" w:cs="Arial"/>
              </w:rPr>
              <w:t xml:space="preserve">PO nuomone, tai </w:t>
            </w:r>
            <w:r w:rsidR="00E80971" w:rsidRPr="0037617B">
              <w:rPr>
                <w:rFonts w:ascii="Arial" w:hAnsi="Arial" w:cs="Arial"/>
              </w:rPr>
              <w:t xml:space="preserve">lemtų, jog HPLC ir masių spektrometrą valdytų dvi skirtingos programos. Toks sprendimas stipriai apsunkintų </w:t>
            </w:r>
            <w:r w:rsidR="003E2563" w:rsidRPr="0037617B">
              <w:rPr>
                <w:rFonts w:ascii="Arial" w:hAnsi="Arial" w:cs="Arial"/>
              </w:rPr>
              <w:t>vykdomus tyrimus</w:t>
            </w:r>
            <w:r w:rsidR="00E80971" w:rsidRPr="0037617B">
              <w:rPr>
                <w:rFonts w:ascii="Arial" w:hAnsi="Arial" w:cs="Arial"/>
              </w:rPr>
              <w:t xml:space="preserve">, kadangi abu prietaisai turi vykdyti analizę tandemiškai norint patikimai interpretuoti jų gaunamus rezultatus. </w:t>
            </w:r>
            <w:r w:rsidR="005710B2" w:rsidRPr="0037617B">
              <w:rPr>
                <w:rFonts w:ascii="Arial" w:hAnsi="Arial" w:cs="Arial"/>
              </w:rPr>
              <w:t>Čia svarbūs yra keli momentai:</w:t>
            </w:r>
          </w:p>
          <w:p w14:paraId="7FFD1DDD" w14:textId="35D13A19" w:rsidR="00E80971" w:rsidRPr="0037617B" w:rsidRDefault="005710B2" w:rsidP="00284FF0">
            <w:pPr>
              <w:pStyle w:val="ListParagraph"/>
              <w:numPr>
                <w:ilvl w:val="0"/>
                <w:numId w:val="7"/>
              </w:numPr>
              <w:spacing w:after="120"/>
              <w:jc w:val="both"/>
              <w:rPr>
                <w:rFonts w:ascii="Arial" w:hAnsi="Arial" w:cs="Arial"/>
              </w:rPr>
            </w:pPr>
            <w:r w:rsidRPr="0037617B">
              <w:rPr>
                <w:rFonts w:ascii="Arial" w:hAnsi="Arial" w:cs="Arial"/>
              </w:rPr>
              <w:t xml:space="preserve">tikslus </w:t>
            </w:r>
            <w:r w:rsidR="00E80971" w:rsidRPr="0037617B">
              <w:rPr>
                <w:rFonts w:ascii="Arial" w:hAnsi="Arial" w:cs="Arial"/>
              </w:rPr>
              <w:t xml:space="preserve">HPLC analizės startas yra labai svarbus masių spektrometrinei analizei, kadangi galutiniuose rezultatuose vertinama su HPLC ir su masių spektrometrų surinktų duomenų visuma. </w:t>
            </w:r>
          </w:p>
          <w:p w14:paraId="64F6DCD8" w14:textId="2855D214" w:rsidR="005710B2" w:rsidRPr="0037617B" w:rsidRDefault="005710B2" w:rsidP="005710B2">
            <w:pPr>
              <w:pStyle w:val="ListParagraph"/>
              <w:numPr>
                <w:ilvl w:val="0"/>
                <w:numId w:val="7"/>
              </w:numPr>
              <w:spacing w:after="120"/>
              <w:jc w:val="both"/>
              <w:rPr>
                <w:rFonts w:ascii="Arial" w:hAnsi="Arial" w:cs="Arial"/>
              </w:rPr>
            </w:pPr>
            <w:r w:rsidRPr="0037617B">
              <w:rPr>
                <w:rFonts w:ascii="Arial" w:hAnsi="Arial" w:cs="Arial"/>
              </w:rPr>
              <w:t>galimybė skirtingiems analizės laiko intervalams suprogramuoti skirtingus MS prietaiso parametrus</w:t>
            </w:r>
            <w:r w:rsidR="004E14F4" w:rsidRPr="0037617B">
              <w:rPr>
                <w:rFonts w:ascii="Arial" w:hAnsi="Arial" w:cs="Arial"/>
              </w:rPr>
              <w:t xml:space="preserve"> įgalina efektyviai analizuoti sudėtingus junginių mišinius</w:t>
            </w:r>
            <w:r w:rsidRPr="0037617B">
              <w:rPr>
                <w:rFonts w:ascii="Arial" w:hAnsi="Arial" w:cs="Arial"/>
              </w:rPr>
              <w:t xml:space="preserve">. </w:t>
            </w:r>
          </w:p>
          <w:p w14:paraId="4D1E1020" w14:textId="01F49C5C" w:rsidR="005710B2" w:rsidRPr="0037617B" w:rsidRDefault="005710B2" w:rsidP="005710B2">
            <w:pPr>
              <w:pStyle w:val="ListParagraph"/>
              <w:numPr>
                <w:ilvl w:val="0"/>
                <w:numId w:val="7"/>
              </w:numPr>
              <w:spacing w:after="120"/>
              <w:jc w:val="both"/>
              <w:rPr>
                <w:rFonts w:ascii="Arial" w:hAnsi="Arial" w:cs="Arial"/>
              </w:rPr>
            </w:pPr>
            <w:r w:rsidRPr="0037617B">
              <w:rPr>
                <w:rFonts w:ascii="Arial" w:hAnsi="Arial" w:cs="Arial"/>
              </w:rPr>
              <w:t xml:space="preserve">galimybė </w:t>
            </w:r>
            <w:r w:rsidR="004E14F4" w:rsidRPr="0037617B">
              <w:rPr>
                <w:rFonts w:ascii="Arial" w:hAnsi="Arial" w:cs="Arial"/>
              </w:rPr>
              <w:t xml:space="preserve">programuotai </w:t>
            </w:r>
            <w:r w:rsidRPr="0037617B">
              <w:rPr>
                <w:rFonts w:ascii="Arial" w:hAnsi="Arial" w:cs="Arial"/>
              </w:rPr>
              <w:t>nukreipti LC srautą arba į masių analizatorių, arba į atliekas. "</w:t>
            </w:r>
            <w:r w:rsidR="004E14F4" w:rsidRPr="0037617B">
              <w:rPr>
                <w:rFonts w:ascii="Arial" w:hAnsi="Arial" w:cs="Arial"/>
              </w:rPr>
              <w:t>T</w:t>
            </w:r>
            <w:r w:rsidRPr="0037617B">
              <w:rPr>
                <w:rFonts w:ascii="Arial" w:hAnsi="Arial" w:cs="Arial"/>
              </w:rPr>
              <w:t>uščio" LC srauto nukreipimas į at</w:t>
            </w:r>
            <w:r w:rsidR="004E14F4" w:rsidRPr="0037617B">
              <w:rPr>
                <w:rFonts w:ascii="Arial" w:hAnsi="Arial" w:cs="Arial"/>
              </w:rPr>
              <w:t>l</w:t>
            </w:r>
            <w:r w:rsidRPr="0037617B">
              <w:rPr>
                <w:rFonts w:ascii="Arial" w:hAnsi="Arial" w:cs="Arial"/>
              </w:rPr>
              <w:t>iekas leidžia sumažinti MS jonų šaltinio taršą bei prailginant jo eksploatavimo laiką.</w:t>
            </w:r>
          </w:p>
          <w:p w14:paraId="5F8ECF63" w14:textId="3D92B292" w:rsidR="005710B2" w:rsidRPr="0037617B" w:rsidRDefault="004E14F4" w:rsidP="005710B2">
            <w:pPr>
              <w:pStyle w:val="ListParagraph"/>
              <w:numPr>
                <w:ilvl w:val="0"/>
                <w:numId w:val="7"/>
              </w:numPr>
              <w:spacing w:after="120"/>
              <w:jc w:val="both"/>
              <w:rPr>
                <w:rFonts w:ascii="Arial" w:hAnsi="Arial" w:cs="Arial"/>
              </w:rPr>
            </w:pPr>
            <w:r w:rsidRPr="0037617B">
              <w:rPr>
                <w:rFonts w:ascii="Arial" w:hAnsi="Arial" w:cs="Arial"/>
              </w:rPr>
              <w:t>g</w:t>
            </w:r>
            <w:r w:rsidR="005710B2" w:rsidRPr="0037617B">
              <w:rPr>
                <w:rFonts w:ascii="Arial" w:hAnsi="Arial" w:cs="Arial"/>
              </w:rPr>
              <w:t xml:space="preserve">alimybė viename duomenų faile kaupti </w:t>
            </w:r>
            <w:r w:rsidRPr="0037617B">
              <w:rPr>
                <w:rFonts w:ascii="Arial" w:hAnsi="Arial" w:cs="Arial"/>
              </w:rPr>
              <w:t xml:space="preserve">momentinę </w:t>
            </w:r>
            <w:r w:rsidR="005710B2" w:rsidRPr="0037617B">
              <w:rPr>
                <w:rFonts w:ascii="Arial" w:hAnsi="Arial" w:cs="Arial"/>
              </w:rPr>
              <w:t xml:space="preserve">informaciją ne tik apie analizuojamus junginius, bet ir apie kertinius prietaiso/analizės parametrus. </w:t>
            </w:r>
            <w:r w:rsidR="005710B2" w:rsidRPr="0037617B">
              <w:rPr>
                <w:rFonts w:ascii="Arial" w:hAnsi="Arial" w:cs="Arial"/>
              </w:rPr>
              <w:lastRenderedPageBreak/>
              <w:t xml:space="preserve">Tai leidžia patogiai </w:t>
            </w:r>
            <w:r w:rsidRPr="0037617B">
              <w:rPr>
                <w:rFonts w:ascii="Arial" w:hAnsi="Arial" w:cs="Arial"/>
              </w:rPr>
              <w:t xml:space="preserve">sugretinti </w:t>
            </w:r>
            <w:r w:rsidR="005710B2" w:rsidRPr="0037617B">
              <w:rPr>
                <w:rFonts w:ascii="Arial" w:hAnsi="Arial" w:cs="Arial"/>
              </w:rPr>
              <w:t xml:space="preserve">analizės </w:t>
            </w:r>
            <w:r w:rsidRPr="0037617B">
              <w:rPr>
                <w:rFonts w:ascii="Arial" w:hAnsi="Arial" w:cs="Arial"/>
              </w:rPr>
              <w:t xml:space="preserve">duomenis su prietaiso </w:t>
            </w:r>
            <w:r w:rsidR="005710B2" w:rsidRPr="0037617B">
              <w:rPr>
                <w:rFonts w:ascii="Arial" w:hAnsi="Arial" w:cs="Arial"/>
              </w:rPr>
              <w:t>informaciją, bei efektyviai optimizuoti analizės metodus tolimesniems eksperimentams atlikti.</w:t>
            </w:r>
          </w:p>
          <w:p w14:paraId="5F051A94" w14:textId="77777777" w:rsidR="005710B2" w:rsidRPr="0037617B" w:rsidRDefault="005710B2" w:rsidP="00284FF0">
            <w:pPr>
              <w:pStyle w:val="ListParagraph"/>
              <w:spacing w:after="120"/>
              <w:jc w:val="both"/>
              <w:rPr>
                <w:rFonts w:ascii="Arial" w:hAnsi="Arial" w:cs="Arial"/>
              </w:rPr>
            </w:pPr>
          </w:p>
          <w:p w14:paraId="408C7C30" w14:textId="6F678E0E" w:rsidR="000F7A00" w:rsidRPr="0037617B" w:rsidRDefault="002968D7" w:rsidP="00E80971">
            <w:pPr>
              <w:spacing w:after="120"/>
              <w:jc w:val="both"/>
              <w:rPr>
                <w:rFonts w:ascii="Arial" w:hAnsi="Arial" w:cs="Arial"/>
              </w:rPr>
            </w:pPr>
            <w:r w:rsidRPr="0037617B">
              <w:rPr>
                <w:rFonts w:ascii="Arial" w:hAnsi="Arial" w:cs="Arial"/>
              </w:rPr>
              <w:t xml:space="preserve">Taip pat </w:t>
            </w:r>
            <w:r w:rsidR="00E80971" w:rsidRPr="0037617B">
              <w:rPr>
                <w:rFonts w:ascii="Arial" w:hAnsi="Arial" w:cs="Arial"/>
              </w:rPr>
              <w:t>svarbu užtikrinti vientisos HPLC-MS sistemos servisą, kurį atliktų vietinis gamintojo apmokytas serviso inžinierius.</w:t>
            </w:r>
          </w:p>
        </w:tc>
      </w:tr>
      <w:tr w:rsidR="00790887" w:rsidRPr="006C3D27" w14:paraId="3865AB7D" w14:textId="77777777" w:rsidTr="00025372">
        <w:trPr>
          <w:jc w:val="center"/>
        </w:trPr>
        <w:tc>
          <w:tcPr>
            <w:tcW w:w="6237" w:type="dxa"/>
          </w:tcPr>
          <w:p w14:paraId="5220045A" w14:textId="77777777" w:rsidR="00790887" w:rsidRPr="00790887" w:rsidRDefault="00790887" w:rsidP="00790887">
            <w:pPr>
              <w:spacing w:after="120"/>
              <w:jc w:val="both"/>
              <w:rPr>
                <w:rFonts w:ascii="Arial" w:hAnsi="Arial" w:cs="Arial"/>
              </w:rPr>
            </w:pPr>
            <w:r w:rsidRPr="00790887">
              <w:rPr>
                <w:rFonts w:ascii="Arial" w:hAnsi="Arial" w:cs="Arial"/>
              </w:rPr>
              <w:lastRenderedPageBreak/>
              <w:t>1.2.6</w:t>
            </w:r>
            <w:r w:rsidRPr="00790887">
              <w:rPr>
                <w:rFonts w:ascii="Arial" w:hAnsi="Arial" w:cs="Arial"/>
              </w:rPr>
              <w:tab/>
              <w:t>Mėginių talpa</w:t>
            </w:r>
            <w:r w:rsidRPr="00790887">
              <w:rPr>
                <w:rFonts w:ascii="Arial" w:hAnsi="Arial" w:cs="Arial"/>
              </w:rPr>
              <w:tab/>
              <w:t>Privalo būti ne mažiau nei 400 pozicijų standartiniams chromatografiniams buteliukams.</w:t>
            </w:r>
          </w:p>
          <w:p w14:paraId="437ACE02" w14:textId="05991785" w:rsidR="00790887" w:rsidRPr="000F7A00" w:rsidRDefault="00790887" w:rsidP="00790887">
            <w:pPr>
              <w:spacing w:after="120"/>
              <w:jc w:val="both"/>
              <w:rPr>
                <w:rFonts w:ascii="Arial" w:hAnsi="Arial" w:cs="Arial"/>
              </w:rPr>
            </w:pPr>
            <w:r w:rsidRPr="00790887">
              <w:rPr>
                <w:rFonts w:ascii="Arial" w:hAnsi="Arial" w:cs="Arial"/>
              </w:rPr>
              <w:t>Perteklinis reikalavimas; Reikalingas patikslinimas, kokio tūrio mėgintuvėliai yra laikomi kaip standartiniais</w:t>
            </w:r>
            <w:r w:rsidR="0005391E">
              <w:rPr>
                <w:rFonts w:ascii="Arial" w:hAnsi="Arial" w:cs="Arial"/>
              </w:rPr>
              <w:t>.</w:t>
            </w:r>
          </w:p>
        </w:tc>
        <w:tc>
          <w:tcPr>
            <w:tcW w:w="8359" w:type="dxa"/>
          </w:tcPr>
          <w:p w14:paraId="593DF17A" w14:textId="36AE9D6F" w:rsidR="00790887" w:rsidRPr="00E80971" w:rsidRDefault="004B61C3" w:rsidP="00E80971">
            <w:pPr>
              <w:spacing w:after="120"/>
              <w:jc w:val="both"/>
              <w:rPr>
                <w:rFonts w:ascii="Arial" w:hAnsi="Arial" w:cs="Arial"/>
              </w:rPr>
            </w:pPr>
            <w:r w:rsidRPr="004B61C3">
              <w:rPr>
                <w:rFonts w:ascii="Arial" w:hAnsi="Arial" w:cs="Arial"/>
              </w:rPr>
              <w:t xml:space="preserve">Dėkojame už </w:t>
            </w:r>
            <w:r>
              <w:rPr>
                <w:rFonts w:ascii="Arial" w:hAnsi="Arial" w:cs="Arial"/>
              </w:rPr>
              <w:t>pastabą</w:t>
            </w:r>
            <w:r w:rsidRPr="004B61C3">
              <w:rPr>
                <w:rFonts w:ascii="Arial" w:hAnsi="Arial" w:cs="Arial"/>
              </w:rPr>
              <w:t xml:space="preserve">, įvertinsime </w:t>
            </w:r>
            <w:r w:rsidR="00BB4595">
              <w:rPr>
                <w:rFonts w:ascii="Arial" w:hAnsi="Arial" w:cs="Arial"/>
              </w:rPr>
              <w:t>ruošdami pirkimo dokumentus</w:t>
            </w:r>
            <w:r>
              <w:rPr>
                <w:rFonts w:ascii="Arial" w:hAnsi="Arial" w:cs="Arial"/>
              </w:rPr>
              <w:t>.</w:t>
            </w:r>
          </w:p>
        </w:tc>
      </w:tr>
    </w:tbl>
    <w:p w14:paraId="65D091F1" w14:textId="70B29F3A" w:rsidR="00EF794A" w:rsidRDefault="00EF794A" w:rsidP="00091921">
      <w:pPr>
        <w:rPr>
          <w:rFonts w:ascii="Arial" w:hAnsi="Arial" w:cs="Arial"/>
        </w:rPr>
      </w:pPr>
    </w:p>
    <w:p w14:paraId="1832AD1E" w14:textId="77777777" w:rsidR="00113EAF" w:rsidRPr="00113EAF" w:rsidRDefault="00113EAF" w:rsidP="00113EAF">
      <w:pPr>
        <w:rPr>
          <w:rFonts w:ascii="Arial" w:hAnsi="Arial" w:cs="Arial"/>
        </w:rPr>
      </w:pPr>
      <w:r w:rsidRPr="00113EAF">
        <w:rPr>
          <w:rFonts w:ascii="Arial" w:hAnsi="Arial" w:cs="Arial"/>
        </w:rPr>
        <w:t xml:space="preserve">Pažymime, kad Perkančioji organizacija, skelbdama numatomą pirkimą, neįsipareigoja atsižvelgti į visus rinkos konsultacijos metu pateiktus tiekėjų siūlymus, pastabas, įžvalgas. </w:t>
      </w:r>
    </w:p>
    <w:p w14:paraId="3C3FA66F" w14:textId="7BFA8DB5" w:rsidR="00113EAF" w:rsidRDefault="00C31AA3" w:rsidP="000867FC">
      <w:pPr>
        <w:jc w:val="both"/>
        <w:rPr>
          <w:rFonts w:ascii="Arial" w:hAnsi="Arial" w:cs="Arial"/>
        </w:rPr>
      </w:pPr>
      <w:r>
        <w:rPr>
          <w:rFonts w:ascii="Arial" w:hAnsi="Arial" w:cs="Arial"/>
        </w:rPr>
        <w:t>Taip pat i</w:t>
      </w:r>
      <w:r w:rsidR="00113EAF" w:rsidRPr="00113EAF">
        <w:rPr>
          <w:rFonts w:ascii="Arial" w:hAnsi="Arial" w:cs="Arial"/>
        </w:rPr>
        <w:t xml:space="preserve">nformuojame, kad detalūs reikalavimai bus paskelbti kartu su numatomo pirkimo dokumentais, prašome sekti </w:t>
      </w:r>
      <w:r>
        <w:rPr>
          <w:rFonts w:ascii="Arial" w:hAnsi="Arial" w:cs="Arial"/>
        </w:rPr>
        <w:t xml:space="preserve">aktualią </w:t>
      </w:r>
      <w:r w:rsidR="00113EAF" w:rsidRPr="00113EAF">
        <w:rPr>
          <w:rFonts w:ascii="Arial" w:hAnsi="Arial" w:cs="Arial"/>
        </w:rPr>
        <w:t>informaciją Centrinėje viešųjų pirkimų informacinėje sistemoje</w:t>
      </w:r>
      <w:r w:rsidR="00FF66CB">
        <w:rPr>
          <w:rFonts w:ascii="Arial" w:hAnsi="Arial" w:cs="Arial"/>
        </w:rPr>
        <w:t xml:space="preserve"> ir dalyvauti pirkime</w:t>
      </w:r>
      <w:r w:rsidR="00113EAF" w:rsidRPr="00113EAF">
        <w:rPr>
          <w:rFonts w:ascii="Arial" w:hAnsi="Arial" w:cs="Arial"/>
        </w:rPr>
        <w:t>.</w:t>
      </w:r>
    </w:p>
    <w:p w14:paraId="788AD804" w14:textId="77777777" w:rsidR="00113EAF" w:rsidRPr="00917A60" w:rsidRDefault="00113EAF" w:rsidP="00091921">
      <w:pPr>
        <w:rPr>
          <w:rFonts w:ascii="Arial" w:hAnsi="Arial" w:cs="Arial"/>
        </w:rPr>
      </w:pPr>
    </w:p>
    <w:sectPr w:rsidR="00113EAF" w:rsidRPr="00917A60" w:rsidSect="00025372">
      <w:footerReference w:type="default" r:id="rId16"/>
      <w:pgSz w:w="16838" w:h="11906" w:orient="landscape"/>
      <w:pgMar w:top="1701" w:right="678"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F3BDF" w14:textId="77777777" w:rsidR="008A5245" w:rsidRDefault="008A5245" w:rsidP="00AC6BF8">
      <w:pPr>
        <w:spacing w:after="0" w:line="240" w:lineRule="auto"/>
      </w:pPr>
      <w:r>
        <w:separator/>
      </w:r>
    </w:p>
  </w:endnote>
  <w:endnote w:type="continuationSeparator" w:id="0">
    <w:p w14:paraId="20DD8B2B" w14:textId="77777777" w:rsidR="008A5245" w:rsidRDefault="008A5245" w:rsidP="00AC6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8531319"/>
      <w:docPartObj>
        <w:docPartGallery w:val="Page Numbers (Bottom of Page)"/>
        <w:docPartUnique/>
      </w:docPartObj>
    </w:sdtPr>
    <w:sdtEndPr/>
    <w:sdtContent>
      <w:p w14:paraId="4DB1FA7D" w14:textId="3AE03EE0" w:rsidR="00AC6BF8" w:rsidRDefault="00AC6BF8">
        <w:pPr>
          <w:pStyle w:val="Footer"/>
          <w:jc w:val="right"/>
        </w:pPr>
        <w:r>
          <w:fldChar w:fldCharType="begin"/>
        </w:r>
        <w:r>
          <w:instrText>PAGE   \* MERGEFORMAT</w:instrText>
        </w:r>
        <w:r>
          <w:fldChar w:fldCharType="separate"/>
        </w:r>
        <w:r w:rsidR="008E2B38">
          <w:rPr>
            <w:noProof/>
          </w:rPr>
          <w:t>5</w:t>
        </w:r>
        <w:r>
          <w:fldChar w:fldCharType="end"/>
        </w:r>
      </w:p>
    </w:sdtContent>
  </w:sdt>
  <w:p w14:paraId="46460743" w14:textId="77777777" w:rsidR="00AC6BF8" w:rsidRDefault="00AC6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49D68" w14:textId="77777777" w:rsidR="008A5245" w:rsidRDefault="008A5245" w:rsidP="00AC6BF8">
      <w:pPr>
        <w:spacing w:after="0" w:line="240" w:lineRule="auto"/>
      </w:pPr>
      <w:r>
        <w:separator/>
      </w:r>
    </w:p>
  </w:footnote>
  <w:footnote w:type="continuationSeparator" w:id="0">
    <w:p w14:paraId="7A4F1A76" w14:textId="77777777" w:rsidR="008A5245" w:rsidRDefault="008A5245" w:rsidP="00AC6B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95553"/>
    <w:multiLevelType w:val="hybridMultilevel"/>
    <w:tmpl w:val="5C20AA5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B440B24"/>
    <w:multiLevelType w:val="hybridMultilevel"/>
    <w:tmpl w:val="9BE068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165AB5"/>
    <w:multiLevelType w:val="hybridMultilevel"/>
    <w:tmpl w:val="3E4A095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65291A45"/>
    <w:multiLevelType w:val="multilevel"/>
    <w:tmpl w:val="064AC0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15:restartNumberingAfterBreak="0">
    <w:nsid w:val="6F5605BC"/>
    <w:multiLevelType w:val="hybridMultilevel"/>
    <w:tmpl w:val="F300F892"/>
    <w:lvl w:ilvl="0" w:tplc="122CA268">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0984B5C"/>
    <w:multiLevelType w:val="hybridMultilevel"/>
    <w:tmpl w:val="9FE47A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5BF72A1"/>
    <w:multiLevelType w:val="hybridMultilevel"/>
    <w:tmpl w:val="C53C0D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6"/>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EAE"/>
    <w:rsid w:val="00002053"/>
    <w:rsid w:val="00010E08"/>
    <w:rsid w:val="000128B8"/>
    <w:rsid w:val="00022182"/>
    <w:rsid w:val="00024700"/>
    <w:rsid w:val="00025372"/>
    <w:rsid w:val="00025802"/>
    <w:rsid w:val="000348CD"/>
    <w:rsid w:val="00035A0A"/>
    <w:rsid w:val="00040E99"/>
    <w:rsid w:val="000442B5"/>
    <w:rsid w:val="00044AEB"/>
    <w:rsid w:val="0005391E"/>
    <w:rsid w:val="00071809"/>
    <w:rsid w:val="0007574E"/>
    <w:rsid w:val="00082554"/>
    <w:rsid w:val="00082858"/>
    <w:rsid w:val="0008474D"/>
    <w:rsid w:val="000867FC"/>
    <w:rsid w:val="00086FFF"/>
    <w:rsid w:val="00091921"/>
    <w:rsid w:val="000A57ED"/>
    <w:rsid w:val="000B011C"/>
    <w:rsid w:val="000B09DC"/>
    <w:rsid w:val="000B1913"/>
    <w:rsid w:val="000C51AA"/>
    <w:rsid w:val="000C5F5D"/>
    <w:rsid w:val="000C74DC"/>
    <w:rsid w:val="000E0FD1"/>
    <w:rsid w:val="000F7A00"/>
    <w:rsid w:val="00105FA1"/>
    <w:rsid w:val="00106468"/>
    <w:rsid w:val="00111BED"/>
    <w:rsid w:val="00113EAF"/>
    <w:rsid w:val="001261A1"/>
    <w:rsid w:val="001268FE"/>
    <w:rsid w:val="00134ED7"/>
    <w:rsid w:val="0013600C"/>
    <w:rsid w:val="00144DAD"/>
    <w:rsid w:val="00163F4D"/>
    <w:rsid w:val="001656FB"/>
    <w:rsid w:val="001704BC"/>
    <w:rsid w:val="001714FF"/>
    <w:rsid w:val="00176427"/>
    <w:rsid w:val="00186D4F"/>
    <w:rsid w:val="00190587"/>
    <w:rsid w:val="00192289"/>
    <w:rsid w:val="00195411"/>
    <w:rsid w:val="001B1428"/>
    <w:rsid w:val="001B33BF"/>
    <w:rsid w:val="001C17CC"/>
    <w:rsid w:val="001C6BA7"/>
    <w:rsid w:val="001C7F50"/>
    <w:rsid w:val="001D43C7"/>
    <w:rsid w:val="001D5896"/>
    <w:rsid w:val="00200B34"/>
    <w:rsid w:val="00212902"/>
    <w:rsid w:val="0022488E"/>
    <w:rsid w:val="00234736"/>
    <w:rsid w:val="00237830"/>
    <w:rsid w:val="00246843"/>
    <w:rsid w:val="00247565"/>
    <w:rsid w:val="00250CEF"/>
    <w:rsid w:val="00252E09"/>
    <w:rsid w:val="00255013"/>
    <w:rsid w:val="0026625D"/>
    <w:rsid w:val="00274D97"/>
    <w:rsid w:val="00284FF0"/>
    <w:rsid w:val="002866FE"/>
    <w:rsid w:val="002968D7"/>
    <w:rsid w:val="002B3236"/>
    <w:rsid w:val="002B73D4"/>
    <w:rsid w:val="002C3DCE"/>
    <w:rsid w:val="002D6516"/>
    <w:rsid w:val="002E011A"/>
    <w:rsid w:val="002F5998"/>
    <w:rsid w:val="0030092C"/>
    <w:rsid w:val="003020CE"/>
    <w:rsid w:val="0031320B"/>
    <w:rsid w:val="003135C1"/>
    <w:rsid w:val="00320DFE"/>
    <w:rsid w:val="0034117D"/>
    <w:rsid w:val="00341AA9"/>
    <w:rsid w:val="00347C99"/>
    <w:rsid w:val="003521A2"/>
    <w:rsid w:val="00352745"/>
    <w:rsid w:val="00352B70"/>
    <w:rsid w:val="00364940"/>
    <w:rsid w:val="003670AD"/>
    <w:rsid w:val="00371F13"/>
    <w:rsid w:val="0037269A"/>
    <w:rsid w:val="00373D9B"/>
    <w:rsid w:val="0037617B"/>
    <w:rsid w:val="00376361"/>
    <w:rsid w:val="00381563"/>
    <w:rsid w:val="003B0CCB"/>
    <w:rsid w:val="003B3BC1"/>
    <w:rsid w:val="003C202F"/>
    <w:rsid w:val="003C43C8"/>
    <w:rsid w:val="003D091A"/>
    <w:rsid w:val="003D2018"/>
    <w:rsid w:val="003D777A"/>
    <w:rsid w:val="003E0BF8"/>
    <w:rsid w:val="003E2563"/>
    <w:rsid w:val="003E6AB7"/>
    <w:rsid w:val="003F6F9F"/>
    <w:rsid w:val="004021A4"/>
    <w:rsid w:val="0041351B"/>
    <w:rsid w:val="004209E7"/>
    <w:rsid w:val="00431328"/>
    <w:rsid w:val="00431B10"/>
    <w:rsid w:val="00433483"/>
    <w:rsid w:val="00437554"/>
    <w:rsid w:val="004458ED"/>
    <w:rsid w:val="00446F26"/>
    <w:rsid w:val="00450B7E"/>
    <w:rsid w:val="0045585C"/>
    <w:rsid w:val="004571A1"/>
    <w:rsid w:val="004640D0"/>
    <w:rsid w:val="004700A3"/>
    <w:rsid w:val="004858A8"/>
    <w:rsid w:val="004871BA"/>
    <w:rsid w:val="004A3029"/>
    <w:rsid w:val="004B1045"/>
    <w:rsid w:val="004B61C3"/>
    <w:rsid w:val="004C5545"/>
    <w:rsid w:val="004D29C1"/>
    <w:rsid w:val="004D771A"/>
    <w:rsid w:val="004E14F4"/>
    <w:rsid w:val="004E4950"/>
    <w:rsid w:val="004E5B7F"/>
    <w:rsid w:val="004F1F8F"/>
    <w:rsid w:val="004F463D"/>
    <w:rsid w:val="004F5696"/>
    <w:rsid w:val="004F6C7E"/>
    <w:rsid w:val="004F7759"/>
    <w:rsid w:val="004F7868"/>
    <w:rsid w:val="005027FC"/>
    <w:rsid w:val="00502E5D"/>
    <w:rsid w:val="00506396"/>
    <w:rsid w:val="00507A83"/>
    <w:rsid w:val="00512190"/>
    <w:rsid w:val="0051293F"/>
    <w:rsid w:val="00515AFD"/>
    <w:rsid w:val="00517C40"/>
    <w:rsid w:val="00533BA1"/>
    <w:rsid w:val="00534D89"/>
    <w:rsid w:val="00544539"/>
    <w:rsid w:val="00546219"/>
    <w:rsid w:val="00547721"/>
    <w:rsid w:val="0056254B"/>
    <w:rsid w:val="005710B2"/>
    <w:rsid w:val="005724B3"/>
    <w:rsid w:val="00572A5E"/>
    <w:rsid w:val="00594737"/>
    <w:rsid w:val="00595B46"/>
    <w:rsid w:val="005A43C9"/>
    <w:rsid w:val="005A4710"/>
    <w:rsid w:val="005A6716"/>
    <w:rsid w:val="005B53AB"/>
    <w:rsid w:val="005D175E"/>
    <w:rsid w:val="005D360B"/>
    <w:rsid w:val="005D3C3E"/>
    <w:rsid w:val="005D48A3"/>
    <w:rsid w:val="005D5A58"/>
    <w:rsid w:val="005E0B4C"/>
    <w:rsid w:val="005E2BF3"/>
    <w:rsid w:val="005E4DF8"/>
    <w:rsid w:val="005F194A"/>
    <w:rsid w:val="005F1B70"/>
    <w:rsid w:val="005F3FBE"/>
    <w:rsid w:val="005F6739"/>
    <w:rsid w:val="00602090"/>
    <w:rsid w:val="006032CF"/>
    <w:rsid w:val="00606D58"/>
    <w:rsid w:val="00624438"/>
    <w:rsid w:val="006468CD"/>
    <w:rsid w:val="0065041B"/>
    <w:rsid w:val="00664F25"/>
    <w:rsid w:val="00665D8B"/>
    <w:rsid w:val="006865EA"/>
    <w:rsid w:val="00694A09"/>
    <w:rsid w:val="006A00BA"/>
    <w:rsid w:val="006A2F2C"/>
    <w:rsid w:val="006B4299"/>
    <w:rsid w:val="006C3C1F"/>
    <w:rsid w:val="006C3D27"/>
    <w:rsid w:val="006C590B"/>
    <w:rsid w:val="006C5EAE"/>
    <w:rsid w:val="006C7458"/>
    <w:rsid w:val="006D4E4C"/>
    <w:rsid w:val="006E0F1F"/>
    <w:rsid w:val="006E5109"/>
    <w:rsid w:val="006F0BD8"/>
    <w:rsid w:val="006F4577"/>
    <w:rsid w:val="00704331"/>
    <w:rsid w:val="00707DDB"/>
    <w:rsid w:val="00723538"/>
    <w:rsid w:val="00725BBC"/>
    <w:rsid w:val="00727020"/>
    <w:rsid w:val="00737669"/>
    <w:rsid w:val="00737713"/>
    <w:rsid w:val="007411A2"/>
    <w:rsid w:val="00747578"/>
    <w:rsid w:val="00756129"/>
    <w:rsid w:val="00764BB6"/>
    <w:rsid w:val="007711ED"/>
    <w:rsid w:val="007818C3"/>
    <w:rsid w:val="00783D8A"/>
    <w:rsid w:val="00787969"/>
    <w:rsid w:val="00790887"/>
    <w:rsid w:val="00797EBE"/>
    <w:rsid w:val="007A0917"/>
    <w:rsid w:val="007A4BCA"/>
    <w:rsid w:val="007B084B"/>
    <w:rsid w:val="007B1492"/>
    <w:rsid w:val="007B25E3"/>
    <w:rsid w:val="007B4316"/>
    <w:rsid w:val="007B7382"/>
    <w:rsid w:val="007C5C64"/>
    <w:rsid w:val="007D4ECA"/>
    <w:rsid w:val="007D5A21"/>
    <w:rsid w:val="007D5CFB"/>
    <w:rsid w:val="007E0C20"/>
    <w:rsid w:val="007E1A6A"/>
    <w:rsid w:val="007E419A"/>
    <w:rsid w:val="007E47A3"/>
    <w:rsid w:val="007F000E"/>
    <w:rsid w:val="007F2F78"/>
    <w:rsid w:val="007F44B1"/>
    <w:rsid w:val="00805819"/>
    <w:rsid w:val="00806472"/>
    <w:rsid w:val="0081219E"/>
    <w:rsid w:val="00813782"/>
    <w:rsid w:val="00835BB0"/>
    <w:rsid w:val="00844DD0"/>
    <w:rsid w:val="00856BE9"/>
    <w:rsid w:val="00856FF8"/>
    <w:rsid w:val="00861148"/>
    <w:rsid w:val="0086769E"/>
    <w:rsid w:val="00873C4F"/>
    <w:rsid w:val="00875FF6"/>
    <w:rsid w:val="00881157"/>
    <w:rsid w:val="00882788"/>
    <w:rsid w:val="008867EF"/>
    <w:rsid w:val="00894296"/>
    <w:rsid w:val="00895002"/>
    <w:rsid w:val="008A5245"/>
    <w:rsid w:val="008A6A6C"/>
    <w:rsid w:val="008B2C2F"/>
    <w:rsid w:val="008B3424"/>
    <w:rsid w:val="008B473E"/>
    <w:rsid w:val="008B4D35"/>
    <w:rsid w:val="008D173D"/>
    <w:rsid w:val="008D30A4"/>
    <w:rsid w:val="008D475A"/>
    <w:rsid w:val="008D5BF1"/>
    <w:rsid w:val="008D7849"/>
    <w:rsid w:val="008E2B38"/>
    <w:rsid w:val="008F3C19"/>
    <w:rsid w:val="0090260E"/>
    <w:rsid w:val="00904B41"/>
    <w:rsid w:val="00906174"/>
    <w:rsid w:val="00915E5D"/>
    <w:rsid w:val="00917A60"/>
    <w:rsid w:val="00923812"/>
    <w:rsid w:val="009276DF"/>
    <w:rsid w:val="00931036"/>
    <w:rsid w:val="0094292D"/>
    <w:rsid w:val="009429A5"/>
    <w:rsid w:val="0094444E"/>
    <w:rsid w:val="009454D1"/>
    <w:rsid w:val="00953CDF"/>
    <w:rsid w:val="00956F0A"/>
    <w:rsid w:val="00967099"/>
    <w:rsid w:val="009745FE"/>
    <w:rsid w:val="009822A5"/>
    <w:rsid w:val="009833DD"/>
    <w:rsid w:val="009847EF"/>
    <w:rsid w:val="00992DC7"/>
    <w:rsid w:val="009A4B0C"/>
    <w:rsid w:val="009B0632"/>
    <w:rsid w:val="009B3142"/>
    <w:rsid w:val="009B42EE"/>
    <w:rsid w:val="009B62B4"/>
    <w:rsid w:val="009B7A1C"/>
    <w:rsid w:val="009B7BA1"/>
    <w:rsid w:val="009C611B"/>
    <w:rsid w:val="009D1F9D"/>
    <w:rsid w:val="009D49CE"/>
    <w:rsid w:val="009D6F21"/>
    <w:rsid w:val="009E34F3"/>
    <w:rsid w:val="009F4078"/>
    <w:rsid w:val="00A015CC"/>
    <w:rsid w:val="00A120D9"/>
    <w:rsid w:val="00A1307B"/>
    <w:rsid w:val="00A21CE0"/>
    <w:rsid w:val="00A2551E"/>
    <w:rsid w:val="00A279DD"/>
    <w:rsid w:val="00A3708C"/>
    <w:rsid w:val="00A510DF"/>
    <w:rsid w:val="00A522BA"/>
    <w:rsid w:val="00A56FFB"/>
    <w:rsid w:val="00A676BC"/>
    <w:rsid w:val="00A73213"/>
    <w:rsid w:val="00A876A8"/>
    <w:rsid w:val="00A91E02"/>
    <w:rsid w:val="00A96093"/>
    <w:rsid w:val="00AA1026"/>
    <w:rsid w:val="00AA2D43"/>
    <w:rsid w:val="00AB2469"/>
    <w:rsid w:val="00AB3B3D"/>
    <w:rsid w:val="00AB5711"/>
    <w:rsid w:val="00AB7669"/>
    <w:rsid w:val="00AC6BF8"/>
    <w:rsid w:val="00AD1323"/>
    <w:rsid w:val="00B00AE3"/>
    <w:rsid w:val="00B013DC"/>
    <w:rsid w:val="00B013E4"/>
    <w:rsid w:val="00B05579"/>
    <w:rsid w:val="00B13385"/>
    <w:rsid w:val="00B408DC"/>
    <w:rsid w:val="00B45429"/>
    <w:rsid w:val="00B46B02"/>
    <w:rsid w:val="00B61B7B"/>
    <w:rsid w:val="00B65478"/>
    <w:rsid w:val="00B6670B"/>
    <w:rsid w:val="00B75F4C"/>
    <w:rsid w:val="00B80E3B"/>
    <w:rsid w:val="00B8486E"/>
    <w:rsid w:val="00B8746E"/>
    <w:rsid w:val="00BA197F"/>
    <w:rsid w:val="00BA5F22"/>
    <w:rsid w:val="00BA7563"/>
    <w:rsid w:val="00BB4595"/>
    <w:rsid w:val="00BC17E3"/>
    <w:rsid w:val="00BC4471"/>
    <w:rsid w:val="00BC6708"/>
    <w:rsid w:val="00BE7A95"/>
    <w:rsid w:val="00BF7003"/>
    <w:rsid w:val="00C00746"/>
    <w:rsid w:val="00C00C06"/>
    <w:rsid w:val="00C030C2"/>
    <w:rsid w:val="00C04934"/>
    <w:rsid w:val="00C10603"/>
    <w:rsid w:val="00C10841"/>
    <w:rsid w:val="00C12B1F"/>
    <w:rsid w:val="00C14655"/>
    <w:rsid w:val="00C23FED"/>
    <w:rsid w:val="00C31AA3"/>
    <w:rsid w:val="00C337BA"/>
    <w:rsid w:val="00C35778"/>
    <w:rsid w:val="00C413A7"/>
    <w:rsid w:val="00C43CF8"/>
    <w:rsid w:val="00C46F6B"/>
    <w:rsid w:val="00C472B6"/>
    <w:rsid w:val="00C511BC"/>
    <w:rsid w:val="00C5224E"/>
    <w:rsid w:val="00C745D0"/>
    <w:rsid w:val="00C771C8"/>
    <w:rsid w:val="00C855E4"/>
    <w:rsid w:val="00C924B9"/>
    <w:rsid w:val="00C94583"/>
    <w:rsid w:val="00CA01FA"/>
    <w:rsid w:val="00CA46D3"/>
    <w:rsid w:val="00CA7298"/>
    <w:rsid w:val="00CB16A8"/>
    <w:rsid w:val="00CB6D27"/>
    <w:rsid w:val="00CC4A0A"/>
    <w:rsid w:val="00CC5777"/>
    <w:rsid w:val="00CD216A"/>
    <w:rsid w:val="00CD33DF"/>
    <w:rsid w:val="00CD422A"/>
    <w:rsid w:val="00CD7DBA"/>
    <w:rsid w:val="00CE4851"/>
    <w:rsid w:val="00D01C46"/>
    <w:rsid w:val="00D11818"/>
    <w:rsid w:val="00D12D75"/>
    <w:rsid w:val="00D1355F"/>
    <w:rsid w:val="00D15521"/>
    <w:rsid w:val="00D21F9D"/>
    <w:rsid w:val="00D26301"/>
    <w:rsid w:val="00D2636D"/>
    <w:rsid w:val="00D26B07"/>
    <w:rsid w:val="00D31B31"/>
    <w:rsid w:val="00D37431"/>
    <w:rsid w:val="00D41C0B"/>
    <w:rsid w:val="00D526D6"/>
    <w:rsid w:val="00D67154"/>
    <w:rsid w:val="00D73214"/>
    <w:rsid w:val="00D73C02"/>
    <w:rsid w:val="00D840F3"/>
    <w:rsid w:val="00D8652B"/>
    <w:rsid w:val="00D87AC6"/>
    <w:rsid w:val="00DB26BD"/>
    <w:rsid w:val="00DB56AA"/>
    <w:rsid w:val="00DC4C14"/>
    <w:rsid w:val="00DD5EEB"/>
    <w:rsid w:val="00DD7A10"/>
    <w:rsid w:val="00DE00E8"/>
    <w:rsid w:val="00DE0A2C"/>
    <w:rsid w:val="00DE55CD"/>
    <w:rsid w:val="00DE6E11"/>
    <w:rsid w:val="00DF48FD"/>
    <w:rsid w:val="00DF4A69"/>
    <w:rsid w:val="00DF5B97"/>
    <w:rsid w:val="00DF618D"/>
    <w:rsid w:val="00E000F9"/>
    <w:rsid w:val="00E11DF4"/>
    <w:rsid w:val="00E12551"/>
    <w:rsid w:val="00E14E76"/>
    <w:rsid w:val="00E17815"/>
    <w:rsid w:val="00E262BC"/>
    <w:rsid w:val="00E34F13"/>
    <w:rsid w:val="00E412D2"/>
    <w:rsid w:val="00E42555"/>
    <w:rsid w:val="00E432C3"/>
    <w:rsid w:val="00E53E55"/>
    <w:rsid w:val="00E572A3"/>
    <w:rsid w:val="00E634EE"/>
    <w:rsid w:val="00E63F4F"/>
    <w:rsid w:val="00E673F8"/>
    <w:rsid w:val="00E767D9"/>
    <w:rsid w:val="00E80971"/>
    <w:rsid w:val="00EA3725"/>
    <w:rsid w:val="00EC0030"/>
    <w:rsid w:val="00EC1EFE"/>
    <w:rsid w:val="00EE64CF"/>
    <w:rsid w:val="00EF0C88"/>
    <w:rsid w:val="00EF6C14"/>
    <w:rsid w:val="00EF794A"/>
    <w:rsid w:val="00F27064"/>
    <w:rsid w:val="00F27C7D"/>
    <w:rsid w:val="00F4135C"/>
    <w:rsid w:val="00F44539"/>
    <w:rsid w:val="00F50359"/>
    <w:rsid w:val="00F52D7B"/>
    <w:rsid w:val="00F54FBD"/>
    <w:rsid w:val="00F637EC"/>
    <w:rsid w:val="00F657CF"/>
    <w:rsid w:val="00F8181E"/>
    <w:rsid w:val="00F83796"/>
    <w:rsid w:val="00F85AF8"/>
    <w:rsid w:val="00F90D5A"/>
    <w:rsid w:val="00F94016"/>
    <w:rsid w:val="00FA4614"/>
    <w:rsid w:val="00FA4799"/>
    <w:rsid w:val="00FB6BE8"/>
    <w:rsid w:val="00FC6DDC"/>
    <w:rsid w:val="00FF66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127E23"/>
  <w15:chartTrackingRefBased/>
  <w15:docId w15:val="{938C65F5-DACC-45D8-BD0E-BF813B7B7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5E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79DD"/>
    <w:pPr>
      <w:ind w:left="720"/>
      <w:contextualSpacing/>
    </w:pPr>
  </w:style>
  <w:style w:type="paragraph" w:styleId="Header">
    <w:name w:val="header"/>
    <w:basedOn w:val="Normal"/>
    <w:link w:val="HeaderChar"/>
    <w:uiPriority w:val="99"/>
    <w:unhideWhenUsed/>
    <w:rsid w:val="00AC6BF8"/>
    <w:pPr>
      <w:tabs>
        <w:tab w:val="center" w:pos="4819"/>
        <w:tab w:val="right" w:pos="9638"/>
      </w:tabs>
      <w:spacing w:after="0" w:line="240" w:lineRule="auto"/>
    </w:pPr>
  </w:style>
  <w:style w:type="character" w:customStyle="1" w:styleId="HeaderChar">
    <w:name w:val="Header Char"/>
    <w:basedOn w:val="DefaultParagraphFont"/>
    <w:link w:val="Header"/>
    <w:uiPriority w:val="99"/>
    <w:rsid w:val="00AC6BF8"/>
  </w:style>
  <w:style w:type="paragraph" w:styleId="Footer">
    <w:name w:val="footer"/>
    <w:basedOn w:val="Normal"/>
    <w:link w:val="FooterChar"/>
    <w:uiPriority w:val="99"/>
    <w:unhideWhenUsed/>
    <w:rsid w:val="00AC6BF8"/>
    <w:pPr>
      <w:tabs>
        <w:tab w:val="center" w:pos="4819"/>
        <w:tab w:val="right" w:pos="9638"/>
      </w:tabs>
      <w:spacing w:after="0" w:line="240" w:lineRule="auto"/>
    </w:pPr>
  </w:style>
  <w:style w:type="character" w:customStyle="1" w:styleId="FooterChar">
    <w:name w:val="Footer Char"/>
    <w:basedOn w:val="DefaultParagraphFont"/>
    <w:link w:val="Footer"/>
    <w:uiPriority w:val="99"/>
    <w:rsid w:val="00AC6BF8"/>
  </w:style>
  <w:style w:type="character" w:styleId="CommentReference">
    <w:name w:val="annotation reference"/>
    <w:basedOn w:val="DefaultParagraphFont"/>
    <w:uiPriority w:val="99"/>
    <w:semiHidden/>
    <w:unhideWhenUsed/>
    <w:rsid w:val="00364940"/>
    <w:rPr>
      <w:sz w:val="16"/>
      <w:szCs w:val="16"/>
    </w:rPr>
  </w:style>
  <w:style w:type="paragraph" w:styleId="CommentText">
    <w:name w:val="annotation text"/>
    <w:basedOn w:val="Normal"/>
    <w:link w:val="CommentTextChar"/>
    <w:uiPriority w:val="99"/>
    <w:semiHidden/>
    <w:unhideWhenUsed/>
    <w:rsid w:val="00364940"/>
    <w:pPr>
      <w:spacing w:line="240" w:lineRule="auto"/>
    </w:pPr>
    <w:rPr>
      <w:sz w:val="20"/>
      <w:szCs w:val="20"/>
    </w:rPr>
  </w:style>
  <w:style w:type="character" w:customStyle="1" w:styleId="CommentTextChar">
    <w:name w:val="Comment Text Char"/>
    <w:basedOn w:val="DefaultParagraphFont"/>
    <w:link w:val="CommentText"/>
    <w:uiPriority w:val="99"/>
    <w:semiHidden/>
    <w:rsid w:val="00364940"/>
    <w:rPr>
      <w:sz w:val="20"/>
      <w:szCs w:val="20"/>
    </w:rPr>
  </w:style>
  <w:style w:type="paragraph" w:styleId="CommentSubject">
    <w:name w:val="annotation subject"/>
    <w:basedOn w:val="CommentText"/>
    <w:next w:val="CommentText"/>
    <w:link w:val="CommentSubjectChar"/>
    <w:uiPriority w:val="99"/>
    <w:semiHidden/>
    <w:unhideWhenUsed/>
    <w:rsid w:val="00364940"/>
    <w:rPr>
      <w:b/>
      <w:bCs/>
    </w:rPr>
  </w:style>
  <w:style w:type="character" w:customStyle="1" w:styleId="CommentSubjectChar">
    <w:name w:val="Comment Subject Char"/>
    <w:basedOn w:val="CommentTextChar"/>
    <w:link w:val="CommentSubject"/>
    <w:uiPriority w:val="99"/>
    <w:semiHidden/>
    <w:rsid w:val="00364940"/>
    <w:rPr>
      <w:b/>
      <w:bCs/>
      <w:sz w:val="20"/>
      <w:szCs w:val="20"/>
    </w:rPr>
  </w:style>
  <w:style w:type="paragraph" w:styleId="BalloonText">
    <w:name w:val="Balloon Text"/>
    <w:basedOn w:val="Normal"/>
    <w:link w:val="BalloonTextChar"/>
    <w:uiPriority w:val="99"/>
    <w:semiHidden/>
    <w:unhideWhenUsed/>
    <w:rsid w:val="003E25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563"/>
    <w:rPr>
      <w:rFonts w:ascii="Segoe UI" w:hAnsi="Segoe UI" w:cs="Segoe UI"/>
      <w:sz w:val="18"/>
      <w:szCs w:val="18"/>
    </w:rPr>
  </w:style>
  <w:style w:type="character" w:styleId="Hyperlink">
    <w:name w:val="Hyperlink"/>
    <w:basedOn w:val="DefaultParagraphFont"/>
    <w:uiPriority w:val="99"/>
    <w:unhideWhenUsed/>
    <w:rsid w:val="00A120D9"/>
    <w:rPr>
      <w:color w:val="0000FF"/>
      <w:u w:val="single"/>
    </w:rPr>
  </w:style>
  <w:style w:type="character" w:styleId="Strong">
    <w:name w:val="Strong"/>
    <w:basedOn w:val="DefaultParagraphFont"/>
    <w:uiPriority w:val="22"/>
    <w:qFormat/>
    <w:rsid w:val="00B013E4"/>
    <w:rPr>
      <w:b/>
      <w:bCs/>
    </w:rPr>
  </w:style>
  <w:style w:type="character" w:styleId="UnresolvedMention">
    <w:name w:val="Unresolved Mention"/>
    <w:basedOn w:val="DefaultParagraphFont"/>
    <w:uiPriority w:val="99"/>
    <w:semiHidden/>
    <w:unhideWhenUsed/>
    <w:rsid w:val="007270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383565">
      <w:bodyDiv w:val="1"/>
      <w:marLeft w:val="0"/>
      <w:marRight w:val="0"/>
      <w:marTop w:val="0"/>
      <w:marBottom w:val="0"/>
      <w:divBdr>
        <w:top w:val="none" w:sz="0" w:space="0" w:color="auto"/>
        <w:left w:val="none" w:sz="0" w:space="0" w:color="auto"/>
        <w:bottom w:val="none" w:sz="0" w:space="0" w:color="auto"/>
        <w:right w:val="none" w:sz="0" w:space="0" w:color="auto"/>
      </w:divBdr>
    </w:div>
    <w:div w:id="455031911">
      <w:bodyDiv w:val="1"/>
      <w:marLeft w:val="0"/>
      <w:marRight w:val="0"/>
      <w:marTop w:val="0"/>
      <w:marBottom w:val="0"/>
      <w:divBdr>
        <w:top w:val="none" w:sz="0" w:space="0" w:color="auto"/>
        <w:left w:val="none" w:sz="0" w:space="0" w:color="auto"/>
        <w:bottom w:val="none" w:sz="0" w:space="0" w:color="auto"/>
        <w:right w:val="none" w:sz="0" w:space="0" w:color="auto"/>
      </w:divBdr>
    </w:div>
    <w:div w:id="668293892">
      <w:bodyDiv w:val="1"/>
      <w:marLeft w:val="0"/>
      <w:marRight w:val="0"/>
      <w:marTop w:val="0"/>
      <w:marBottom w:val="0"/>
      <w:divBdr>
        <w:top w:val="none" w:sz="0" w:space="0" w:color="auto"/>
        <w:left w:val="none" w:sz="0" w:space="0" w:color="auto"/>
        <w:bottom w:val="none" w:sz="0" w:space="0" w:color="auto"/>
        <w:right w:val="none" w:sz="0" w:space="0" w:color="auto"/>
      </w:divBdr>
    </w:div>
    <w:div w:id="1017855194">
      <w:bodyDiv w:val="1"/>
      <w:marLeft w:val="0"/>
      <w:marRight w:val="0"/>
      <w:marTop w:val="0"/>
      <w:marBottom w:val="0"/>
      <w:divBdr>
        <w:top w:val="none" w:sz="0" w:space="0" w:color="auto"/>
        <w:left w:val="none" w:sz="0" w:space="0" w:color="auto"/>
        <w:bottom w:val="none" w:sz="0" w:space="0" w:color="auto"/>
        <w:right w:val="none" w:sz="0" w:space="0" w:color="auto"/>
      </w:divBdr>
    </w:div>
    <w:div w:id="1034423107">
      <w:bodyDiv w:val="1"/>
      <w:marLeft w:val="0"/>
      <w:marRight w:val="0"/>
      <w:marTop w:val="0"/>
      <w:marBottom w:val="0"/>
      <w:divBdr>
        <w:top w:val="none" w:sz="0" w:space="0" w:color="auto"/>
        <w:left w:val="none" w:sz="0" w:space="0" w:color="auto"/>
        <w:bottom w:val="none" w:sz="0" w:space="0" w:color="auto"/>
        <w:right w:val="none" w:sz="0" w:space="0" w:color="auto"/>
      </w:divBdr>
    </w:div>
    <w:div w:id="143277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ur-lex.europa.eu/legal-content/LT/TXT/HTML/?uri=CELEX:32011L006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r-lex.europa.eu/legal-content/LT/TXT/HTML/?uri=CELEX:32009L012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lex.europa.eu/legal-content/LT/TXT/HTML/?uri=CELEX:32011L0065" TargetMode="External"/><Relationship Id="rId5" Type="http://schemas.openxmlformats.org/officeDocument/2006/relationships/styles" Target="styles.xml"/><Relationship Id="rId15" Type="http://schemas.openxmlformats.org/officeDocument/2006/relationships/hyperlink" Target="https://europa.eu/youreurope/business/product-requirements/labels-markings/ce-marking/index_lt.htm"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lex.europa.eu/legal-content/LT/TXT/HTML/?uri=CELEX:32009L01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38C928-37CC-4C9A-9C2C-8B218DE43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904C0D-2BBB-48E1-BC53-34EB21544A63}">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938973B5-62B2-4340-9032-71B741F78E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1927</Words>
  <Characters>14666</Characters>
  <Application>Microsoft Office Word</Application>
  <DocSecurity>0</DocSecurity>
  <Lines>122</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Vinciūnas</dc:creator>
  <cp:keywords/>
  <dc:description/>
  <cp:lastModifiedBy>Author</cp:lastModifiedBy>
  <cp:revision>33</cp:revision>
  <dcterms:created xsi:type="dcterms:W3CDTF">2025-04-15T13:55:00Z</dcterms:created>
  <dcterms:modified xsi:type="dcterms:W3CDTF">2025-04-16T07:37:00Z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