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19D7" w14:textId="02A8035F" w:rsidR="00AA2FFF" w:rsidRPr="005575CE" w:rsidRDefault="00AA2FFF" w:rsidP="00AA2FFF">
      <w:pPr>
        <w:suppressAutoHyphens w:val="0"/>
        <w:jc w:val="lef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5575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</w:rPr>
        <w:t xml:space="preserve">Pirkimo sąlygų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priedas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15A14764" w14:textId="77777777" w:rsidR="00AA2FFF" w:rsidRPr="00624E89" w:rsidRDefault="00AA2FFF" w:rsidP="00AA2FFF"/>
    <w:p w14:paraId="673C8B96" w14:textId="77777777" w:rsidR="00AA2FFF" w:rsidRPr="00624E89" w:rsidRDefault="00AA2FFF" w:rsidP="00AA2FFF"/>
    <w:p w14:paraId="18C3E58B" w14:textId="77777777" w:rsidR="00AA2FFF" w:rsidRPr="00F73503" w:rsidRDefault="00AA2FFF" w:rsidP="00AA2FFF">
      <w:pPr>
        <w:suppressAutoHyphens w:val="0"/>
        <w:jc w:val="center"/>
        <w:rPr>
          <w:rFonts w:ascii="Times New Roman" w:hAnsi="Times New Roman"/>
          <w:b/>
          <w:sz w:val="24"/>
          <w:szCs w:val="24"/>
          <w:lang w:val="en-US" w:eastAsia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 w:eastAsia="en-US"/>
        </w:rPr>
        <w:t>Reikalavimai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US"/>
        </w:rPr>
        <w:t>paslaugų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en-US"/>
        </w:rPr>
        <w:t>teikimui</w:t>
      </w:r>
      <w:proofErr w:type="spellEnd"/>
      <w:r>
        <w:rPr>
          <w:rFonts w:ascii="Times New Roman" w:hAnsi="Times New Roman"/>
          <w:b/>
          <w:sz w:val="24"/>
          <w:szCs w:val="24"/>
          <w:lang w:val="en-US" w:eastAsia="en-US"/>
        </w:rPr>
        <w:t xml:space="preserve"> </w:t>
      </w:r>
      <w:r w:rsidRPr="00F73503">
        <w:rPr>
          <w:rFonts w:ascii="Times New Roman" w:hAnsi="Times New Roman"/>
          <w:b/>
          <w:sz w:val="24"/>
          <w:szCs w:val="24"/>
          <w:lang w:val="en-US" w:eastAsia="en-US"/>
        </w:rPr>
        <w:t xml:space="preserve">   </w:t>
      </w:r>
    </w:p>
    <w:p w14:paraId="2E49B620" w14:textId="77777777" w:rsidR="00AA2FFF" w:rsidRPr="00F73503" w:rsidRDefault="00AA2FFF" w:rsidP="00AA2FFF">
      <w:pPr>
        <w:suppressAutoHyphens w:val="0"/>
        <w:jc w:val="left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5CDCBF0B" w14:textId="77777777" w:rsidR="00AA2FFF" w:rsidRPr="00F73503" w:rsidRDefault="00AA2FFF" w:rsidP="00AA2FFF">
      <w:pPr>
        <w:suppressAutoHyphens w:val="0"/>
        <w:jc w:val="left"/>
        <w:rPr>
          <w:rFonts w:ascii="Times New Roman" w:hAnsi="Times New Roman"/>
          <w:b/>
          <w:bCs/>
          <w:sz w:val="24"/>
          <w:szCs w:val="24"/>
          <w:lang w:eastAsia="lt-LT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7685"/>
        <w:gridCol w:w="5632"/>
      </w:tblGrid>
      <w:tr w:rsidR="00AA2FFF" w:rsidRPr="00431C6C" w14:paraId="0D83EFA6" w14:textId="77777777" w:rsidTr="009F4FD1">
        <w:trPr>
          <w:trHeight w:val="144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E589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Eil. Nr.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8C1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Medicinos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prietaiso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</w:t>
            </w:r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avadinimas</w:t>
            </w:r>
            <w:proofErr w:type="spellEnd"/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88F7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14:paraId="0E832128" w14:textId="77777777" w:rsidR="00AA2FFF" w:rsidRPr="00F73503" w:rsidRDefault="00AA2FFF" w:rsidP="009F4FD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Techninės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proofErr w:type="gramStart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priežiūros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periodiškumas</w:t>
            </w:r>
            <w:proofErr w:type="spellEnd"/>
            <w:proofErr w:type="gramEnd"/>
          </w:p>
          <w:p w14:paraId="579BC290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per 1 </w:t>
            </w: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metus</w:t>
            </w:r>
            <w:proofErr w:type="spellEnd"/>
          </w:p>
        </w:tc>
      </w:tr>
      <w:tr w:rsidR="00AA2FFF" w:rsidRPr="00431C6C" w14:paraId="12A0A871" w14:textId="77777777" w:rsidTr="009F4FD1">
        <w:trPr>
          <w:trHeight w:val="28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64E9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b/>
                <w:i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FB8F" w14:textId="77777777" w:rsidR="00AA2FFF" w:rsidRPr="00F73503" w:rsidRDefault="00AA2FFF" w:rsidP="009F4FD1">
            <w:pPr>
              <w:suppressAutoHyphens w:val="0"/>
              <w:ind w:left="-3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0A4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 w:rsidR="00AA2FFF" w:rsidRPr="00431C6C" w14:paraId="2CB970BC" w14:textId="77777777" w:rsidTr="009F4FD1">
        <w:trPr>
          <w:trHeight w:val="848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A7C1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iCs/>
                <w:sz w:val="24"/>
                <w:szCs w:val="24"/>
                <w:lang w:val="en-US" w:eastAsia="en-US"/>
              </w:rPr>
              <w:t>1.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37F" w14:textId="77777777" w:rsidR="00AA2FFF" w:rsidRPr="00F73503" w:rsidRDefault="00AA2FFF" w:rsidP="009F4FD1">
            <w:pPr>
              <w:suppressAutoHyphens w:val="0"/>
              <w:ind w:left="-3"/>
              <w:jc w:val="left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>Frakcionuoto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 xml:space="preserve"> </w:t>
            </w: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>vakuumo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 xml:space="preserve"> AB Getinge </w:t>
            </w: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>sterilizatorius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 xml:space="preserve"> HS22 K5/K7 </w:t>
            </w:r>
            <w:proofErr w:type="spellStart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>ir</w:t>
            </w:r>
            <w:proofErr w:type="spellEnd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 xml:space="preserve"> HS11 K3/</w:t>
            </w:r>
            <w:proofErr w:type="gramStart"/>
            <w:r w:rsidRPr="00F73503">
              <w:rPr>
                <w:rFonts w:ascii="Times New Roman" w:hAnsi="Times New Roman"/>
                <w:sz w:val="24"/>
                <w:szCs w:val="24"/>
                <w:lang w:val="en-AU" w:eastAsia="zh-CN"/>
              </w:rPr>
              <w:t xml:space="preserve">K2,   </w:t>
            </w:r>
            <w:r w:rsidRPr="004C60EC">
              <w:rPr>
                <w:rFonts w:ascii="Times New Roman" w:hAnsi="Times New Roman"/>
                <w:b/>
                <w:sz w:val="24"/>
                <w:szCs w:val="24"/>
                <w:lang w:val="en-AU" w:eastAsia="zh-CN"/>
              </w:rPr>
              <w:t>( 3</w:t>
            </w:r>
            <w:proofErr w:type="gramEnd"/>
            <w:r w:rsidRPr="004C60EC">
              <w:rPr>
                <w:rFonts w:ascii="Times New Roman" w:hAnsi="Times New Roman"/>
                <w:b/>
                <w:sz w:val="24"/>
                <w:szCs w:val="24"/>
                <w:lang w:val="en-AU" w:eastAsia="zh-CN"/>
              </w:rPr>
              <w:t xml:space="preserve"> </w:t>
            </w:r>
            <w:proofErr w:type="spellStart"/>
            <w:r w:rsidRPr="004C60EC">
              <w:rPr>
                <w:rFonts w:ascii="Times New Roman" w:hAnsi="Times New Roman"/>
                <w:b/>
                <w:sz w:val="24"/>
                <w:szCs w:val="24"/>
                <w:lang w:val="en-AU" w:eastAsia="zh-CN"/>
              </w:rPr>
              <w:t>vnt</w:t>
            </w:r>
            <w:proofErr w:type="spellEnd"/>
            <w:r w:rsidRPr="004C60EC">
              <w:rPr>
                <w:rFonts w:ascii="Times New Roman" w:hAnsi="Times New Roman"/>
                <w:b/>
                <w:sz w:val="24"/>
                <w:szCs w:val="24"/>
                <w:lang w:val="en-AU" w:eastAsia="zh-CN"/>
              </w:rPr>
              <w:t>.)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DEA" w14:textId="77777777" w:rsidR="00AA2FFF" w:rsidRPr="00F73503" w:rsidRDefault="00AA2FFF" w:rsidP="009F4F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73503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</w:tr>
    </w:tbl>
    <w:p w14:paraId="6126B742" w14:textId="77777777" w:rsidR="00AA2FFF" w:rsidRPr="00F73503" w:rsidRDefault="00AA2FFF" w:rsidP="00AA2FFF">
      <w:pPr>
        <w:suppressAutoHyphens w:val="0"/>
        <w:jc w:val="left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25514C73" w14:textId="77777777" w:rsidR="00AA2FFF" w:rsidRPr="00F73503" w:rsidRDefault="00AA2FFF" w:rsidP="00AA2FFF">
      <w:pPr>
        <w:suppressAutoHyphens w:val="0"/>
        <w:jc w:val="left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3AEE99B7" w14:textId="77777777" w:rsidR="00AA2FFF" w:rsidRPr="00F73503" w:rsidRDefault="00AA2FFF" w:rsidP="00AA2FFF">
      <w:pPr>
        <w:suppressAutoHyphens w:val="0"/>
        <w:jc w:val="left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F73503">
        <w:rPr>
          <w:rFonts w:ascii="Times New Roman" w:hAnsi="Times New Roman"/>
          <w:b/>
          <w:bCs/>
          <w:sz w:val="24"/>
          <w:szCs w:val="24"/>
          <w:lang w:eastAsia="lt-LT"/>
        </w:rPr>
        <w:t>REIKALAVIMAI PASLAUGŲ TEIKIMUI</w:t>
      </w:r>
    </w:p>
    <w:p w14:paraId="6E8BD553" w14:textId="77777777" w:rsidR="00AA2FFF" w:rsidRPr="00F73503" w:rsidRDefault="00AA2FFF" w:rsidP="00AA2FFF">
      <w:pPr>
        <w:suppressAutoHyphens w:val="0"/>
        <w:jc w:val="left"/>
        <w:rPr>
          <w:rFonts w:ascii="Times New Roman" w:hAnsi="Times New Roman"/>
          <w:sz w:val="24"/>
          <w:szCs w:val="24"/>
          <w:lang w:val="de-DE" w:eastAsia="lt-LT"/>
        </w:rPr>
      </w:pPr>
    </w:p>
    <w:p w14:paraId="0583B4D0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F73503">
        <w:rPr>
          <w:rFonts w:ascii="Times New Roman" w:hAnsi="Times New Roman"/>
          <w:sz w:val="24"/>
          <w:szCs w:val="24"/>
          <w:lang w:val="de-DE" w:eastAsia="lt-LT"/>
        </w:rPr>
        <w:t>1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atlieka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įrangos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priežiūrą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–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suteikia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planines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pagal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sutarties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šalių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suderintą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pasirašytą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aptarnavimo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grafiką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28BC3328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2.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Visas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: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priežiūrą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tikrinimą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įvertinimą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bei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turi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teisę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tik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kvalifikuotas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(-i)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specialistas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(-ai).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570343B8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3.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teikdamas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pasiūlymą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dėl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(-ų)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techninės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priežiūros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(-ų)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įsipareigoti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šio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(-ų)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(-ų)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neplaninį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pagal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fiksuotą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neplaninio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1 (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vienos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valandos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įkainį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3349E0E8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4.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įsipareigoja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gavęs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pranešimą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apie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įrangos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proofErr w:type="gramStart"/>
      <w:r w:rsidRPr="004C60EC">
        <w:rPr>
          <w:rFonts w:ascii="Times New Roman" w:hAnsi="Times New Roman"/>
          <w:sz w:val="24"/>
          <w:szCs w:val="24"/>
          <w:lang w:val="de-DE" w:eastAsia="lt-LT"/>
        </w:rPr>
        <w:t>gedimą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atvykti</w:t>
      </w:r>
      <w:proofErr w:type="spellEnd"/>
      <w:proofErr w:type="gram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ne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vėliau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kaip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per 1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dieną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(12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valandų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nuo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iškvietimo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gavimo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momento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3445EFCF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5.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atstovas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atvykęs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suteikti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informuoti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atstovą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kokios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numatomos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išlaidos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kiek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laiko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truks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teikiamos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tik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gavus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atstovo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sutikimą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7A0DB5A2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6. Kai per 1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dienos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terminą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techniškai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neįmanoma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paaiškinti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perkančiosios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organizacijos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atstovui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gedimo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priežastis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išlaidas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suderinti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galutinį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terminą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7AFDF518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lastRenderedPageBreak/>
        <w:t xml:space="preserve">7.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Jeigu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sugedo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nepataisomai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raštu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patvirtina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išvadą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kad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remontuoti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netikslinga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siūlo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išbraukti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jį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aptarnaujamos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įrangos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sąrašo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</w:p>
    <w:p w14:paraId="7BB093A0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8.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Jeigu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remontui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reikalingų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detalių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kaina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didesnė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negu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20%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nuo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įsigijimo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perkančioji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organizacija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turi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teisę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paprašyti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o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tiekėjas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pateikti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montuojamų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detalių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kainą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pagrindžiančius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dokumentus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401C4F58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9.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atliktiems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darbams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suteikiamas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ne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mažesnis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kaip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3 (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trijų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mėnesių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garantijos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terminas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Pakeistoms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detalėms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>/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medžiagoms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suteikiamas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gamintojo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garantijos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terminas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bet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ne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trumpesnis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kaip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6 (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šeši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mėnesiai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191CC44E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10.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Jeigu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sugenda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galiojant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garantijos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terminui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skubiai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bet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ne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vėliau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kaip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aptarta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4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punkte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atvyksta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savo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sąskaita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</w:t>
      </w:r>
      <w:proofErr w:type="spellStart"/>
      <w:proofErr w:type="gramStart"/>
      <w:r w:rsidRPr="004C60EC">
        <w:rPr>
          <w:rFonts w:ascii="Times New Roman" w:hAnsi="Times New Roman"/>
          <w:sz w:val="24"/>
          <w:szCs w:val="24"/>
          <w:lang w:val="de-DE" w:eastAsia="lt-LT"/>
        </w:rPr>
        <w:t>neatlygintinai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suremontuoja</w:t>
      </w:r>
      <w:proofErr w:type="spellEnd"/>
      <w:proofErr w:type="gram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7FA395EF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11.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Apie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techninę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priežiūrą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tinkamumą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tolimesnei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eksploatacijai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įmonė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pažymėti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 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41BBFB78" w14:textId="23FA72BE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12.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suteikimo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faktas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įforminamas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darbuotojo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atstovo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pasirašytu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–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priėmimo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aktu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gramStart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(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remontiniu</w:t>
      </w:r>
      <w:proofErr w:type="spellEnd"/>
      <w:proofErr w:type="gram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aktu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kurio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pagrindu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išrašoma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PVM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sąskaita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faktūra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>.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63AAF7FE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13.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Medicinos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įrangos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akte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privaloma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nurodyti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remontuojamo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pavadinimą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pakeistas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remontuotas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dalis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kiekius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kainą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kainą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pagal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pirkimui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pasiūlytą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fiksuotą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įkainį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sutarties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bei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numerį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.  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30F8BD77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14. 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Jeigu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atlikus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remontą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keičiasi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eksploatacijos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sąlygos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atsirado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kitos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panašios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aplinkybės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darbuotojas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specialistas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)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apie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informuoti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atsakingą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atstovą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apmokyti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dirbti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darbuotojus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>.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5189512D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15.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Paslaugų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teikėjo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specialistas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(-ai),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esant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poreikiui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privalo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neatlygintinai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konsultuoti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pirkėjo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darbuotojus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dėl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prietaisų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eksploatacijos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ar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galimų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lt-LT"/>
        </w:rPr>
        <w:t>gedimų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lt-LT"/>
        </w:rPr>
        <w:t>.</w:t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  <w:r w:rsidRPr="004C60EC">
        <w:rPr>
          <w:rFonts w:ascii="Times New Roman" w:hAnsi="Times New Roman"/>
          <w:sz w:val="24"/>
          <w:szCs w:val="24"/>
          <w:lang w:val="de-DE" w:eastAsia="lt-LT"/>
        </w:rPr>
        <w:tab/>
      </w:r>
    </w:p>
    <w:p w14:paraId="1BFC081D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17.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Tiekėjas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turi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būti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autorizuotos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įrangos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atstovas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proofErr w:type="gramStart"/>
      <w:r w:rsidRPr="004C60EC">
        <w:rPr>
          <w:rFonts w:ascii="Times New Roman" w:hAnsi="Times New Roman"/>
          <w:sz w:val="24"/>
          <w:szCs w:val="24"/>
          <w:lang w:val="de-DE" w:eastAsia="zh-CN"/>
        </w:rPr>
        <w:t>Lietuvoje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,</w:t>
      </w:r>
      <w:proofErr w:type="gram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apmokytas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gamykloje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aptarnaujant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Getinge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dezinfekcijos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sterilizacijos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įrangą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teikiant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techninės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priežiūros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ir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remonto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paslaugas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Teikiant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techninės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būklės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paslaugas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turi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būti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įgalioti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atlikti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Valstybinės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akreditavimo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sveikatos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priežiūros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veiklai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tarnybos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leidimus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turinčios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įstaigos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.   </w:t>
      </w:r>
    </w:p>
    <w:p w14:paraId="2ECFEF11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zh-CN"/>
        </w:rPr>
      </w:pPr>
      <w:r w:rsidRPr="004C60EC">
        <w:rPr>
          <w:rFonts w:ascii="Times New Roman" w:hAnsi="Times New Roman"/>
          <w:sz w:val="24"/>
          <w:szCs w:val="24"/>
          <w:lang w:val="de-DE" w:eastAsia="lt-LT"/>
        </w:rPr>
        <w:t xml:space="preserve">18.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Tiekėjas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į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įstaigą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turi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atvykti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savo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transportu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neskaičiuojant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transporto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išlaidų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gramStart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(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visos</w:t>
      </w:r>
      <w:proofErr w:type="spellEnd"/>
      <w:proofErr w:type="gram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išlaidos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turi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būti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įskaičiuotos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į </w:t>
      </w:r>
      <w:proofErr w:type="spellStart"/>
      <w:proofErr w:type="gramStart"/>
      <w:r w:rsidRPr="004C60EC">
        <w:rPr>
          <w:rFonts w:ascii="Times New Roman" w:hAnsi="Times New Roman"/>
          <w:sz w:val="24"/>
          <w:szCs w:val="24"/>
          <w:lang w:val="de-DE" w:eastAsia="zh-CN"/>
        </w:rPr>
        <w:t>pasiūlymo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kainą</w:t>
      </w:r>
      <w:proofErr w:type="spellEnd"/>
      <w:proofErr w:type="gram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.).  </w:t>
      </w:r>
    </w:p>
    <w:p w14:paraId="7A13314B" w14:textId="77777777" w:rsidR="00AA2FFF" w:rsidRPr="004C60EC" w:rsidRDefault="00AA2FFF" w:rsidP="00AA2FFF">
      <w:pPr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19. 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Sutartis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galioja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24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mėnesius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Neišpirkus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maksimalios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sutarties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sumos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rašytiniu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šąlių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susitarimu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sutartis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gali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būti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pratęsta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dar 12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mėn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.,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bet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ne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ilgiau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kaip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36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mėn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.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Išpirkus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maksimalią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sutarties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sumą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,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sutartis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nustoja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galioti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 xml:space="preserve"> </w:t>
      </w:r>
      <w:proofErr w:type="spellStart"/>
      <w:r w:rsidRPr="004C60EC">
        <w:rPr>
          <w:rFonts w:ascii="Times New Roman" w:hAnsi="Times New Roman"/>
          <w:sz w:val="24"/>
          <w:szCs w:val="24"/>
          <w:lang w:val="de-DE" w:eastAsia="zh-CN"/>
        </w:rPr>
        <w:t>automatiškai</w:t>
      </w:r>
      <w:proofErr w:type="spellEnd"/>
      <w:r w:rsidRPr="004C60EC">
        <w:rPr>
          <w:rFonts w:ascii="Times New Roman" w:hAnsi="Times New Roman"/>
          <w:sz w:val="24"/>
          <w:szCs w:val="24"/>
          <w:lang w:val="de-DE" w:eastAsia="zh-CN"/>
        </w:rPr>
        <w:t>.</w:t>
      </w:r>
    </w:p>
    <w:p w14:paraId="4D570D72" w14:textId="77777777" w:rsidR="00AA2FFF" w:rsidRPr="004C60EC" w:rsidRDefault="00AA2FFF" w:rsidP="00AA2FFF">
      <w:pPr>
        <w:tabs>
          <w:tab w:val="left" w:pos="1245"/>
        </w:tabs>
        <w:suppressAutoHyphens w:val="0"/>
        <w:rPr>
          <w:rFonts w:ascii="Times New Roman" w:hAnsi="Times New Roman"/>
          <w:sz w:val="24"/>
          <w:szCs w:val="24"/>
          <w:lang w:val="de-DE" w:eastAsia="lt-LT"/>
        </w:rPr>
      </w:pPr>
    </w:p>
    <w:p w14:paraId="1FABAA5A" w14:textId="77777777" w:rsidR="00AA2FFF" w:rsidRDefault="00AA2FFF" w:rsidP="00AA2FFF">
      <w:pPr>
        <w:tabs>
          <w:tab w:val="left" w:pos="1245"/>
        </w:tabs>
        <w:suppressAutoHyphens w:val="0"/>
        <w:jc w:val="left"/>
        <w:rPr>
          <w:rFonts w:ascii="Times New Roman" w:hAnsi="Times New Roman"/>
          <w:sz w:val="24"/>
          <w:szCs w:val="24"/>
          <w:lang w:val="de-DE" w:eastAsia="lt-LT"/>
        </w:rPr>
      </w:pPr>
    </w:p>
    <w:p w14:paraId="17B313AB" w14:textId="77777777" w:rsidR="00AA2FFF" w:rsidRPr="002C48B3" w:rsidRDefault="00AA2FFF" w:rsidP="00AA2FFF">
      <w:pPr>
        <w:rPr>
          <w:rFonts w:ascii="Times New Roman" w:hAnsi="Times New Roman"/>
          <w:sz w:val="24"/>
          <w:szCs w:val="24"/>
          <w:lang w:val="de-DE" w:eastAsia="lt-LT"/>
        </w:rPr>
      </w:pPr>
    </w:p>
    <w:p w14:paraId="4C0639D9" w14:textId="77777777" w:rsidR="00AA2FFF" w:rsidRPr="002C48B3" w:rsidRDefault="00AA2FFF" w:rsidP="00AA2FFF">
      <w:pPr>
        <w:rPr>
          <w:rFonts w:ascii="Times New Roman" w:hAnsi="Times New Roman"/>
          <w:sz w:val="24"/>
          <w:szCs w:val="24"/>
          <w:lang w:val="de-DE" w:eastAsia="lt-LT"/>
        </w:rPr>
      </w:pPr>
    </w:p>
    <w:p w14:paraId="25E6128D" w14:textId="77777777" w:rsidR="00AA2FFF" w:rsidRPr="002C48B3" w:rsidRDefault="00AA2FFF" w:rsidP="00AA2FFF">
      <w:pPr>
        <w:rPr>
          <w:rFonts w:ascii="Times New Roman" w:hAnsi="Times New Roman"/>
          <w:sz w:val="24"/>
          <w:szCs w:val="24"/>
          <w:lang w:val="de-DE" w:eastAsia="lt-LT"/>
        </w:rPr>
      </w:pPr>
    </w:p>
    <w:p w14:paraId="0662611A" w14:textId="77777777" w:rsidR="00AA2FFF" w:rsidRPr="002C48B3" w:rsidRDefault="00AA2FFF" w:rsidP="00AA2FFF">
      <w:pPr>
        <w:rPr>
          <w:rFonts w:ascii="Times New Roman" w:hAnsi="Times New Roman"/>
          <w:sz w:val="24"/>
          <w:szCs w:val="24"/>
          <w:lang w:val="de-DE" w:eastAsia="lt-LT"/>
        </w:rPr>
      </w:pPr>
      <w:proofErr w:type="spellStart"/>
      <w:r>
        <w:rPr>
          <w:rFonts w:ascii="Times New Roman" w:hAnsi="Times New Roman"/>
          <w:sz w:val="24"/>
          <w:szCs w:val="24"/>
          <w:lang w:val="de-DE" w:eastAsia="lt-LT"/>
        </w:rPr>
        <w:t>Parengė</w:t>
      </w:r>
      <w:proofErr w:type="spellEnd"/>
      <w:r>
        <w:rPr>
          <w:rFonts w:ascii="Times New Roman" w:hAnsi="Times New Roman"/>
          <w:sz w:val="24"/>
          <w:szCs w:val="24"/>
          <w:lang w:val="de-DE" w:eastAsia="lt-LT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de-DE" w:eastAsia="lt-LT"/>
        </w:rPr>
        <w:t>slaugos</w:t>
      </w:r>
      <w:proofErr w:type="spellEnd"/>
      <w:r>
        <w:rPr>
          <w:rFonts w:ascii="Times New Roman" w:hAnsi="Times New Roman"/>
          <w:sz w:val="24"/>
          <w:szCs w:val="24"/>
          <w:lang w:val="de-DE"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de-DE" w:eastAsia="lt-LT"/>
        </w:rPr>
        <w:t>administratorė</w:t>
      </w:r>
      <w:proofErr w:type="spellEnd"/>
      <w:r>
        <w:rPr>
          <w:rFonts w:ascii="Times New Roman" w:hAnsi="Times New Roman"/>
          <w:sz w:val="24"/>
          <w:szCs w:val="24"/>
          <w:lang w:val="de-DE" w:eastAsia="lt-LT"/>
        </w:rPr>
        <w:t xml:space="preserve"> Violeta </w:t>
      </w:r>
      <w:proofErr w:type="spellStart"/>
      <w:r>
        <w:rPr>
          <w:rFonts w:ascii="Times New Roman" w:hAnsi="Times New Roman"/>
          <w:sz w:val="24"/>
          <w:szCs w:val="24"/>
          <w:lang w:val="de-DE" w:eastAsia="lt-LT"/>
        </w:rPr>
        <w:t>Žvikienė</w:t>
      </w:r>
      <w:proofErr w:type="spellEnd"/>
    </w:p>
    <w:p w14:paraId="093F17FC" w14:textId="77777777" w:rsidR="00907786" w:rsidRDefault="00907786"/>
    <w:sectPr w:rsidR="00907786" w:rsidSect="00AA2FF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FF"/>
    <w:rsid w:val="001E78D8"/>
    <w:rsid w:val="00293AC7"/>
    <w:rsid w:val="008A42DD"/>
    <w:rsid w:val="00907786"/>
    <w:rsid w:val="00AA2FFF"/>
    <w:rsid w:val="00E9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6063"/>
  <w15:chartTrackingRefBased/>
  <w15:docId w15:val="{296DBBF0-06AF-4997-9226-9B8D4A63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2FFF"/>
    <w:pPr>
      <w:suppressAutoHyphens/>
      <w:spacing w:after="0" w:line="240" w:lineRule="auto"/>
      <w:jc w:val="both"/>
    </w:pPr>
    <w:rPr>
      <w:rFonts w:ascii="Garamond" w:eastAsia="Times New Roman" w:hAnsi="Garamond" w:cs="Times New Roman"/>
      <w:kern w:val="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2FFF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2FFF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2FFF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2FFF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2FFF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2FFF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2FFF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2FFF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2FFF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2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2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2F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2FF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2FF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2F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2F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2F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2F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2FF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2FFF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2FF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2F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2FFF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2FF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2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2FF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2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2842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</dc:creator>
  <cp:keywords/>
  <dc:description/>
  <cp:lastModifiedBy>Sigitas</cp:lastModifiedBy>
  <cp:revision>1</cp:revision>
  <dcterms:created xsi:type="dcterms:W3CDTF">2025-04-16T08:15:00Z</dcterms:created>
  <dcterms:modified xsi:type="dcterms:W3CDTF">2025-04-16T08:18:00Z</dcterms:modified>
</cp:coreProperties>
</file>