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BC7A" w14:textId="77777777" w:rsidR="00EC2864" w:rsidRPr="00EC2864" w:rsidRDefault="00EC2864" w:rsidP="00EC2864">
      <w:pPr>
        <w:suppressAutoHyphens/>
        <w:autoSpaceDN w:val="0"/>
        <w:spacing w:line="240" w:lineRule="auto"/>
        <w:contextualSpacing/>
        <w:jc w:val="center"/>
        <w:rPr>
          <w:rFonts w:ascii="Montserrat" w:eastAsia="Aptos" w:hAnsi="Montserrat" w:cs="Times New Roman"/>
          <w:kern w:val="3"/>
          <w:sz w:val="20"/>
          <w:szCs w:val="20"/>
          <w14:ligatures w14:val="none"/>
        </w:rPr>
      </w:pPr>
      <w:r w:rsidRPr="00EC2864">
        <w:rPr>
          <w:rFonts w:ascii="Montserrat" w:eastAsia="Calibri" w:hAnsi="Montserrat" w:cs="Times New Roman"/>
          <w:noProof/>
          <w:color w:val="252753"/>
          <w:kern w:val="0"/>
          <w:sz w:val="20"/>
          <w:szCs w:val="20"/>
          <w14:ligatures w14:val="none"/>
        </w:rPr>
        <w:drawing>
          <wp:inline distT="0" distB="0" distL="0" distR="0" wp14:anchorId="60DAEED8" wp14:editId="4A09C7A2">
            <wp:extent cx="1717675" cy="474980"/>
            <wp:effectExtent l="0" t="0" r="0" b="1270"/>
            <wp:docPr id="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7675" cy="474980"/>
                    </a:xfrm>
                    <a:prstGeom prst="rect">
                      <a:avLst/>
                    </a:prstGeom>
                    <a:noFill/>
                    <a:ln>
                      <a:noFill/>
                    </a:ln>
                  </pic:spPr>
                </pic:pic>
              </a:graphicData>
            </a:graphic>
          </wp:inline>
        </w:drawing>
      </w:r>
    </w:p>
    <w:p w14:paraId="16D15395" w14:textId="29D58955" w:rsidR="00EC2864" w:rsidRPr="00EC2864" w:rsidRDefault="00EC2864" w:rsidP="00EC2864">
      <w:pPr>
        <w:suppressAutoHyphens/>
        <w:autoSpaceDN w:val="0"/>
        <w:spacing w:after="0" w:line="360" w:lineRule="auto"/>
        <w:contextualSpacing/>
        <w:jc w:val="center"/>
        <w:rPr>
          <w:rFonts w:ascii="Montserrat" w:eastAsia="Aptos" w:hAnsi="Montserrat" w:cs="Times New Roman"/>
          <w:kern w:val="3"/>
          <w:sz w:val="20"/>
          <w:szCs w:val="20"/>
          <w14:ligatures w14:val="none"/>
        </w:rPr>
      </w:pPr>
      <w:r w:rsidRPr="00EC2864">
        <w:rPr>
          <w:rFonts w:ascii="Montserrat" w:eastAsia="Calibri" w:hAnsi="Montserrat" w:cs="Arial"/>
          <w:bCs/>
          <w:kern w:val="0"/>
          <w:sz w:val="20"/>
          <w:szCs w:val="20"/>
          <w14:ligatures w14:val="none"/>
        </w:rPr>
        <w:t>Savivaldybės įmonė „Susisiekimo paslaugos“</w:t>
      </w:r>
      <w:r w:rsidRPr="00EC2864">
        <w:rPr>
          <w:rFonts w:ascii="Montserrat" w:eastAsia="Calibri" w:hAnsi="Montserrat" w:cs="Arial"/>
          <w:bCs/>
          <w:caps/>
          <w:kern w:val="0"/>
          <w:sz w:val="20"/>
          <w:szCs w:val="20"/>
          <w14:ligatures w14:val="none"/>
        </w:rPr>
        <w:br/>
      </w:r>
      <w:r w:rsidRPr="00EC2864">
        <w:rPr>
          <w:rFonts w:ascii="Montserrat" w:eastAsia="Calibri" w:hAnsi="Montserrat" w:cs="Arial"/>
          <w:bCs/>
          <w:kern w:val="0"/>
          <w:sz w:val="20"/>
          <w:szCs w:val="20"/>
          <w14:ligatures w14:val="none"/>
        </w:rPr>
        <w:t>Pirkimų skyrius</w:t>
      </w:r>
    </w:p>
    <w:p w14:paraId="72F33CA1" w14:textId="77777777" w:rsidR="00EC2864" w:rsidRPr="00EC2864" w:rsidRDefault="00EC2864" w:rsidP="00EC2864">
      <w:pPr>
        <w:suppressAutoHyphens/>
        <w:autoSpaceDN w:val="0"/>
        <w:spacing w:after="0" w:line="360" w:lineRule="auto"/>
        <w:contextualSpacing/>
        <w:jc w:val="center"/>
        <w:rPr>
          <w:rFonts w:ascii="Montserrat" w:eastAsia="Aptos" w:hAnsi="Montserrat" w:cs="Times New Roman"/>
          <w:kern w:val="3"/>
          <w:sz w:val="20"/>
          <w:szCs w:val="20"/>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EC2864" w:rsidRPr="00EC2864" w14:paraId="6D736B2A" w14:textId="77777777" w:rsidTr="00EC2864">
        <w:tc>
          <w:tcPr>
            <w:tcW w:w="6640" w:type="dxa"/>
            <w:tcMar>
              <w:top w:w="0" w:type="dxa"/>
              <w:left w:w="108" w:type="dxa"/>
              <w:bottom w:w="0" w:type="dxa"/>
              <w:right w:w="108" w:type="dxa"/>
            </w:tcMar>
            <w:hideMark/>
          </w:tcPr>
          <w:p w14:paraId="1376F684" w14:textId="77777777" w:rsidR="00EC2864" w:rsidRPr="00EC2864" w:rsidRDefault="00EC2864" w:rsidP="00EC2864">
            <w:pPr>
              <w:suppressAutoHyphens/>
              <w:autoSpaceDN w:val="0"/>
              <w:spacing w:after="0" w:line="276" w:lineRule="auto"/>
              <w:rPr>
                <w:rFonts w:ascii="Montserrat" w:eastAsia="Calibri" w:hAnsi="Montserrat" w:cs="Times New Roman"/>
                <w:kern w:val="0"/>
                <w:sz w:val="20"/>
                <w:szCs w:val="20"/>
                <w:lang w:val="en-US"/>
                <w14:ligatures w14:val="none"/>
              </w:rPr>
            </w:pPr>
            <w:r w:rsidRPr="00EC2864">
              <w:rPr>
                <w:rFonts w:ascii="Montserrat" w:eastAsia="Calibri" w:hAnsi="Montserrat" w:cs="Times New Roman"/>
                <w:kern w:val="0"/>
                <w:sz w:val="20"/>
                <w:szCs w:val="20"/>
                <w:lang w:val="en-US"/>
                <w14:ligatures w14:val="none"/>
              </w:rPr>
              <w:t>Suinteresuotiems dalyviams</w:t>
            </w:r>
          </w:p>
        </w:tc>
        <w:tc>
          <w:tcPr>
            <w:tcW w:w="3283" w:type="dxa"/>
            <w:gridSpan w:val="3"/>
            <w:tcMar>
              <w:top w:w="0" w:type="dxa"/>
              <w:left w:w="108" w:type="dxa"/>
              <w:bottom w:w="0" w:type="dxa"/>
              <w:right w:w="108" w:type="dxa"/>
            </w:tcMar>
            <w:hideMark/>
          </w:tcPr>
          <w:p w14:paraId="55DBD47C" w14:textId="7A635257" w:rsidR="00EC2864" w:rsidRPr="00EC2864" w:rsidRDefault="00EC2864" w:rsidP="00EC2864">
            <w:pPr>
              <w:suppressAutoHyphens/>
              <w:autoSpaceDN w:val="0"/>
              <w:spacing w:after="120" w:line="247" w:lineRule="auto"/>
              <w:rPr>
                <w:rFonts w:ascii="Montserrat" w:eastAsia="Calibri" w:hAnsi="Montserrat" w:cs="Times New Roman"/>
                <w:kern w:val="0"/>
                <w:sz w:val="20"/>
                <w:szCs w:val="20"/>
                <w:lang w:val="en-US"/>
                <w14:ligatures w14:val="none"/>
              </w:rPr>
            </w:pPr>
            <w:r w:rsidRPr="00EC2864">
              <w:rPr>
                <w:rFonts w:ascii="Montserrat" w:eastAsia="Calibri" w:hAnsi="Montserrat" w:cs="Times New Roman"/>
                <w:kern w:val="0"/>
                <w:sz w:val="20"/>
                <w:szCs w:val="20"/>
                <w:lang w:val="en-US"/>
                <w14:ligatures w14:val="none"/>
              </w:rPr>
              <w:t>2025-04-</w:t>
            </w:r>
            <w:proofErr w:type="gramStart"/>
            <w:r w:rsidRPr="00EC2864">
              <w:rPr>
                <w:rFonts w:ascii="Montserrat" w:eastAsia="Calibri" w:hAnsi="Montserrat" w:cs="Times New Roman"/>
                <w:kern w:val="0"/>
                <w:sz w:val="20"/>
                <w:szCs w:val="20"/>
                <w:lang w:val="en-US"/>
                <w14:ligatures w14:val="none"/>
              </w:rPr>
              <w:t>16  Nr</w:t>
            </w:r>
            <w:proofErr w:type="gramEnd"/>
            <w:r w:rsidRPr="00EC2864">
              <w:rPr>
                <w:rFonts w:ascii="Montserrat" w:eastAsia="Calibri" w:hAnsi="Montserrat" w:cs="Times New Roman"/>
                <w:kern w:val="0"/>
                <w:sz w:val="20"/>
                <w:szCs w:val="20"/>
                <w:lang w:val="en-US"/>
                <w14:ligatures w14:val="none"/>
              </w:rPr>
              <w:t>. 2025-SD-</w:t>
            </w:r>
            <w:r w:rsidR="007238E7">
              <w:rPr>
                <w:rFonts w:ascii="Montserrat" w:eastAsia="Calibri" w:hAnsi="Montserrat" w:cs="Times New Roman"/>
                <w:kern w:val="0"/>
                <w:sz w:val="20"/>
                <w:szCs w:val="20"/>
                <w:lang w:val="en-US"/>
                <w14:ligatures w14:val="none"/>
              </w:rPr>
              <w:t>564</w:t>
            </w:r>
          </w:p>
        </w:tc>
      </w:tr>
      <w:tr w:rsidR="00EC2864" w:rsidRPr="00EC2864" w14:paraId="2C976D19" w14:textId="77777777" w:rsidTr="00EC2864">
        <w:tc>
          <w:tcPr>
            <w:tcW w:w="7355" w:type="dxa"/>
            <w:gridSpan w:val="2"/>
            <w:tcMar>
              <w:top w:w="0" w:type="dxa"/>
              <w:left w:w="108" w:type="dxa"/>
              <w:bottom w:w="0" w:type="dxa"/>
              <w:right w:w="108" w:type="dxa"/>
            </w:tcMar>
            <w:hideMark/>
          </w:tcPr>
          <w:p w14:paraId="7FE32D74" w14:textId="77777777" w:rsidR="00EC2864" w:rsidRPr="00EC2864" w:rsidRDefault="00EC2864" w:rsidP="00EC2864">
            <w:pPr>
              <w:suppressAutoHyphens/>
              <w:autoSpaceDN w:val="0"/>
              <w:spacing w:after="120" w:line="276" w:lineRule="auto"/>
              <w:rPr>
                <w:rFonts w:ascii="Montserrat" w:eastAsia="Calibri" w:hAnsi="Montserrat" w:cs="Times New Roman"/>
                <w:kern w:val="0"/>
                <w:sz w:val="20"/>
                <w:szCs w:val="20"/>
                <w:lang w:val="en-US"/>
                <w14:ligatures w14:val="none"/>
              </w:rPr>
            </w:pPr>
            <w:r w:rsidRPr="00EC2864">
              <w:rPr>
                <w:rFonts w:ascii="Montserrat" w:eastAsia="Calibri" w:hAnsi="Montserrat" w:cs="Times New Roman"/>
                <w:kern w:val="0"/>
                <w:sz w:val="20"/>
                <w:szCs w:val="20"/>
                <w:lang w:val="en-US"/>
                <w14:ligatures w14:val="none"/>
              </w:rPr>
              <w:t>CVP IS susirašinėjimo priemonėmis</w:t>
            </w:r>
          </w:p>
        </w:tc>
        <w:tc>
          <w:tcPr>
            <w:tcW w:w="2568" w:type="dxa"/>
            <w:gridSpan w:val="2"/>
            <w:tcMar>
              <w:top w:w="0" w:type="dxa"/>
              <w:left w:w="108" w:type="dxa"/>
              <w:bottom w:w="0" w:type="dxa"/>
              <w:right w:w="108" w:type="dxa"/>
            </w:tcMar>
          </w:tcPr>
          <w:p w14:paraId="4953BD71" w14:textId="77777777" w:rsidR="00EC2864" w:rsidRPr="00EC2864" w:rsidRDefault="00EC2864" w:rsidP="00EC2864">
            <w:pPr>
              <w:suppressAutoHyphens/>
              <w:autoSpaceDN w:val="0"/>
              <w:spacing w:after="120" w:line="247" w:lineRule="auto"/>
              <w:rPr>
                <w:rFonts w:ascii="Montserrat" w:eastAsia="Calibri" w:hAnsi="Montserrat" w:cs="Times New Roman"/>
                <w:kern w:val="0"/>
                <w:sz w:val="20"/>
                <w:szCs w:val="20"/>
                <w:lang w:val="en-US"/>
                <w14:ligatures w14:val="none"/>
              </w:rPr>
            </w:pPr>
          </w:p>
        </w:tc>
      </w:tr>
      <w:tr w:rsidR="00EC2864" w:rsidRPr="00EC2864" w14:paraId="5D152E39" w14:textId="77777777" w:rsidTr="00EC2864">
        <w:trPr>
          <w:trHeight w:val="570"/>
        </w:trPr>
        <w:tc>
          <w:tcPr>
            <w:tcW w:w="9640" w:type="dxa"/>
            <w:gridSpan w:val="3"/>
            <w:tcMar>
              <w:top w:w="0" w:type="dxa"/>
              <w:left w:w="108" w:type="dxa"/>
              <w:bottom w:w="0" w:type="dxa"/>
              <w:right w:w="108" w:type="dxa"/>
            </w:tcMar>
          </w:tcPr>
          <w:p w14:paraId="484111C7" w14:textId="77777777" w:rsidR="00EC2864" w:rsidRPr="00EC2864" w:rsidRDefault="00EC2864" w:rsidP="00EC2864">
            <w:pPr>
              <w:suppressAutoHyphens/>
              <w:autoSpaceDN w:val="0"/>
              <w:spacing w:after="120" w:line="247" w:lineRule="auto"/>
              <w:rPr>
                <w:rFonts w:ascii="Montserrat" w:eastAsia="Calibri" w:hAnsi="Montserrat" w:cs="Times New Roman"/>
                <w:b/>
                <w:bCs/>
                <w:kern w:val="0"/>
                <w:sz w:val="20"/>
                <w:szCs w:val="20"/>
                <w:lang w:val="en-US"/>
                <w14:ligatures w14:val="none"/>
              </w:rPr>
            </w:pPr>
          </w:p>
          <w:p w14:paraId="0353D3E4" w14:textId="485E16B7" w:rsidR="00EC2864" w:rsidRPr="00EC2864" w:rsidRDefault="00EC2864" w:rsidP="00EC2864">
            <w:pPr>
              <w:suppressAutoHyphens/>
              <w:autoSpaceDN w:val="0"/>
              <w:spacing w:after="120" w:line="247" w:lineRule="auto"/>
              <w:rPr>
                <w:rFonts w:ascii="Montserrat" w:eastAsia="Calibri" w:hAnsi="Montserrat" w:cs="Times New Roman"/>
                <w:b/>
                <w:bCs/>
                <w:kern w:val="0"/>
                <w:sz w:val="20"/>
                <w:szCs w:val="20"/>
                <w:lang w:val="en-US"/>
                <w14:ligatures w14:val="none"/>
              </w:rPr>
            </w:pPr>
            <w:r w:rsidRPr="00EC2864">
              <w:rPr>
                <w:rFonts w:ascii="Montserrat" w:eastAsia="Calibri" w:hAnsi="Montserrat" w:cs="Times New Roman"/>
                <w:b/>
                <w:bCs/>
                <w:kern w:val="0"/>
                <w:sz w:val="20"/>
                <w:szCs w:val="20"/>
                <w:lang w:val="en-US"/>
                <w14:ligatures w14:val="none"/>
              </w:rPr>
              <w:t xml:space="preserve">DĖL PAKLAUSIMŲ NAGRINĖJIMO </w:t>
            </w:r>
          </w:p>
        </w:tc>
        <w:tc>
          <w:tcPr>
            <w:tcW w:w="283" w:type="dxa"/>
            <w:tcMar>
              <w:top w:w="0" w:type="dxa"/>
              <w:left w:w="108" w:type="dxa"/>
              <w:bottom w:w="0" w:type="dxa"/>
              <w:right w:w="108" w:type="dxa"/>
            </w:tcMar>
          </w:tcPr>
          <w:p w14:paraId="41F48814" w14:textId="77777777" w:rsidR="00EC2864" w:rsidRPr="00EC2864" w:rsidRDefault="00EC2864" w:rsidP="00EC2864">
            <w:pPr>
              <w:suppressAutoHyphens/>
              <w:autoSpaceDN w:val="0"/>
              <w:spacing w:after="120" w:line="247" w:lineRule="auto"/>
              <w:jc w:val="center"/>
              <w:rPr>
                <w:rFonts w:ascii="Montserrat" w:eastAsia="Calibri" w:hAnsi="Montserrat" w:cs="Times New Roman"/>
                <w:kern w:val="0"/>
                <w:sz w:val="20"/>
                <w:szCs w:val="20"/>
                <w:lang w:val="en-US"/>
                <w14:ligatures w14:val="none"/>
              </w:rPr>
            </w:pPr>
          </w:p>
        </w:tc>
      </w:tr>
      <w:tr w:rsidR="00EC2864" w:rsidRPr="00EC2864" w14:paraId="4E214E0E" w14:textId="77777777" w:rsidTr="00EC2864">
        <w:tc>
          <w:tcPr>
            <w:tcW w:w="9923" w:type="dxa"/>
            <w:gridSpan w:val="4"/>
            <w:tcMar>
              <w:top w:w="0" w:type="dxa"/>
              <w:left w:w="108" w:type="dxa"/>
              <w:bottom w:w="0" w:type="dxa"/>
              <w:right w:w="108" w:type="dxa"/>
            </w:tcMar>
          </w:tcPr>
          <w:p w14:paraId="109B3214"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Arial Unicode MS" w:hAnsi="Montserrat" w:cs="Arial"/>
                <w:iCs/>
                <w:sz w:val="20"/>
                <w:szCs w:val="20"/>
                <w14:ligatures w14:val="none"/>
              </w:rPr>
            </w:pPr>
            <w:r w:rsidRPr="00EC2864">
              <w:rPr>
                <w:rFonts w:ascii="Montserrat" w:eastAsia="Calibri" w:hAnsi="Montserrat" w:cs="Times New Roman"/>
                <w:kern w:val="0"/>
                <w:sz w:val="20"/>
                <w:szCs w:val="20"/>
                <w:lang w:val="en-US"/>
                <w14:ligatures w14:val="none"/>
              </w:rPr>
              <w:t xml:space="preserve">       Savivaldybės įmonės „Susisiekimo </w:t>
            </w:r>
            <w:proofErr w:type="gramStart"/>
            <w:r w:rsidRPr="00EC2864">
              <w:rPr>
                <w:rFonts w:ascii="Montserrat" w:eastAsia="Calibri" w:hAnsi="Montserrat" w:cs="Times New Roman"/>
                <w:kern w:val="0"/>
                <w:sz w:val="20"/>
                <w:szCs w:val="20"/>
                <w:lang w:val="en-US"/>
                <w14:ligatures w14:val="none"/>
              </w:rPr>
              <w:t>paslaugos“ sudaryta</w:t>
            </w:r>
            <w:proofErr w:type="gramEnd"/>
            <w:r w:rsidRPr="00EC2864">
              <w:rPr>
                <w:rFonts w:ascii="Montserrat" w:eastAsia="Calibri" w:hAnsi="Montserrat" w:cs="Times New Roman"/>
                <w:kern w:val="0"/>
                <w:sz w:val="20"/>
                <w:szCs w:val="20"/>
                <w:lang w:val="en-US"/>
                <w14:ligatures w14:val="none"/>
              </w:rPr>
              <w:t xml:space="preserve"> nuolatinė viešųjų pirkimų komisija (toliau – Komisija), vykdo Bekontakčių intelektinių nuotolinio veikimo kortelių </w:t>
            </w:r>
            <w:r w:rsidRPr="00EC2864">
              <w:rPr>
                <w:rFonts w:ascii="Montserrat" w:eastAsia="Arial Unicode MS" w:hAnsi="Montserrat" w:cs="Arial"/>
                <w:iCs/>
                <w:sz w:val="20"/>
                <w:szCs w:val="20"/>
                <w14:ligatures w14:val="none"/>
              </w:rPr>
              <w:t xml:space="preserve">viešąjį pirkimą </w:t>
            </w:r>
            <w:r w:rsidRPr="00EC2864">
              <w:rPr>
                <w:rFonts w:ascii="Montserrat" w:eastAsia="Calibri" w:hAnsi="Montserrat" w:cs="Times New Roman"/>
                <w:kern w:val="0"/>
                <w:sz w:val="20"/>
                <w:szCs w:val="20"/>
                <w:lang w:val="en-US"/>
                <w14:ligatures w14:val="none"/>
              </w:rPr>
              <w:t xml:space="preserve">(pirkimo ID. </w:t>
            </w:r>
            <w:r w:rsidRPr="00EC2864">
              <w:rPr>
                <w:rFonts w:ascii="Montserrat" w:eastAsia="Calibri" w:hAnsi="Montserrat" w:cs="Times New Roman"/>
                <w:kern w:val="0"/>
                <w:sz w:val="20"/>
                <w:szCs w:val="20"/>
                <w14:ligatures w14:val="none"/>
              </w:rPr>
              <w:t>2144099</w:t>
            </w:r>
            <w:r w:rsidRPr="00EC2864">
              <w:rPr>
                <w:rFonts w:ascii="Montserrat" w:eastAsia="Calibri" w:hAnsi="Montserrat" w:cs="Times New Roman"/>
                <w:kern w:val="0"/>
                <w:sz w:val="20"/>
                <w:szCs w:val="20"/>
                <w:lang w:val="en-US"/>
                <w14:ligatures w14:val="none"/>
              </w:rPr>
              <w:t>)</w:t>
            </w:r>
            <w:r w:rsidRPr="00EC2864">
              <w:rPr>
                <w:rFonts w:ascii="Montserrat" w:eastAsia="Calibri" w:hAnsi="Montserrat" w:cs="Calibri"/>
                <w:kern w:val="0"/>
                <w:sz w:val="20"/>
                <w:szCs w:val="20"/>
                <w:shd w:val="clear" w:color="auto" w:fill="FFFFFF"/>
                <w:lang w:val="en-US"/>
                <w14:ligatures w14:val="none"/>
              </w:rPr>
              <w:t xml:space="preserve">, </w:t>
            </w:r>
            <w:r w:rsidRPr="00EC2864">
              <w:rPr>
                <w:rFonts w:ascii="Montserrat" w:eastAsia="Calibri" w:hAnsi="Montserrat" w:cs="Times New Roman"/>
                <w:kern w:val="0"/>
                <w:sz w:val="20"/>
                <w:szCs w:val="20"/>
                <w:shd w:val="clear" w:color="auto" w:fill="FFFFFF"/>
                <w:lang w:val="en-US"/>
                <w14:ligatures w14:val="none"/>
              </w:rPr>
              <w:t xml:space="preserve">supaprastinto </w:t>
            </w:r>
            <w:r w:rsidRPr="00EC2864">
              <w:rPr>
                <w:rFonts w:ascii="Montserrat" w:eastAsia="Calibri" w:hAnsi="Montserrat" w:cs="Times New Roman"/>
                <w:kern w:val="0"/>
                <w:sz w:val="20"/>
                <w:szCs w:val="20"/>
                <w:lang w:val="en-US"/>
                <w14:ligatures w14:val="none"/>
              </w:rPr>
              <w:t>atviro konkurso būdu. </w:t>
            </w:r>
          </w:p>
          <w:p w14:paraId="2CDCD5ED"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r w:rsidRPr="00EC2864">
              <w:rPr>
                <w:rFonts w:ascii="Montserrat" w:eastAsia="Calibri" w:hAnsi="Montserrat" w:cs="Arial"/>
                <w:bCs/>
                <w:iCs/>
                <w:kern w:val="0"/>
                <w:sz w:val="20"/>
                <w:szCs w:val="20"/>
                <w:lang w:val="en-US"/>
                <w14:ligatures w14:val="none"/>
              </w:rPr>
              <w:tab/>
              <w:t>I</w:t>
            </w:r>
            <w:r w:rsidRPr="00EC2864">
              <w:rPr>
                <w:rFonts w:ascii="Montserrat" w:eastAsia="Calibri" w:hAnsi="Montserrat" w:cs="Arial"/>
                <w:bCs/>
                <w:iCs/>
                <w:kern w:val="0"/>
                <w:sz w:val="20"/>
                <w:szCs w:val="20"/>
                <w14:ligatures w14:val="none"/>
              </w:rPr>
              <w:t>nformuojame, kad 2025 m. balandžio 14 d. 17:48 val., balandžio 16 d. 09:16 val., 11:27 val. Centrinės viešųjų pirkimų informacinės sistemos (toliau – CVP IS) priemonėmis, nepraleidžiant pirkimo sąlygų 81 punkte nurodyto prašymų dėl papildomos su pirkimo dokumentais susijusios informacijos teikimo termino, buvo gauti suinteresuotų dalyvių pranešimai.</w:t>
            </w:r>
          </w:p>
          <w:p w14:paraId="2F07A277" w14:textId="352A9D79" w:rsid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r w:rsidRPr="00EC2864">
              <w:rPr>
                <w:rFonts w:ascii="Montserrat" w:eastAsia="Calibri" w:hAnsi="Montserrat" w:cs="Arial"/>
                <w:bCs/>
                <w:iCs/>
                <w:kern w:val="0"/>
                <w:sz w:val="20"/>
                <w:szCs w:val="20"/>
                <w14:ligatures w14:val="none"/>
              </w:rPr>
              <w:t xml:space="preserve">       Komisija, išnagrinėjo suinteresuotų dalyvių CVP IS priemonėmis pateiktus pranešimus ir vadovaujantis Lietuvos Respublikos viešųjų pirkimų įstatymo 36 str. 5 d. ir pirkimo dokumentų 82 punktu teikia atsakymus į klausimus: </w:t>
            </w:r>
          </w:p>
          <w:p w14:paraId="25919F18"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52F0800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 xml:space="preserve">   1 Klausimas:</w:t>
            </w:r>
          </w:p>
          <w:p w14:paraId="6F6B78DB"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 xml:space="preserve">„Prašome paaiškinti/patikslinti TS 7.1 punktą. </w:t>
            </w:r>
          </w:p>
          <w:p w14:paraId="0908693D"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„7.1. Kortelės aktyvavimo priemones fiziškai pateikia Užsakovas Tiekėjui kartu su priėmimo-perdavimo aktu, ne vėliau kaip per dienų nuo sutarties įsigaliojimo dienos. „</w:t>
            </w:r>
          </w:p>
          <w:p w14:paraId="4E9A72FD" w14:textId="3EE80206"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Ar jūs suteiksite kažkokį įrenginį? Ar saugumo raktą duomenų laikmenoje?</w:t>
            </w:r>
          </w:p>
          <w:p w14:paraId="163A385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528F3E30"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„Informuojame, kad Kortelių integracijai į JUDU sistemą tiekėjui bus išduotas kortelių inicializavimo įrangos komplektas (-ai). Tai reiškia, kad gamintojas pagamins užsakytą kortelių kiekį, jas supakuos į įmautes su lankstinukais, o tuomet, pasitelkus išduotą įrangą, kortelės turės būti inicializuotos JUDU Ridango sistemoje. Kaip atlikti inicializavimo procesą, tiekėjas bus apmokytas įrangos perdavimo metu“.</w:t>
            </w:r>
          </w:p>
          <w:p w14:paraId="5C518B35"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3F564CF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2 klausimas:</w:t>
            </w:r>
          </w:p>
          <w:p w14:paraId="63A42990" w14:textId="5E911C15"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Cs/>
                <w:i/>
                <w:iCs/>
                <w:kern w:val="0"/>
                <w:sz w:val="20"/>
                <w:szCs w:val="20"/>
                <w14:ligatures w14:val="none"/>
              </w:rPr>
              <w:t>„Kaip dažnai kortelių dizainas būtų keičiamas sutarties laikotarpiu?“</w:t>
            </w:r>
          </w:p>
          <w:p w14:paraId="2BDB55DA"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18794C30"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„Kortelių dizaino keitimas sutarties laikotarpiu nėra numatytas“.</w:t>
            </w:r>
          </w:p>
          <w:p w14:paraId="006C8590"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5E4C9AA9"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3 klausimas:</w:t>
            </w:r>
          </w:p>
          <w:p w14:paraId="3FB3A8D4" w14:textId="7FEF2C9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„Kiek skirtingų bukletų variantų bus užsakoma sutarties laikotarpiu?“</w:t>
            </w:r>
          </w:p>
          <w:p w14:paraId="6A60A31B"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305BBC57" w14:textId="77777777" w:rsid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„Sutarties laikotarpiu numatomas vienas bukleto variantas, dizaino ar turinio keitimai neplanuojami.“</w:t>
            </w:r>
          </w:p>
          <w:p w14:paraId="185D7A88"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1204EBBE" w14:textId="67D9FA14"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
                <w:bCs/>
                <w:i/>
                <w:iCs/>
                <w:kern w:val="0"/>
                <w:sz w:val="20"/>
                <w:szCs w:val="20"/>
                <w14:ligatures w14:val="none"/>
              </w:rPr>
              <w:t>4 klausimas:</w:t>
            </w:r>
          </w:p>
          <w:p w14:paraId="3345F02C" w14:textId="368D8EE6"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„Laminavimas: abiejose kortelės pusėse turi būti apsauginė plėvelė (atspari įbrėžimams, patvari laminacija). Ką tiksliai turite omenyje sakydami „atspari įbrėžimams“? Net metalas gali būti</w:t>
            </w:r>
            <w:r>
              <w:rPr>
                <w:rFonts w:ascii="Montserrat" w:eastAsia="Calibri" w:hAnsi="Montserrat" w:cs="Arial"/>
                <w:bCs/>
                <w:i/>
                <w:iCs/>
                <w:kern w:val="0"/>
                <w:sz w:val="20"/>
                <w:szCs w:val="20"/>
                <w14:ligatures w14:val="none"/>
              </w:rPr>
              <w:t xml:space="preserve"> </w:t>
            </w:r>
            <w:r w:rsidRPr="00EC2864">
              <w:rPr>
                <w:rFonts w:ascii="Montserrat" w:eastAsia="Calibri" w:hAnsi="Montserrat" w:cs="Arial"/>
                <w:bCs/>
                <w:i/>
                <w:iCs/>
                <w:kern w:val="0"/>
                <w:sz w:val="20"/>
                <w:szCs w:val="20"/>
                <w14:ligatures w14:val="none"/>
              </w:rPr>
              <w:lastRenderedPageBreak/>
              <w:t>subraižytas. Kortelių gamybos pramonėje yra tik keletas tinkamų medžiagų variantų – visi jie yra plastikai. Kitaip tariant, visos kortelės gaminamos iš tam tikros rūšies plastiko. Tačiau bet koks plastikas gali būti subraižytas, tik vieni – lengviau, kiti – sunkiau. Todėl svarbu paaiškinti, kokio atsparumo įbrėžimams tikimasi.“</w:t>
            </w:r>
          </w:p>
          <w:p w14:paraId="1D1B8FB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45644C9F"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„Sutinkame, kad absoliutus atsparumas įbrėžimams nėra įmanomas, todėl šiuo atveju turėta omenyje, kad laminavimas turi būti pakankamai patvarus įprastam naudojimui, o pati apsauginė plėvelė – ne itin jautri mechaniniams pažeidimams (pvz., laikymui piniginėje ar dažnam naudojimui kortelių skaitytuvuose).Kitaip tariant, tikimasi tokio laminavimo sprendimo, kuris yra pritaikytas tipinei plastikinės kortelės naudojimo trukmei ir pobūdžiui – atsparus lengvam braižymuisi, nesilupantis, neprarandantis optinių savybių per trumpą laiką.“</w:t>
            </w:r>
          </w:p>
          <w:p w14:paraId="33DC490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p>
          <w:p w14:paraId="24E96BA7"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5 klausimas:</w:t>
            </w:r>
          </w:p>
          <w:p w14:paraId="3A8679FD" w14:textId="6FAFE0A6"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„Ar norite tik patvirtinimo, kad kortelių gamintojas savo gamybos procesuose naudoja bent 80 % perdirbtos medžiagos? Ar reikalaujate trečiosios šalies tyrimo, kuris patvirtintų, kad konkrečios pristatytos kortelės tikrai turi bent 80 % perdirbtos medžiagos? Šiuo metu nėra nei trečiųjų šalių laboratorijų, nei žinomų technologijų, kurios galėtų tiksliai nustatyti perdirbtos medžiagos procentą plastikinėje kortelėje pagal atliktą tyrimą.“</w:t>
            </w:r>
          </w:p>
          <w:p w14:paraId="5402A079"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03D31954"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„Informuojame, kad 1 pirkimo dalies techninės specifikacijos „1.1. Techninė specifikacija_Perdirbto plastiko kortelės (1 dalis)“ 1.4 punkte nurodoma, kad kartu su pasiūlymu turi būti pateiktas galiojantis akredituotos laboratorijos patvirtinantis sertifikatas, patvirtinantis, kad gamybos procese naudojama ne mažiau kaip 80 % perdirbtos plastiko žaliavos.</w:t>
            </w:r>
          </w:p>
          <w:p w14:paraId="547F570C"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Pažymime, kad reikalaujamas sertifikatas turi pagrįsti žaliavos kilmę ir jos panaudojimą gamybos procese, o ne būti atliktas jau galutinio produkto tyrimas. Svarbu, kad dokumentas būtų išduotas akredituotos laboratorijos ir patvirtintų atitiktį šiam reikalavimui, remiantis gamintojo pateiktais duomenimis, žaliavos kilmės dokumentais ar kitais vertinamais aspektais.“</w:t>
            </w:r>
          </w:p>
          <w:p w14:paraId="343B55A8"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6351CFE4"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6 klausimas:</w:t>
            </w:r>
          </w:p>
          <w:p w14:paraId="54A15111"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„Techninėje specifikacijoje yra reikalavimas:</w:t>
            </w:r>
          </w:p>
          <w:p w14:paraId="4BAFE0F3"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„turi būti pateiktas galiojantis MIFARE sertifikatas, išduotas MIFARE Certification Institute arba lygiavertis sertifikatas“.</w:t>
            </w:r>
          </w:p>
          <w:p w14:paraId="34D01EAE" w14:textId="494A2B01"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Kokios kitos sertifikavimo labaratorijos atitinka konkurso reikalavimus? Kas sprendžia, ar sertifikatas yra lygiavertis?“</w:t>
            </w:r>
          </w:p>
          <w:p w14:paraId="2F35C065"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r w:rsidRPr="00EC2864">
              <w:rPr>
                <w:rFonts w:ascii="Montserrat" w:eastAsia="Calibri" w:hAnsi="Montserrat" w:cs="Arial"/>
                <w:b/>
                <w:bCs/>
                <w:i/>
                <w:iCs/>
                <w:kern w:val="0"/>
                <w:sz w:val="20"/>
                <w:szCs w:val="20"/>
                <w14:ligatures w14:val="none"/>
              </w:rPr>
              <w:t>Atsakymas:</w:t>
            </w:r>
          </w:p>
          <w:p w14:paraId="241C5C65" w14:textId="6F115E30" w:rsid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r w:rsidRPr="00EC2864">
              <w:rPr>
                <w:rFonts w:ascii="Montserrat" w:eastAsia="Calibri" w:hAnsi="Montserrat" w:cs="Arial"/>
                <w:bCs/>
                <w:i/>
                <w:iCs/>
                <w:kern w:val="0"/>
                <w:sz w:val="20"/>
                <w:szCs w:val="20"/>
                <w14:ligatures w14:val="none"/>
              </w:rPr>
              <w:t>„Informuojame, kad 1 pirkimo dalies techninės specifikacijos „1.1. Techninė specifikacija_Perdirbto plastiko kortelės (1 dalis)“ 1.3 punkte nurodoma, kad siūlomų kortelių atitikties patvirtinimui kartu su pasiūlymu turi būti pateiktas galiojantis MIFARE sertifikatas, išduotas MIFARE Certification Institute arba lygiavertis sertifikatas. Pažymima, kad lygiaverčiu sertifikatu laikomas dokumentas, kurio standartai visiškai atitinka arba viršija nurodytus konkrečius sertifikavimo standartus. Reikalavimas pateikti MIFARE sertifikatą nustatytas siekiant užtikrinti kortelių suderinamumą su MIFARE technologija ir gamintojo standartų laikymąsi.“</w:t>
            </w:r>
          </w:p>
          <w:p w14:paraId="5DA61AC6" w14:textId="77777777" w:rsid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3CCE7653" w14:textId="77777777" w:rsid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68D5D3ED" w14:textId="77777777" w:rsidR="00EC2864" w:rsidRPr="00EC2864" w:rsidRDefault="00EC2864" w:rsidP="00EC2864">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6D8CD055" w14:textId="77777777" w:rsidR="00EC2864" w:rsidRPr="00EC2864" w:rsidRDefault="00EC2864" w:rsidP="00EC2864">
            <w:pPr>
              <w:spacing w:line="254" w:lineRule="auto"/>
              <w:rPr>
                <w:rFonts w:ascii="Montserrat" w:eastAsia="Times New Roman" w:hAnsi="Montserrat" w:cs="Aptos"/>
                <w:color w:val="000000"/>
                <w:kern w:val="0"/>
                <w:sz w:val="20"/>
                <w:szCs w:val="20"/>
                <w:lang w:eastAsia="lt-LT"/>
                <w14:ligatures w14:val="none"/>
              </w:rPr>
            </w:pPr>
            <w:r w:rsidRPr="00EC2864">
              <w:rPr>
                <w:rFonts w:ascii="Montserrat" w:eastAsia="Times New Roman" w:hAnsi="Montserrat" w:cs="Aptos"/>
                <w:color w:val="000000"/>
                <w:kern w:val="0"/>
                <w:sz w:val="20"/>
                <w:szCs w:val="20"/>
                <w:lang w:eastAsia="lt-LT"/>
                <w14:ligatures w14:val="none"/>
              </w:rPr>
              <w:t xml:space="preserve">      Komisijos pirmininkas           </w:t>
            </w:r>
            <w:r w:rsidRPr="00EC2864">
              <w:rPr>
                <w:rFonts w:ascii="Montserrat" w:eastAsia="Times New Roman" w:hAnsi="Montserrat" w:cs="Aptos"/>
                <w:color w:val="000000"/>
                <w:kern w:val="0"/>
                <w:sz w:val="20"/>
                <w:szCs w:val="20"/>
                <w:lang w:eastAsia="lt-LT"/>
                <w14:ligatures w14:val="none"/>
              </w:rPr>
              <w:tab/>
            </w:r>
            <w:r w:rsidRPr="00EC2864">
              <w:rPr>
                <w:rFonts w:ascii="Montserrat" w:eastAsia="Times New Roman" w:hAnsi="Montserrat" w:cs="Aptos"/>
                <w:color w:val="000000"/>
                <w:kern w:val="0"/>
                <w:sz w:val="20"/>
                <w:szCs w:val="20"/>
                <w:lang w:eastAsia="lt-LT"/>
                <w14:ligatures w14:val="none"/>
              </w:rPr>
              <w:tab/>
              <w:t xml:space="preserve">                                   Mikalojus Tinteris</w:t>
            </w:r>
          </w:p>
        </w:tc>
      </w:tr>
      <w:tr w:rsidR="00EC2864" w:rsidRPr="00EC2864" w14:paraId="46BADEDE" w14:textId="77777777" w:rsidTr="00EC2864">
        <w:tc>
          <w:tcPr>
            <w:tcW w:w="9923" w:type="dxa"/>
            <w:gridSpan w:val="4"/>
            <w:tcMar>
              <w:top w:w="0" w:type="dxa"/>
              <w:left w:w="108" w:type="dxa"/>
              <w:bottom w:w="0" w:type="dxa"/>
              <w:right w:w="108" w:type="dxa"/>
            </w:tcMar>
          </w:tcPr>
          <w:p w14:paraId="6696EACE" w14:textId="77777777" w:rsidR="00EC2864" w:rsidRPr="00EC2864" w:rsidRDefault="00EC2864" w:rsidP="00EC2864">
            <w:pPr>
              <w:tabs>
                <w:tab w:val="left" w:pos="284"/>
              </w:tabs>
              <w:suppressAutoHyphens/>
              <w:autoSpaceDN w:val="0"/>
              <w:spacing w:after="0" w:line="240" w:lineRule="auto"/>
              <w:jc w:val="both"/>
              <w:textAlignment w:val="baseline"/>
              <w:rPr>
                <w:rFonts w:ascii="Montserrat" w:eastAsia="Calibri" w:hAnsi="Montserrat" w:cs="Times New Roman"/>
                <w:i/>
                <w:iCs/>
                <w:color w:val="00241A"/>
                <w:kern w:val="0"/>
                <w:sz w:val="20"/>
                <w:szCs w:val="20"/>
                <w:shd w:val="clear" w:color="auto" w:fill="FFFFFF"/>
                <w14:ligatures w14:val="none"/>
              </w:rPr>
            </w:pPr>
          </w:p>
        </w:tc>
      </w:tr>
      <w:tr w:rsidR="00EC2864" w:rsidRPr="00EC2864" w14:paraId="712FA0E5" w14:textId="77777777" w:rsidTr="00EC2864">
        <w:tc>
          <w:tcPr>
            <w:tcW w:w="9923" w:type="dxa"/>
            <w:gridSpan w:val="4"/>
            <w:tcMar>
              <w:top w:w="0" w:type="dxa"/>
              <w:left w:w="108" w:type="dxa"/>
              <w:bottom w:w="0" w:type="dxa"/>
              <w:right w:w="108" w:type="dxa"/>
            </w:tcMar>
          </w:tcPr>
          <w:p w14:paraId="0A04B20F" w14:textId="77777777" w:rsidR="00EC2864" w:rsidRPr="00EC2864" w:rsidRDefault="00EC2864" w:rsidP="00EC2864">
            <w:pPr>
              <w:tabs>
                <w:tab w:val="left" w:pos="284"/>
              </w:tabs>
              <w:suppressAutoHyphens/>
              <w:autoSpaceDN w:val="0"/>
              <w:spacing w:after="0" w:line="240" w:lineRule="auto"/>
              <w:jc w:val="both"/>
              <w:textAlignment w:val="baseline"/>
              <w:rPr>
                <w:rFonts w:ascii="Montserrat" w:eastAsia="Calibri" w:hAnsi="Montserrat" w:cs="Times New Roman"/>
                <w:b/>
                <w:bCs/>
                <w:i/>
                <w:iCs/>
                <w:kern w:val="0"/>
                <w:sz w:val="20"/>
                <w:szCs w:val="20"/>
                <w14:ligatures w14:val="none"/>
              </w:rPr>
            </w:pPr>
          </w:p>
        </w:tc>
      </w:tr>
    </w:tbl>
    <w:p w14:paraId="0AD83B1F" w14:textId="6E302335" w:rsidR="00327AA9" w:rsidRPr="00EC2864" w:rsidRDefault="00EC2864" w:rsidP="00EC2864">
      <w:pPr>
        <w:suppressAutoHyphens/>
        <w:autoSpaceDN w:val="0"/>
        <w:spacing w:line="247" w:lineRule="auto"/>
        <w:ind w:left="5184"/>
        <w:rPr>
          <w:rFonts w:ascii="Montserrat" w:eastAsia="Calibri" w:hAnsi="Montserrat" w:cs="Times New Roman"/>
          <w:kern w:val="0"/>
          <w:sz w:val="20"/>
          <w:szCs w:val="20"/>
          <w:shd w:val="clear" w:color="auto" w:fill="FFFFFF"/>
          <w14:ligatures w14:val="none"/>
        </w:rPr>
      </w:pPr>
      <w:r w:rsidRPr="00EC2864">
        <w:rPr>
          <w:rFonts w:ascii="Montserrat" w:eastAsia="Calibri" w:hAnsi="Montserrat" w:cs="Times New Roman"/>
          <w:kern w:val="0"/>
          <w:sz w:val="20"/>
          <w:szCs w:val="20"/>
          <w:shd w:val="clear" w:color="auto" w:fill="FFFFFF"/>
          <w14:ligatures w14:val="none"/>
        </w:rPr>
        <w:t>              </w:t>
      </w:r>
    </w:p>
    <w:sectPr w:rsidR="00327AA9" w:rsidRPr="00EC286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9EA3" w14:textId="77777777" w:rsidR="00EC2864" w:rsidRDefault="00EC2864" w:rsidP="00EC2864">
      <w:pPr>
        <w:spacing w:after="0" w:line="240" w:lineRule="auto"/>
      </w:pPr>
      <w:r>
        <w:separator/>
      </w:r>
    </w:p>
  </w:endnote>
  <w:endnote w:type="continuationSeparator" w:id="0">
    <w:p w14:paraId="0F3A4F29" w14:textId="77777777" w:rsidR="00EC2864" w:rsidRDefault="00EC2864" w:rsidP="00EC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E9F" w14:textId="77777777" w:rsidR="00EC2864" w:rsidRDefault="00EC2864" w:rsidP="00EC2864">
      <w:pPr>
        <w:spacing w:after="0" w:line="240" w:lineRule="auto"/>
      </w:pPr>
      <w:r>
        <w:separator/>
      </w:r>
    </w:p>
  </w:footnote>
  <w:footnote w:type="continuationSeparator" w:id="0">
    <w:p w14:paraId="3733E3EC" w14:textId="77777777" w:rsidR="00EC2864" w:rsidRDefault="00EC2864" w:rsidP="00EC2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64"/>
    <w:rsid w:val="00150685"/>
    <w:rsid w:val="00327AA9"/>
    <w:rsid w:val="007238E7"/>
    <w:rsid w:val="00B4055D"/>
    <w:rsid w:val="00B4471C"/>
    <w:rsid w:val="00EC2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7ABF"/>
  <w15:chartTrackingRefBased/>
  <w15:docId w15:val="{44357383-5424-4214-8CA5-DA8EC3D1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864"/>
    <w:rPr>
      <w:rFonts w:eastAsiaTheme="majorEastAsia" w:cstheme="majorBidi"/>
      <w:color w:val="272727" w:themeColor="text1" w:themeTint="D8"/>
    </w:rPr>
  </w:style>
  <w:style w:type="paragraph" w:styleId="Title">
    <w:name w:val="Title"/>
    <w:basedOn w:val="Normal"/>
    <w:next w:val="Normal"/>
    <w:link w:val="TitleChar"/>
    <w:uiPriority w:val="10"/>
    <w:qFormat/>
    <w:rsid w:val="00EC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C2864"/>
    <w:rPr>
      <w:i/>
      <w:iCs/>
      <w:color w:val="404040" w:themeColor="text1" w:themeTint="BF"/>
    </w:rPr>
  </w:style>
  <w:style w:type="paragraph" w:styleId="ListParagraph">
    <w:name w:val="List Paragraph"/>
    <w:basedOn w:val="Normal"/>
    <w:uiPriority w:val="34"/>
    <w:qFormat/>
    <w:rsid w:val="00EC2864"/>
    <w:pPr>
      <w:ind w:left="720"/>
      <w:contextualSpacing/>
    </w:pPr>
  </w:style>
  <w:style w:type="character" w:styleId="IntenseEmphasis">
    <w:name w:val="Intense Emphasis"/>
    <w:basedOn w:val="DefaultParagraphFont"/>
    <w:uiPriority w:val="21"/>
    <w:qFormat/>
    <w:rsid w:val="00EC2864"/>
    <w:rPr>
      <w:i/>
      <w:iCs/>
      <w:color w:val="0F4761" w:themeColor="accent1" w:themeShade="BF"/>
    </w:rPr>
  </w:style>
  <w:style w:type="paragraph" w:styleId="IntenseQuote">
    <w:name w:val="Intense Quote"/>
    <w:basedOn w:val="Normal"/>
    <w:next w:val="Normal"/>
    <w:link w:val="IntenseQuoteChar"/>
    <w:uiPriority w:val="30"/>
    <w:qFormat/>
    <w:rsid w:val="00EC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864"/>
    <w:rPr>
      <w:i/>
      <w:iCs/>
      <w:color w:val="0F4761" w:themeColor="accent1" w:themeShade="BF"/>
    </w:rPr>
  </w:style>
  <w:style w:type="character" w:styleId="IntenseReference">
    <w:name w:val="Intense Reference"/>
    <w:basedOn w:val="DefaultParagraphFont"/>
    <w:uiPriority w:val="32"/>
    <w:qFormat/>
    <w:rsid w:val="00EC2864"/>
    <w:rPr>
      <w:b/>
      <w:bCs/>
      <w:smallCaps/>
      <w:color w:val="0F4761" w:themeColor="accent1" w:themeShade="BF"/>
      <w:spacing w:val="5"/>
    </w:rPr>
  </w:style>
  <w:style w:type="paragraph" w:styleId="Header">
    <w:name w:val="header"/>
    <w:basedOn w:val="Normal"/>
    <w:link w:val="HeaderChar"/>
    <w:uiPriority w:val="99"/>
    <w:unhideWhenUsed/>
    <w:rsid w:val="00EC2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64"/>
  </w:style>
  <w:style w:type="paragraph" w:styleId="Footer">
    <w:name w:val="footer"/>
    <w:basedOn w:val="Normal"/>
    <w:link w:val="FooterChar"/>
    <w:uiPriority w:val="99"/>
    <w:unhideWhenUsed/>
    <w:rsid w:val="00EC2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3476</Words>
  <Characters>1982</Characters>
  <Application>Microsoft Office Word</Application>
  <DocSecurity>0</DocSecurity>
  <Lines>16</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2</cp:revision>
  <dcterms:created xsi:type="dcterms:W3CDTF">2025-04-16T10:26:00Z</dcterms:created>
  <dcterms:modified xsi:type="dcterms:W3CDTF">2025-04-16T11:29:00Z</dcterms:modified>
</cp:coreProperties>
</file>