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7D9EAB53" w:rsidR="001160AB" w:rsidRPr="00432475" w:rsidRDefault="00387B8C" w:rsidP="00A9381B">
      <w:pPr>
        <w:spacing w:line="259" w:lineRule="auto"/>
        <w:jc w:val="center"/>
        <w:rPr>
          <w:b/>
          <w:caps/>
          <w:sz w:val="20"/>
        </w:rPr>
      </w:pPr>
      <w:r>
        <w:rPr>
          <w:b/>
          <w:caps/>
          <w:sz w:val="20"/>
        </w:rPr>
        <w:t>ARTROSKOPINIAI IMPLANTAI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28249F1A" w:rsidR="00E04D88" w:rsidRPr="00C83F9F" w:rsidRDefault="00824E64" w:rsidP="00370518">
            <w:pPr>
              <w:jc w:val="center"/>
              <w:rPr>
                <w:b/>
                <w:kern w:val="2"/>
                <w:sz w:val="22"/>
                <w:szCs w:val="22"/>
              </w:rPr>
            </w:pPr>
            <w:proofErr w:type="spellStart"/>
            <w:r>
              <w:rPr>
                <w:b/>
                <w:sz w:val="22"/>
                <w:szCs w:val="22"/>
              </w:rPr>
              <w:t>Artroskopiniai</w:t>
            </w:r>
            <w:proofErr w:type="spellEnd"/>
            <w:r>
              <w:rPr>
                <w:b/>
                <w:sz w:val="22"/>
                <w:szCs w:val="22"/>
              </w:rPr>
              <w:t xml:space="preserve"> implantai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76284E00" w:rsidR="005A35E4" w:rsidRDefault="00824E64" w:rsidP="005A35E4">
            <w:pPr>
              <w:autoSpaceDE w:val="0"/>
              <w:autoSpaceDN w:val="0"/>
              <w:adjustRightInd w:val="0"/>
              <w:rPr>
                <w:sz w:val="22"/>
                <w:szCs w:val="22"/>
              </w:rPr>
            </w:pPr>
            <w:r>
              <w:rPr>
                <w:sz w:val="22"/>
                <w:szCs w:val="22"/>
              </w:rPr>
              <w:t>Ortopedijos traumatologijos</w:t>
            </w:r>
            <w:r w:rsidR="00AD3DD1">
              <w:rPr>
                <w:sz w:val="22"/>
                <w:szCs w:val="22"/>
              </w:rPr>
              <w:t xml:space="preserve"> klinikos</w:t>
            </w:r>
            <w:r w:rsidR="00D27B41" w:rsidRPr="001275B8">
              <w:rPr>
                <w:sz w:val="22"/>
                <w:szCs w:val="22"/>
              </w:rPr>
              <w:t xml:space="preserve"> vadybininkė </w:t>
            </w:r>
            <w:r>
              <w:rPr>
                <w:sz w:val="22"/>
                <w:szCs w:val="22"/>
              </w:rPr>
              <w:t>Agnė Juodaitytė</w:t>
            </w:r>
            <w:r w:rsidR="00D27B41" w:rsidRPr="00D27B41">
              <w:rPr>
                <w:sz w:val="22"/>
                <w:szCs w:val="22"/>
              </w:rPr>
              <w:t xml:space="preserve"> darbo tel</w:t>
            </w:r>
            <w:r>
              <w:rPr>
                <w:sz w:val="22"/>
                <w:szCs w:val="22"/>
              </w:rPr>
              <w:t>. +</w:t>
            </w:r>
            <w:r w:rsidRPr="00D27B41">
              <w:rPr>
                <w:sz w:val="22"/>
                <w:szCs w:val="22"/>
              </w:rPr>
              <w:t>370</w:t>
            </w:r>
            <w:r>
              <w:rPr>
                <w:sz w:val="22"/>
                <w:szCs w:val="22"/>
              </w:rPr>
              <w:t>46</w:t>
            </w:r>
            <w:r w:rsidRPr="0043643A">
              <w:rPr>
                <w:sz w:val="22"/>
                <w:szCs w:val="22"/>
              </w:rPr>
              <w:t>396</w:t>
            </w:r>
            <w:r>
              <w:rPr>
                <w:sz w:val="22"/>
                <w:szCs w:val="22"/>
              </w:rPr>
              <w:t xml:space="preserve">562, </w:t>
            </w:r>
            <w:proofErr w:type="spellStart"/>
            <w:r w:rsidR="00D27B41" w:rsidRPr="00D27B41">
              <w:rPr>
                <w:sz w:val="22"/>
                <w:szCs w:val="22"/>
              </w:rPr>
              <w:t>el.p</w:t>
            </w:r>
            <w:proofErr w:type="spellEnd"/>
            <w:r w:rsidR="00D27B41" w:rsidRPr="00D27B41">
              <w:rPr>
                <w:sz w:val="22"/>
                <w:szCs w:val="22"/>
              </w:rPr>
              <w:t xml:space="preserve">. </w:t>
            </w:r>
            <w:hyperlink r:id="rId5" w:history="1">
              <w:r w:rsidRPr="003D74A3">
                <w:rPr>
                  <w:rStyle w:val="Hipersaitas"/>
                  <w:sz w:val="22"/>
                  <w:szCs w:val="22"/>
                </w:rPr>
                <w:t>a</w:t>
              </w:r>
              <w:r w:rsidRPr="003D74A3">
                <w:rPr>
                  <w:rStyle w:val="Hipersaitas"/>
                </w:rPr>
                <w:t>gne.juodaityte</w:t>
              </w:r>
              <w:r w:rsidRPr="003D74A3">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A79FC9B"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E84485">
              <w:rPr>
                <w:kern w:val="2"/>
                <w:sz w:val="22"/>
                <w:szCs w:val="22"/>
              </w:rPr>
              <w:t>3</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E84485">
              <w:rPr>
                <w:kern w:val="2"/>
                <w:sz w:val="22"/>
                <w:szCs w:val="22"/>
              </w:rPr>
              <w:t>1</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E84485" w:rsidRPr="00874B3C" w14:paraId="09F82D61" w14:textId="77777777" w:rsidTr="005F3E80">
        <w:trPr>
          <w:trHeight w:val="2150"/>
        </w:trPr>
        <w:tc>
          <w:tcPr>
            <w:tcW w:w="2704" w:type="dxa"/>
            <w:gridSpan w:val="2"/>
          </w:tcPr>
          <w:p w14:paraId="26D134E4" w14:textId="7B0C0850" w:rsidR="00E84485" w:rsidRPr="00874B3C" w:rsidRDefault="00E84485" w:rsidP="00E84485">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161E366" w14:textId="77777777" w:rsidR="00E84485" w:rsidRPr="003203BB" w:rsidRDefault="00E84485" w:rsidP="00E84485">
            <w:pPr>
              <w:jc w:val="both"/>
              <w:rPr>
                <w:kern w:val="2"/>
                <w:sz w:val="22"/>
                <w:szCs w:val="22"/>
              </w:rPr>
            </w:pPr>
            <w:r w:rsidRPr="003203BB">
              <w:rPr>
                <w:kern w:val="2"/>
                <w:sz w:val="22"/>
                <w:szCs w:val="22"/>
              </w:rPr>
              <w:t xml:space="preserve">Pradinės Sutarties vertė yra (nurodyti sumą skaičiais) Eur, (nurodyti sumą žodžiais) be PVM. </w:t>
            </w:r>
          </w:p>
          <w:p w14:paraId="135D7CD3" w14:textId="77777777" w:rsidR="00E84485" w:rsidRPr="003203BB" w:rsidRDefault="00E84485" w:rsidP="00E84485">
            <w:pPr>
              <w:jc w:val="both"/>
              <w:rPr>
                <w:kern w:val="2"/>
                <w:sz w:val="22"/>
                <w:szCs w:val="22"/>
              </w:rPr>
            </w:pPr>
            <w:r w:rsidRPr="003203BB">
              <w:rPr>
                <w:kern w:val="2"/>
                <w:sz w:val="22"/>
                <w:szCs w:val="22"/>
              </w:rPr>
              <w:t>PVM sudaro (nurodyti sumą skaičiais) Eur, (nurodyti sumą žodžiais).</w:t>
            </w:r>
          </w:p>
          <w:p w14:paraId="048A6A0C" w14:textId="77777777" w:rsidR="00E84485" w:rsidRPr="003203BB" w:rsidRDefault="00E84485" w:rsidP="00E84485">
            <w:pPr>
              <w:jc w:val="both"/>
              <w:rPr>
                <w:kern w:val="2"/>
                <w:sz w:val="22"/>
                <w:szCs w:val="22"/>
              </w:rPr>
            </w:pPr>
            <w:r w:rsidRPr="003203BB">
              <w:rPr>
                <w:kern w:val="2"/>
                <w:sz w:val="22"/>
                <w:szCs w:val="22"/>
              </w:rPr>
              <w:t>Sutarties kaina yra (nurodyti sumą skaičiais) Eur, (nurodyti sumą žodžiais) Eur su PVM.</w:t>
            </w:r>
          </w:p>
          <w:p w14:paraId="4D12F519" w14:textId="77777777" w:rsidR="00E84485" w:rsidRPr="003203BB" w:rsidRDefault="00E84485" w:rsidP="00E84485">
            <w:pPr>
              <w:jc w:val="both"/>
              <w:rPr>
                <w:kern w:val="2"/>
                <w:sz w:val="22"/>
                <w:szCs w:val="22"/>
              </w:rPr>
            </w:pPr>
            <w:r w:rsidRPr="003203BB">
              <w:rPr>
                <w:kern w:val="2"/>
                <w:sz w:val="22"/>
                <w:szCs w:val="22"/>
              </w:rPr>
              <w:t xml:space="preserve">Šioje Sutartyje Pradinės Sutarties vertė yra lygi Tiekėjo pasiūlymo kainai be PVM, apskaičiuotai sudauginus </w:t>
            </w:r>
            <w:r w:rsidRPr="003203BB">
              <w:rPr>
                <w:b/>
                <w:bCs/>
                <w:kern w:val="2"/>
                <w:sz w:val="22"/>
                <w:szCs w:val="22"/>
              </w:rPr>
              <w:t>maksimalų Prekių kiekį</w:t>
            </w:r>
            <w:r w:rsidRPr="003203BB">
              <w:rPr>
                <w:kern w:val="2"/>
                <w:sz w:val="22"/>
                <w:szCs w:val="22"/>
              </w:rPr>
              <w:t xml:space="preserve"> iš Tiekėjo pasiūlyto įkainio (-</w:t>
            </w:r>
            <w:proofErr w:type="spellStart"/>
            <w:r w:rsidRPr="003203BB">
              <w:rPr>
                <w:kern w:val="2"/>
                <w:sz w:val="22"/>
                <w:szCs w:val="22"/>
              </w:rPr>
              <w:t>ių</w:t>
            </w:r>
            <w:proofErr w:type="spellEnd"/>
            <w:r w:rsidRPr="003203BB">
              <w:rPr>
                <w:kern w:val="2"/>
                <w:sz w:val="22"/>
                <w:szCs w:val="22"/>
              </w:rPr>
              <w:t xml:space="preserve">) be PVM, </w:t>
            </w:r>
          </w:p>
          <w:p w14:paraId="6B519666" w14:textId="69E7EBB3" w:rsidR="00E84485" w:rsidRPr="003203BB" w:rsidRDefault="00E84485" w:rsidP="00E84485">
            <w:pPr>
              <w:jc w:val="both"/>
              <w:rPr>
                <w:kern w:val="2"/>
                <w:sz w:val="22"/>
                <w:szCs w:val="22"/>
              </w:rPr>
            </w:pPr>
            <w:r w:rsidRPr="003203BB">
              <w:rPr>
                <w:kern w:val="2"/>
                <w:sz w:val="22"/>
                <w:szCs w:val="22"/>
              </w:rPr>
              <w:t xml:space="preserve">Pirkėjas perka Prekes pagal poreikį Sutarties priede Nr. 1  nurodytais įkainiais, neviršijant jame nurodytos bendros Sutarties </w:t>
            </w:r>
            <w:r w:rsidR="00F104FC" w:rsidRPr="003203BB">
              <w:rPr>
                <w:kern w:val="2"/>
                <w:sz w:val="22"/>
                <w:szCs w:val="22"/>
              </w:rPr>
              <w:t xml:space="preserve">dalies </w:t>
            </w:r>
            <w:r w:rsidRPr="003203BB">
              <w:rPr>
                <w:kern w:val="2"/>
                <w:sz w:val="22"/>
                <w:szCs w:val="22"/>
              </w:rPr>
              <w:t xml:space="preserve">kainos.  Sutarties priede Nr. 1  </w:t>
            </w:r>
            <w:r w:rsidR="00F104FC" w:rsidRPr="003203BB">
              <w:rPr>
                <w:kern w:val="2"/>
                <w:sz w:val="22"/>
                <w:szCs w:val="22"/>
              </w:rPr>
              <w:t xml:space="preserve">pirkimo dalies </w:t>
            </w:r>
            <w:proofErr w:type="spellStart"/>
            <w:r w:rsidR="00F104FC" w:rsidRPr="003203BB">
              <w:rPr>
                <w:kern w:val="2"/>
                <w:sz w:val="22"/>
                <w:szCs w:val="22"/>
              </w:rPr>
              <w:t>podaliuose</w:t>
            </w:r>
            <w:proofErr w:type="spellEnd"/>
            <w:r w:rsidR="00F104FC" w:rsidRPr="003203BB">
              <w:rPr>
                <w:kern w:val="2"/>
                <w:sz w:val="22"/>
                <w:szCs w:val="22"/>
              </w:rPr>
              <w:t xml:space="preserve"> </w:t>
            </w:r>
            <w:r w:rsidRPr="003203BB">
              <w:rPr>
                <w:kern w:val="2"/>
                <w:sz w:val="22"/>
                <w:szCs w:val="22"/>
              </w:rPr>
              <w:t>nurodytas Prekių kiekis gali būti keičiamas (didėti ar mažėti).</w:t>
            </w:r>
          </w:p>
          <w:p w14:paraId="32BFFA75" w14:textId="3403AA7C" w:rsidR="00E84485" w:rsidRPr="003203BB" w:rsidRDefault="00E84485" w:rsidP="00E84485">
            <w:pPr>
              <w:jc w:val="both"/>
              <w:rPr>
                <w:kern w:val="2"/>
                <w:sz w:val="22"/>
                <w:szCs w:val="22"/>
              </w:rPr>
            </w:pPr>
            <w:r w:rsidRPr="003203BB">
              <w:rPr>
                <w:sz w:val="22"/>
                <w:szCs w:val="22"/>
              </w:rPr>
              <w:t>Pirkėjas neįsipareigoja išpirkti maksimalaus Prekių kiekio.</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3203BB"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484BF942"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E84485">
              <w:rPr>
                <w:kern w:val="2"/>
                <w:sz w:val="22"/>
                <w:szCs w:val="22"/>
              </w:rPr>
              <w:t>12</w:t>
            </w:r>
            <w:r>
              <w:rPr>
                <w:kern w:val="2"/>
                <w:sz w:val="22"/>
                <w:szCs w:val="22"/>
              </w:rPr>
              <w:t xml:space="preserve"> (</w:t>
            </w:r>
            <w:r w:rsidR="00E84485">
              <w:rPr>
                <w:kern w:val="2"/>
                <w:sz w:val="22"/>
                <w:szCs w:val="22"/>
              </w:rPr>
              <w:t>dvylika</w:t>
            </w:r>
            <w:r>
              <w:rPr>
                <w:kern w:val="2"/>
                <w:sz w:val="22"/>
                <w:szCs w:val="22"/>
              </w:rPr>
              <w:t>) mėnesi</w:t>
            </w:r>
            <w:r w:rsidR="00E84485">
              <w:rPr>
                <w:kern w:val="2"/>
                <w:sz w:val="22"/>
                <w:szCs w:val="22"/>
              </w:rPr>
              <w:t>ų</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40C"/>
    <w:rsid w:val="00021FA7"/>
    <w:rsid w:val="000560DD"/>
    <w:rsid w:val="00061B70"/>
    <w:rsid w:val="00062AFE"/>
    <w:rsid w:val="000765C5"/>
    <w:rsid w:val="00090C5C"/>
    <w:rsid w:val="00091C9A"/>
    <w:rsid w:val="00091DC6"/>
    <w:rsid w:val="000B3611"/>
    <w:rsid w:val="000C6411"/>
    <w:rsid w:val="000D4187"/>
    <w:rsid w:val="000E102F"/>
    <w:rsid w:val="00101C21"/>
    <w:rsid w:val="0010751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03BB"/>
    <w:rsid w:val="003261BA"/>
    <w:rsid w:val="00326A40"/>
    <w:rsid w:val="00327AD1"/>
    <w:rsid w:val="003303AF"/>
    <w:rsid w:val="003414F5"/>
    <w:rsid w:val="003454AF"/>
    <w:rsid w:val="00353908"/>
    <w:rsid w:val="00370518"/>
    <w:rsid w:val="00387B8C"/>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5732A"/>
    <w:rsid w:val="005600B3"/>
    <w:rsid w:val="005750B0"/>
    <w:rsid w:val="00576B45"/>
    <w:rsid w:val="00580F36"/>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82DB6"/>
    <w:rsid w:val="007B0354"/>
    <w:rsid w:val="007C0C59"/>
    <w:rsid w:val="007D0DCF"/>
    <w:rsid w:val="007E32FE"/>
    <w:rsid w:val="00800FF0"/>
    <w:rsid w:val="00814F9F"/>
    <w:rsid w:val="00824E64"/>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A2EFC"/>
    <w:rsid w:val="009B178D"/>
    <w:rsid w:val="009C3B1A"/>
    <w:rsid w:val="009D58A1"/>
    <w:rsid w:val="009D58F7"/>
    <w:rsid w:val="00A3442B"/>
    <w:rsid w:val="00A43E87"/>
    <w:rsid w:val="00A455A9"/>
    <w:rsid w:val="00A53D9D"/>
    <w:rsid w:val="00A66954"/>
    <w:rsid w:val="00A715C1"/>
    <w:rsid w:val="00A763A3"/>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0566"/>
    <w:rsid w:val="00C35E57"/>
    <w:rsid w:val="00C72257"/>
    <w:rsid w:val="00C7285A"/>
    <w:rsid w:val="00C83F9F"/>
    <w:rsid w:val="00C87FD8"/>
    <w:rsid w:val="00C91330"/>
    <w:rsid w:val="00C9674B"/>
    <w:rsid w:val="00CE10C2"/>
    <w:rsid w:val="00D11FA4"/>
    <w:rsid w:val="00D124CF"/>
    <w:rsid w:val="00D149E0"/>
    <w:rsid w:val="00D17A6E"/>
    <w:rsid w:val="00D2154F"/>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4485"/>
    <w:rsid w:val="00E85025"/>
    <w:rsid w:val="00E92770"/>
    <w:rsid w:val="00EA073E"/>
    <w:rsid w:val="00EA76D1"/>
    <w:rsid w:val="00EF44C6"/>
    <w:rsid w:val="00F104FC"/>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agne.juodai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64725</Words>
  <Characters>36894</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2025-04-15T13:50:00Z</dcterms:created>
  <dcterms:modified xsi:type="dcterms:W3CDTF">2025-04-15T13:55:00Z</dcterms:modified>
</cp:coreProperties>
</file>