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60B3" w14:textId="0262A139" w:rsidR="006737F5" w:rsidRPr="00AE3DFB" w:rsidRDefault="00D75297">
      <w:pPr>
        <w:rPr>
          <w:rFonts w:ascii="Arial" w:hAnsi="Arial" w:cs="Arial"/>
          <w:sz w:val="32"/>
          <w:szCs w:val="32"/>
        </w:rPr>
      </w:pPr>
      <w:r w:rsidRPr="00AE3DFB">
        <w:rPr>
          <w:rFonts w:ascii="Arial" w:hAnsi="Arial" w:cs="Arial"/>
          <w:sz w:val="32"/>
          <w:szCs w:val="32"/>
        </w:rPr>
        <w:t>PROJEKTAS</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D75297" w:rsidRPr="00D75297" w14:paraId="61ADA685" w14:textId="77777777" w:rsidTr="00D75297">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8F3CE" w14:textId="77777777" w:rsidR="00D75297" w:rsidRPr="00D75297" w:rsidRDefault="00D75297">
            <w:pPr>
              <w:autoSpaceDE w:val="0"/>
              <w:spacing w:line="256" w:lineRule="auto"/>
              <w:jc w:val="center"/>
              <w:rPr>
                <w:rFonts w:ascii="Arial" w:hAnsi="Arial" w:cs="Arial"/>
                <w:b/>
                <w:bCs/>
                <w:color w:val="000000"/>
                <w:kern w:val="2"/>
                <w14:ligatures w14:val="standardContextual"/>
              </w:rPr>
            </w:pPr>
            <w:r w:rsidRPr="00D75297">
              <w:rPr>
                <w:rFonts w:ascii="Arial" w:hAnsi="Arial" w:cs="Arial"/>
                <w:b/>
                <w:bCs/>
                <w:color w:val="000000"/>
                <w:kern w:val="2"/>
                <w14:ligatures w14:val="standardContextual"/>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DE9E0" w14:textId="77777777" w:rsidR="00D75297" w:rsidRPr="00D75297" w:rsidRDefault="00D75297">
            <w:pPr>
              <w:autoSpaceDE w:val="0"/>
              <w:spacing w:line="256" w:lineRule="auto"/>
              <w:jc w:val="center"/>
              <w:rPr>
                <w:rFonts w:ascii="Arial" w:hAnsi="Arial" w:cs="Arial"/>
                <w:kern w:val="2"/>
                <w:sz w:val="24"/>
                <w:szCs w:val="24"/>
                <w14:ligatures w14:val="standardContextual"/>
              </w:rPr>
            </w:pPr>
            <w:r w:rsidRPr="00D75297">
              <w:rPr>
                <w:rFonts w:ascii="Arial" w:hAnsi="Arial" w:cs="Arial"/>
                <w:b/>
                <w:bCs/>
                <w:color w:val="000000"/>
                <w:kern w:val="2"/>
                <w14:ligatures w14:val="standardContextual"/>
              </w:rPr>
              <w:t>Kvalifikacijos reikalavimas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1E727" w14:textId="77777777" w:rsidR="00D75297" w:rsidRPr="00D75297" w:rsidRDefault="00D75297">
            <w:pPr>
              <w:spacing w:after="120" w:line="256" w:lineRule="auto"/>
              <w:ind w:left="295" w:hanging="227"/>
              <w:jc w:val="center"/>
              <w:rPr>
                <w:rFonts w:ascii="Arial" w:hAnsi="Arial" w:cs="Arial"/>
                <w:kern w:val="2"/>
                <w14:ligatures w14:val="standardContextual"/>
              </w:rPr>
            </w:pPr>
            <w:r w:rsidRPr="00D75297">
              <w:rPr>
                <w:rFonts w:ascii="Arial" w:hAnsi="Arial" w:cs="Arial"/>
                <w:b/>
                <w:color w:val="000000"/>
                <w:kern w:val="2"/>
                <w14:ligatures w14:val="standardContextual"/>
              </w:rPr>
              <w:t>Kvalifikaciją įrodantys dokumentai</w:t>
            </w:r>
          </w:p>
        </w:tc>
      </w:tr>
      <w:tr w:rsidR="00D75297" w:rsidRPr="00D75297" w14:paraId="006875CF" w14:textId="77777777" w:rsidTr="00D7529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A36F9"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BD590" w14:textId="77777777" w:rsidR="00D75297" w:rsidRPr="00D75297" w:rsidRDefault="00D75297">
            <w:pPr>
              <w:spacing w:after="120" w:line="256" w:lineRule="auto"/>
              <w:ind w:left="31"/>
              <w:jc w:val="both"/>
              <w:rPr>
                <w:rFonts w:ascii="Arial" w:hAnsi="Arial" w:cs="Arial"/>
                <w:kern w:val="2"/>
                <w:sz w:val="24"/>
                <w:szCs w:val="24"/>
                <w14:ligatures w14:val="standardContextual"/>
              </w:rPr>
            </w:pPr>
            <w:r w:rsidRPr="00D75297">
              <w:rPr>
                <w:rFonts w:ascii="Arial" w:hAnsi="Arial" w:cs="Arial"/>
                <w:kern w:val="2"/>
                <w14:ligatures w14:val="standardContextual"/>
              </w:rPr>
              <w:t>Tiekėjas per paskutinius 5 (penkerius) metus iki pasiūlymo pateikimo termino pabaigos pagal vieną ar daugiau sutarčių (projektų) yra savo jėgomis įvykdęs (arba vykdo)  Duomenų apdorojimui skirtos platformos* pristatymo ir diegimo sutartis, kurių bendra vertė ne mažesnė kaip 195 000 Eur be PVM.</w:t>
            </w:r>
          </w:p>
          <w:p w14:paraId="04BCA665"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b/>
                <w:bCs/>
                <w:i/>
                <w:iCs/>
                <w:color w:val="000000"/>
                <w:kern w:val="2"/>
                <w14:ligatures w14:val="standardContextual"/>
              </w:rPr>
              <w:t>*Duomenų apdorojimui skirta platforma</w:t>
            </w:r>
            <w:r w:rsidRPr="00D75297">
              <w:rPr>
                <w:rFonts w:ascii="Arial" w:hAnsi="Arial" w:cs="Arial"/>
                <w:i/>
                <w:iCs/>
                <w:color w:val="000000"/>
                <w:kern w:val="2"/>
                <w14:ligatures w14:val="standardContextual"/>
              </w:rPr>
              <w:t xml:space="preserve"> – ne mažiau kaip 4 vnt. GPU akseleratorių viename skaičiavimų mazge, apjungtų tokia pačia (arba lygiaverte)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2331"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iCs/>
                <w:color w:val="000000"/>
                <w:kern w:val="2"/>
                <w14:ligatures w14:val="standardContextual"/>
              </w:rPr>
              <w:t xml:space="preserve">Pagrindinių per paskutinius 5 (penkerius) metus patiektų prekių ir paslaugų sąrašas, kuriame nurodytos prekių bendros sumos, datos ir prekių gavėjai (tiek viešieji, tiek privatieji). </w:t>
            </w:r>
          </w:p>
          <w:p w14:paraId="6E7AF8F9" w14:textId="77777777" w:rsidR="00D75297" w:rsidRPr="00D75297" w:rsidRDefault="00D75297">
            <w:pPr>
              <w:autoSpaceDE w:val="0"/>
              <w:spacing w:line="256" w:lineRule="auto"/>
              <w:jc w:val="both"/>
              <w:rPr>
                <w:rFonts w:ascii="Arial" w:hAnsi="Arial" w:cs="Arial"/>
                <w:iCs/>
                <w:color w:val="000000"/>
                <w:kern w:val="2"/>
                <w14:ligatures w14:val="standardContextual"/>
              </w:rPr>
            </w:pPr>
          </w:p>
          <w:p w14:paraId="7EAE510E" w14:textId="77777777" w:rsidR="00D75297" w:rsidRPr="00D75297" w:rsidRDefault="00D75297">
            <w:pPr>
              <w:autoSpaceDE w:val="0"/>
              <w:spacing w:line="256" w:lineRule="auto"/>
              <w:jc w:val="both"/>
              <w:rPr>
                <w:rFonts w:ascii="Arial" w:hAnsi="Arial" w:cs="Arial"/>
                <w:iCs/>
                <w:color w:val="000000"/>
                <w:kern w:val="2"/>
                <w14:ligatures w14:val="standardContextual"/>
              </w:rPr>
            </w:pPr>
            <w:r w:rsidRPr="00D75297">
              <w:rPr>
                <w:rFonts w:ascii="Arial" w:hAnsi="Arial" w:cs="Arial"/>
                <w:iCs/>
                <w:color w:val="000000"/>
                <w:kern w:val="2"/>
                <w14:ligatures w14:val="standardContextual"/>
              </w:rPr>
              <w:t>Kartu pateikti užsakovų pažymas, kuriose būtų nurodytos prekių bendros sumos, datos ir vieta, prekių gavėjai, ar prekės buvo pristatytos ir įdiegtos tinkamai, nurodyta naudojama GPU akseleratorių apjungimo technologija.</w:t>
            </w:r>
          </w:p>
        </w:tc>
      </w:tr>
      <w:tr w:rsidR="00D75297" w:rsidRPr="00D75297" w14:paraId="352CD94E" w14:textId="77777777" w:rsidTr="00D7529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C3315"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07EE7" w14:textId="77777777" w:rsidR="00D75297" w:rsidRPr="00D75297" w:rsidRDefault="00D75297">
            <w:pPr>
              <w:spacing w:after="120" w:line="256" w:lineRule="auto"/>
              <w:ind w:left="31"/>
              <w:jc w:val="both"/>
              <w:rPr>
                <w:rFonts w:ascii="Arial" w:hAnsi="Arial" w:cs="Arial"/>
                <w:kern w:val="2"/>
                <w:sz w:val="24"/>
                <w:szCs w:val="24"/>
                <w14:ligatures w14:val="standardContextual"/>
              </w:rPr>
            </w:pPr>
            <w:r w:rsidRPr="00D75297">
              <w:rPr>
                <w:rFonts w:ascii="Arial" w:hAnsi="Arial" w:cs="Arial"/>
                <w:kern w:val="2"/>
                <w14:ligatures w14:val="standardContextual"/>
              </w:rPr>
              <w:t>Tiekėjas per paskutinius 5 (penkerius) metus iki pasiūlymo pateikimo termino pabaigos pagal vieną ar daugiau sutarčių (projektų) yra savo jėgomis suteikęs (arba vykdo) aukšto našumo skaičiavimų (angl. High-Performance Computing) platformos architektūros ir techninės užduoties parengimo paslaugas, atlikęs HPC platformos diegimo ir/ar priežiūros paslaugas, bei dalyvavęs HPC platformos priėmime į eksploataciją. Architektūros parengimo paslaugos ir platformos diegimo ir/ar priežiūros paslaugos gali būti įgyvendintos skirtingomis sutartimis. Paslaugų sutarčių bendra vertė ne mažesnė kaip 50 000 Eur be PVM, bendra HPC platformos projekto vertė (įskaitant techninę ir programinę įrangą) ne mažesnė kaip 195 000 Eur be PVM.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136B7"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iCs/>
                <w:color w:val="000000"/>
                <w:kern w:val="2"/>
                <w14:ligatures w14:val="standardContextual"/>
              </w:rPr>
              <w:t>Pagrindinių per paskutinius 5 (penkerius) metus suteiktų paslaugų (projektų), kuriame nurodytos paslaugų sutarčių bendros sumos, datos ir paslaugų gavėjai (tiek viešieji, tiek privatieji). Kartu pateikti užsakovų pažymas, kuriose būtų nurodytos paslaugų bendros sumos, bendra įgyvendinto projekto vertė, paslaugų gavėjai, ar paslaugos atliktos tinkamai ir laiku.</w:t>
            </w:r>
          </w:p>
        </w:tc>
      </w:tr>
      <w:tr w:rsidR="00D75297" w:rsidRPr="00D75297" w14:paraId="03B31639" w14:textId="77777777" w:rsidTr="00D7529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9627A"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8D54" w14:textId="77777777" w:rsidR="00D75297" w:rsidRPr="00D75297" w:rsidRDefault="00D75297">
            <w:pPr>
              <w:autoSpaceDE w:val="0"/>
              <w:spacing w:line="256" w:lineRule="auto"/>
              <w:jc w:val="both"/>
              <w:rPr>
                <w:rFonts w:ascii="Arial" w:hAnsi="Arial" w:cs="Arial"/>
                <w:color w:val="000000"/>
                <w:kern w:val="2"/>
                <w14:ligatures w14:val="standardContextual"/>
              </w:rPr>
            </w:pPr>
            <w:r w:rsidRPr="00D75297">
              <w:rPr>
                <w:rFonts w:ascii="Arial" w:hAnsi="Arial" w:cs="Arial"/>
                <w:color w:val="000000"/>
                <w:kern w:val="2"/>
                <w14:ligatures w14:val="standardContextual"/>
              </w:rPr>
              <w:t xml:space="preserve">Tiekėjas turi pasitelkti kvalifikuotą specialistą, turintį žinių ir patirties reikalaujamoms paslaugoms atlikti, t. y. GPU skaičiavimo mazgų diegimo ir konfigūravimo specialistą, kuris turi atitikti  šiuos reikalavimus: </w:t>
            </w:r>
          </w:p>
          <w:p w14:paraId="1531B366" w14:textId="77777777" w:rsidR="00D75297" w:rsidRPr="00D75297" w:rsidRDefault="00D75297">
            <w:pPr>
              <w:autoSpaceDE w:val="0"/>
              <w:spacing w:line="256" w:lineRule="auto"/>
              <w:jc w:val="both"/>
              <w:rPr>
                <w:rFonts w:ascii="Arial" w:hAnsi="Arial" w:cs="Arial"/>
                <w:color w:val="000000"/>
                <w:kern w:val="2"/>
                <w:sz w:val="24"/>
                <w:szCs w:val="24"/>
                <w14:ligatures w14:val="standardContextual"/>
              </w:rPr>
            </w:pPr>
          </w:p>
          <w:p w14:paraId="2EBC0867"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 xml:space="preserve">- per pastaruosius 5 (penkerius) metus iki pasiūlymų pateikimo termino pabaigos  yra savo jėgomis atlikęs (arba vykdo) Duomenų apdorojimui ir saugojimui skirtos platformos* diegimą ir konfigūravimą. </w:t>
            </w:r>
          </w:p>
          <w:p w14:paraId="7E9B21AB"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 xml:space="preserve">- Turi turėti GPU akseleratorių gamintojo sertifikatą/dokumentą arba lygiavertį dokumentą, </w:t>
            </w:r>
            <w:r w:rsidRPr="00D75297">
              <w:rPr>
                <w:rFonts w:ascii="Arial" w:hAnsi="Arial" w:cs="Arial"/>
                <w:kern w:val="2"/>
                <w14:ligatures w14:val="standardContextual"/>
              </w:rPr>
              <w:lastRenderedPageBreak/>
              <w:t>suteikiantį teisę diegti siūlomų GPU akseleratorių gamintojo skaičiavimų platformas.</w:t>
            </w:r>
          </w:p>
          <w:p w14:paraId="20679D8D" w14:textId="77777777" w:rsidR="00D75297" w:rsidRPr="00D75297" w:rsidRDefault="00D75297">
            <w:pPr>
              <w:spacing w:after="120" w:line="256" w:lineRule="auto"/>
              <w:jc w:val="both"/>
              <w:rPr>
                <w:rFonts w:ascii="Arial" w:hAnsi="Arial" w:cs="Arial"/>
                <w:kern w:val="2"/>
                <w14:ligatures w14:val="standardContextual"/>
              </w:rPr>
            </w:pPr>
            <w:r w:rsidRPr="00D75297">
              <w:rPr>
                <w:rFonts w:ascii="Arial" w:hAnsi="Arial" w:cs="Arial"/>
                <w:kern w:val="2"/>
                <w14:ligatures w14:val="standardContextual"/>
              </w:rPr>
              <w:t>- Turi turėti siūlomų GPU akseleratorių gamintojo AI Infrastructure and Operations Associate arba lygiavertį sertifikatą (išklausytų kursų pažymėjimas netinka).</w:t>
            </w:r>
          </w:p>
          <w:p w14:paraId="4213EA96" w14:textId="77777777" w:rsidR="00D75297" w:rsidRPr="00D75297" w:rsidRDefault="00D75297">
            <w:pPr>
              <w:autoSpaceDE w:val="0"/>
              <w:spacing w:line="256" w:lineRule="auto"/>
              <w:jc w:val="both"/>
              <w:rPr>
                <w:rFonts w:ascii="Arial" w:hAnsi="Arial" w:cs="Arial"/>
                <w:kern w:val="2"/>
                <w:sz w:val="24"/>
                <w:szCs w:val="24"/>
                <w14:ligatures w14:val="standardContextual"/>
              </w:rPr>
            </w:pPr>
            <w:r w:rsidRPr="00D75297">
              <w:rPr>
                <w:rFonts w:ascii="Arial" w:hAnsi="Arial" w:cs="Arial"/>
                <w:b/>
                <w:bCs/>
                <w:i/>
                <w:iCs/>
                <w:color w:val="000000"/>
                <w:kern w:val="2"/>
                <w14:ligatures w14:val="standardContextual"/>
              </w:rPr>
              <w:t>*Duomenų apdorojimui ir saugojimui skirta platforma</w:t>
            </w:r>
            <w:r w:rsidRPr="00D75297">
              <w:rPr>
                <w:rFonts w:ascii="Arial" w:hAnsi="Arial" w:cs="Arial"/>
                <w:i/>
                <w:iCs/>
                <w:color w:val="000000"/>
                <w:kern w:val="2"/>
                <w14:ligatures w14:val="standardContextual"/>
              </w:rPr>
              <w:t xml:space="preserve"> – ne mažiau kaip 4 vnt. GPU akseleratorių viename skaičiavimų mazge, apjungtų tokia pačia (arba lygiaverte)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B5775"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kern w:val="2"/>
                <w14:ligatures w14:val="standardContextual"/>
              </w:rPr>
              <w:lastRenderedPageBreak/>
              <w:t>Informacija apie tiekėjo siūlomą specialistą, kuris, tiekėjo laimėjimo atveju, atliks konkrečias funkcijas, nurodant šio specialisto vardą, pavardę.</w:t>
            </w:r>
          </w:p>
          <w:p w14:paraId="60F6EA9C" w14:textId="77777777" w:rsidR="00D75297" w:rsidRPr="00D75297" w:rsidRDefault="00D75297">
            <w:pPr>
              <w:autoSpaceDE w:val="0"/>
              <w:spacing w:line="256" w:lineRule="auto"/>
              <w:jc w:val="both"/>
              <w:rPr>
                <w:rFonts w:ascii="Arial" w:hAnsi="Arial" w:cs="Arial"/>
                <w:color w:val="000000"/>
                <w:kern w:val="2"/>
                <w14:ligatures w14:val="standardContextual"/>
              </w:rPr>
            </w:pPr>
          </w:p>
          <w:p w14:paraId="7B934AF8" w14:textId="77777777" w:rsidR="00D75297" w:rsidRPr="00D75297" w:rsidRDefault="00D75297">
            <w:pPr>
              <w:autoSpaceDE w:val="0"/>
              <w:spacing w:line="256" w:lineRule="auto"/>
              <w:jc w:val="both"/>
              <w:rPr>
                <w:rFonts w:ascii="Arial" w:hAnsi="Arial" w:cs="Arial"/>
                <w:kern w:val="2"/>
                <w:sz w:val="24"/>
                <w:szCs w:val="24"/>
                <w14:ligatures w14:val="standardContextual"/>
              </w:rPr>
            </w:pPr>
            <w:r w:rsidRPr="00D75297">
              <w:rPr>
                <w:rFonts w:ascii="Arial" w:hAnsi="Arial" w:cs="Arial"/>
                <w:kern w:val="2"/>
                <w14:ligatures w14:val="standardContextual"/>
              </w:rPr>
              <w:t>Informacija, patvirtinanti reikalaujamą patirtį: pateikiamas skiriamo specialisto įvykdytų (arba vykdomų) projektų (sutarčių) sąrašas</w:t>
            </w:r>
            <w:r w:rsidRPr="00D75297">
              <w:rPr>
                <w:rFonts w:ascii="Arial" w:hAnsi="Arial" w:cs="Arial"/>
                <w:b/>
                <w:bCs/>
                <w:kern w:val="2"/>
                <w14:ligatures w14:val="standardContextual"/>
              </w:rPr>
              <w:t>,</w:t>
            </w:r>
            <w:r w:rsidRPr="00D75297">
              <w:rPr>
                <w:rFonts w:ascii="Arial" w:hAnsi="Arial" w:cs="Arial"/>
                <w:kern w:val="2"/>
                <w14:ligatures w14:val="standardContextual"/>
              </w:rPr>
              <w:t xml:space="preserve"> pateikiant projektų (sutarčių) aprašymus,</w:t>
            </w:r>
            <w:r w:rsidRPr="00D75297">
              <w:rPr>
                <w:rFonts w:ascii="Arial" w:hAnsi="Arial" w:cs="Arial"/>
                <w:b/>
                <w:bCs/>
                <w:kern w:val="2"/>
                <w14:ligatures w14:val="standardContextual"/>
              </w:rPr>
              <w:t xml:space="preserve"> </w:t>
            </w:r>
            <w:r w:rsidRPr="00D75297">
              <w:rPr>
                <w:rFonts w:ascii="Arial" w:hAnsi="Arial" w:cs="Arial"/>
                <w:kern w:val="2"/>
                <w14:ligatures w14:val="standardContextual"/>
              </w:rPr>
              <w:t xml:space="preserve">jų trukmę, vertes, taip pat nurodant projektų klientai ir jų kontaktiniai duomenys. </w:t>
            </w:r>
          </w:p>
          <w:p w14:paraId="5CB0064D"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color w:val="000000"/>
                <w:kern w:val="2"/>
                <w14:ligatures w14:val="standardContextual"/>
              </w:rPr>
              <w:t xml:space="preserve">Perkančioji organizacija pasilieka sau teisę reikalauti reikiamą tiekėjo patirtį įrodyti </w:t>
            </w:r>
            <w:r w:rsidRPr="00D75297">
              <w:rPr>
                <w:rFonts w:ascii="Arial" w:hAnsi="Arial" w:cs="Arial"/>
                <w:color w:val="000000"/>
                <w:kern w:val="2"/>
                <w14:ligatures w14:val="standardContextual"/>
              </w:rPr>
              <w:lastRenderedPageBreak/>
              <w:t xml:space="preserve">užsakovų atsiliepimais ar kitais įrodančiais dokumentais. Perkančioji organizacija pasilieka teisę be išankstinio įspėjimo susisiekti su tiekėjo nurodytu užsakovo atstovu. </w:t>
            </w:r>
          </w:p>
          <w:p w14:paraId="67EE9BB3" w14:textId="77777777" w:rsidR="00D75297" w:rsidRPr="00D75297" w:rsidRDefault="00D75297">
            <w:pPr>
              <w:autoSpaceDE w:val="0"/>
              <w:spacing w:line="256" w:lineRule="auto"/>
              <w:jc w:val="both"/>
              <w:rPr>
                <w:rFonts w:ascii="Arial" w:hAnsi="Arial" w:cs="Arial"/>
                <w:color w:val="00B050"/>
                <w:kern w:val="2"/>
                <w14:ligatures w14:val="standardContextual"/>
              </w:rPr>
            </w:pPr>
          </w:p>
          <w:p w14:paraId="47D8192A"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color w:val="000000"/>
                <w:kern w:val="2"/>
                <w14:ligatures w14:val="standardContextual"/>
              </w:rPr>
              <w:t xml:space="preserve">Specialistui išduotas galiojantis </w:t>
            </w:r>
            <w:r w:rsidRPr="00D75297">
              <w:rPr>
                <w:rFonts w:ascii="Arial" w:hAnsi="Arial" w:cs="Arial"/>
                <w:kern w:val="2"/>
                <w14:ligatures w14:val="standardContextual"/>
              </w:rPr>
              <w:t>GPU akseleratorių gamintojo sertifikatas/dokumentas arba lygiavertis dokumentas suteikiantis teisę diegti siūlomų GPU akseleratorių gamintojo skaičiavimų platformas.</w:t>
            </w:r>
          </w:p>
          <w:p w14:paraId="484A32C1" w14:textId="77777777" w:rsidR="00D75297" w:rsidRPr="00D75297" w:rsidRDefault="00D75297">
            <w:pPr>
              <w:autoSpaceDE w:val="0"/>
              <w:spacing w:line="256" w:lineRule="auto"/>
              <w:jc w:val="both"/>
              <w:rPr>
                <w:rFonts w:ascii="Arial" w:hAnsi="Arial" w:cs="Arial"/>
                <w:kern w:val="2"/>
                <w:sz w:val="24"/>
                <w:szCs w:val="24"/>
                <w14:ligatures w14:val="standardContextual"/>
              </w:rPr>
            </w:pPr>
          </w:p>
          <w:p w14:paraId="6189EF6D" w14:textId="77777777" w:rsidR="00D75297" w:rsidRPr="00D75297" w:rsidRDefault="00D75297">
            <w:pPr>
              <w:autoSpaceDE w:val="0"/>
              <w:spacing w:line="256" w:lineRule="auto"/>
              <w:jc w:val="both"/>
              <w:rPr>
                <w:rFonts w:ascii="Arial" w:hAnsi="Arial" w:cs="Arial"/>
                <w:kern w:val="2"/>
                <w14:ligatures w14:val="standardContextual"/>
              </w:rPr>
            </w:pPr>
            <w:r w:rsidRPr="00D75297">
              <w:rPr>
                <w:rFonts w:ascii="Arial" w:hAnsi="Arial" w:cs="Arial"/>
                <w:kern w:val="2"/>
                <w14:ligatures w14:val="standardContextual"/>
              </w:rPr>
              <w:t>Specialistui išduotas pasiūlymo pridavimo metu siūlomų GPU akseleratorių gamintojo AI Infrastructure and Operations Associate arba lygiavertis sertifikatas.</w:t>
            </w:r>
          </w:p>
        </w:tc>
      </w:tr>
    </w:tbl>
    <w:p w14:paraId="6F8D8ED8" w14:textId="3F45AB07" w:rsidR="00D75297" w:rsidRPr="00D75297" w:rsidRDefault="00D75297">
      <w:pPr>
        <w:rPr>
          <w:rFonts w:ascii="Arial" w:hAnsi="Arial" w:cs="Arial"/>
        </w:rPr>
      </w:pPr>
    </w:p>
    <w:sectPr w:rsidR="00D75297" w:rsidRPr="00D752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5"/>
    <w:rsid w:val="006737F5"/>
    <w:rsid w:val="00AE3DFB"/>
    <w:rsid w:val="00BE2995"/>
    <w:rsid w:val="00D75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70BA"/>
  <w15:chartTrackingRefBased/>
  <w15:docId w15:val="{6BD7002C-389F-47B9-9FC8-07CE6FD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1535</Characters>
  <Application>Microsoft Office Word</Application>
  <DocSecurity>0</DocSecurity>
  <Lines>12</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3</cp:revision>
  <dcterms:created xsi:type="dcterms:W3CDTF">2025-04-17T08:32:00Z</dcterms:created>
  <dcterms:modified xsi:type="dcterms:W3CDTF">2025-04-17T08:33:00Z</dcterms:modified>
</cp:coreProperties>
</file>