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A86B" w14:textId="15BA4155" w:rsidR="001F1939" w:rsidRPr="001F1939" w:rsidRDefault="001F1939" w:rsidP="001F1939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1F1939">
        <w:rPr>
          <w:rFonts w:ascii="Times New Roman" w:hAnsi="Times New Roman" w:cs="Times New Roman"/>
          <w:bCs/>
          <w:color w:val="000000" w:themeColor="text1"/>
        </w:rPr>
        <w:t>Tiekėjams                                                                                                             2025-04-17</w:t>
      </w:r>
    </w:p>
    <w:p w14:paraId="77B68E8B" w14:textId="77777777" w:rsidR="001F1939" w:rsidRPr="001F1939" w:rsidRDefault="001F1939" w:rsidP="001F1939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EFBF60E" w14:textId="72DEE0A4" w:rsidR="001F1939" w:rsidRPr="008A6C19" w:rsidRDefault="001F1939" w:rsidP="001F1939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8A6C19">
        <w:rPr>
          <w:rFonts w:ascii="Times New Roman" w:hAnsi="Times New Roman" w:cs="Times New Roman"/>
          <w:b/>
          <w:color w:val="000000" w:themeColor="text1"/>
        </w:rPr>
        <w:t xml:space="preserve">ATSAKYMAS </w:t>
      </w:r>
      <w:r w:rsidR="00FB599D" w:rsidRPr="008A6C1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A6C19">
        <w:rPr>
          <w:rFonts w:ascii="Times New Roman" w:hAnsi="Times New Roman" w:cs="Times New Roman"/>
          <w:b/>
          <w:color w:val="000000" w:themeColor="text1"/>
        </w:rPr>
        <w:t>Į</w:t>
      </w:r>
      <w:r w:rsidR="00FB599D" w:rsidRPr="008A6C1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A6C19">
        <w:rPr>
          <w:rFonts w:ascii="Times New Roman" w:hAnsi="Times New Roman" w:cs="Times New Roman"/>
          <w:b/>
          <w:color w:val="000000" w:themeColor="text1"/>
        </w:rPr>
        <w:t xml:space="preserve"> GAUTUS</w:t>
      </w:r>
      <w:r w:rsidR="00FB599D" w:rsidRPr="008A6C19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A6C19">
        <w:rPr>
          <w:rFonts w:ascii="Times New Roman" w:hAnsi="Times New Roman" w:cs="Times New Roman"/>
          <w:b/>
          <w:color w:val="000000" w:themeColor="text1"/>
        </w:rPr>
        <w:t xml:space="preserve"> KLAUSIMUS</w:t>
      </w:r>
    </w:p>
    <w:p w14:paraId="43747CF3" w14:textId="77777777" w:rsidR="001F1939" w:rsidRDefault="001F1939" w:rsidP="001F1939">
      <w:pPr>
        <w:jc w:val="both"/>
        <w:rPr>
          <w:bCs/>
          <w:color w:val="000000" w:themeColor="text1"/>
        </w:rPr>
      </w:pPr>
    </w:p>
    <w:p w14:paraId="09C93F72" w14:textId="262062A1" w:rsidR="001F1939" w:rsidRPr="00DD50B5" w:rsidRDefault="001F1939" w:rsidP="001F1939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DD50B5">
        <w:rPr>
          <w:rFonts w:ascii="Times New Roman" w:hAnsi="Times New Roman" w:cs="Times New Roman"/>
          <w:bCs/>
          <w:color w:val="000000" w:themeColor="text1"/>
        </w:rPr>
        <w:t xml:space="preserve">Pateikiame atsakymą  į  tiekėjo  </w:t>
      </w:r>
      <w:r w:rsidRPr="00DD50B5">
        <w:rPr>
          <w:rFonts w:ascii="Times New Roman" w:hAnsi="Times New Roman" w:cs="Times New Roman"/>
        </w:rPr>
        <w:t>klausimus</w:t>
      </w:r>
      <w:r w:rsidRPr="00DD50B5">
        <w:rPr>
          <w:rFonts w:ascii="Times New Roman" w:hAnsi="Times New Roman" w:cs="Times New Roman"/>
          <w:bCs/>
          <w:color w:val="000000" w:themeColor="text1"/>
        </w:rPr>
        <w:t>:</w:t>
      </w:r>
    </w:p>
    <w:p w14:paraId="0893BDE0" w14:textId="77777777" w:rsidR="001F1939" w:rsidRPr="00DD50B5" w:rsidRDefault="001F1939" w:rsidP="001F19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0B5">
        <w:rPr>
          <w:rFonts w:ascii="Times New Roman" w:hAnsi="Times New Roman" w:cs="Times New Roman"/>
        </w:rPr>
        <w:t xml:space="preserve"> 1 KLAUSIMAS.   </w:t>
      </w:r>
      <w:r w:rsidRPr="00DD50B5">
        <w:rPr>
          <w:rFonts w:ascii="Times New Roman" w:hAnsi="Times New Roman" w:cs="Times New Roman"/>
          <w:i/>
          <w:iCs/>
        </w:rPr>
        <w:t>Pagal techninės specifikacijos punktą Nr. 2.1 yra nedemontuojamos dvi kameros. Pagal schemą pažymėta tuo pačiu žymėjimu ir katilinė Nr. 4. Prašau patikslinti, kad šis statinys neįeina į demontuojamų kamerų apimtis.</w:t>
      </w:r>
    </w:p>
    <w:p w14:paraId="26E7FC77" w14:textId="3382478C" w:rsidR="001F1939" w:rsidRDefault="001F1939" w:rsidP="00234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0B5">
        <w:rPr>
          <w:rFonts w:ascii="Times New Roman" w:hAnsi="Times New Roman" w:cs="Times New Roman"/>
        </w:rPr>
        <w:t>ATSAKYMAS</w:t>
      </w:r>
      <w:r w:rsidR="00234AC1">
        <w:rPr>
          <w:rFonts w:ascii="Times New Roman" w:hAnsi="Times New Roman" w:cs="Times New Roman"/>
        </w:rPr>
        <w:t>:</w:t>
      </w:r>
    </w:p>
    <w:p w14:paraId="6F903B88" w14:textId="3B492BAC" w:rsidR="00DD50B5" w:rsidRPr="00DD50B5" w:rsidRDefault="00234AC1" w:rsidP="00DD50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D50B5" w:rsidRPr="00DD50B5">
        <w:rPr>
          <w:rFonts w:ascii="Times New Roman" w:hAnsi="Times New Roman" w:cs="Times New Roman"/>
        </w:rPr>
        <w:t xml:space="preserve">aip,  šio statinio Nr.4 demontuoti </w:t>
      </w:r>
      <w:r w:rsidR="00DD50B5" w:rsidRPr="00DD50B5">
        <w:rPr>
          <w:rFonts w:ascii="Times New Roman" w:hAnsi="Times New Roman" w:cs="Times New Roman"/>
        </w:rPr>
        <w:t>nereikia.</w:t>
      </w:r>
    </w:p>
    <w:p w14:paraId="2CCD1CA6" w14:textId="2D26288B" w:rsidR="001F1939" w:rsidRPr="00DD50B5" w:rsidRDefault="001F1939" w:rsidP="001F1939">
      <w:pPr>
        <w:contextualSpacing/>
        <w:jc w:val="both"/>
        <w:rPr>
          <w:rFonts w:ascii="Times New Roman" w:hAnsi="Times New Roman" w:cs="Times New Roman"/>
        </w:rPr>
      </w:pPr>
    </w:p>
    <w:p w14:paraId="10564867" w14:textId="77777777" w:rsidR="001F1939" w:rsidRPr="00DD50B5" w:rsidRDefault="001F1939" w:rsidP="00FB599D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</w:rPr>
      </w:pPr>
      <w:r w:rsidRPr="00DD50B5">
        <w:rPr>
          <w:rFonts w:ascii="Times New Roman" w:hAnsi="Times New Roman" w:cs="Times New Roman"/>
        </w:rPr>
        <w:t xml:space="preserve">2 KLAUSIMAS.  Pagal 2.4 punktą: </w:t>
      </w:r>
      <w:r w:rsidRPr="00DD50B5">
        <w:rPr>
          <w:rFonts w:ascii="Times New Roman" w:hAnsi="Times New Roman" w:cs="Times New Roman"/>
          <w:i/>
          <w:iCs/>
        </w:rPr>
        <w:t>,,Nepertraukiamo šilumos energijos tiekimo vartotojams rekonstravimo metu užtikrinimą (sąlyga turi būti užtikrinta optimaliai ir racionaliai išnaudojant esamų ir rekonstruotų vamzdynų atkarpas, laikinai įrengiamais šilumos tiekimo vamzdynais ir pan.).”</w:t>
      </w:r>
      <w:r w:rsidRPr="00DD50B5">
        <w:rPr>
          <w:rFonts w:ascii="Times New Roman" w:hAnsi="Times New Roman" w:cs="Times New Roman"/>
        </w:rPr>
        <w:t xml:space="preserve"> </w:t>
      </w:r>
    </w:p>
    <w:p w14:paraId="592440A1" w14:textId="77777777" w:rsidR="001F1939" w:rsidRPr="00DD50B5" w:rsidRDefault="001F1939" w:rsidP="00FB59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0B5">
        <w:rPr>
          <w:rFonts w:ascii="Times New Roman" w:hAnsi="Times New Roman" w:cs="Times New Roman"/>
        </w:rPr>
        <w:t>Ar šis punktas galiotų ne šildymo sezono metu?</w:t>
      </w:r>
    </w:p>
    <w:p w14:paraId="5ED03694" w14:textId="3EB415D8" w:rsidR="001F1939" w:rsidRPr="00DD50B5" w:rsidRDefault="001F1939" w:rsidP="00234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0B5">
        <w:rPr>
          <w:rFonts w:ascii="Times New Roman" w:hAnsi="Times New Roman" w:cs="Times New Roman"/>
        </w:rPr>
        <w:t>ATSAKYMAS</w:t>
      </w:r>
      <w:r w:rsidR="00234AC1">
        <w:rPr>
          <w:rFonts w:ascii="Times New Roman" w:hAnsi="Times New Roman" w:cs="Times New Roman"/>
        </w:rPr>
        <w:t>:</w:t>
      </w:r>
    </w:p>
    <w:p w14:paraId="74CAC0A7" w14:textId="0675B478" w:rsidR="001F1939" w:rsidRPr="00DD50B5" w:rsidRDefault="00DD50B5" w:rsidP="001F1939">
      <w:pPr>
        <w:spacing w:line="240" w:lineRule="auto"/>
        <w:jc w:val="both"/>
        <w:rPr>
          <w:rFonts w:ascii="Times New Roman" w:hAnsi="Times New Roman" w:cs="Times New Roman"/>
        </w:rPr>
      </w:pPr>
      <w:r w:rsidRPr="00DD50B5">
        <w:rPr>
          <w:rFonts w:ascii="Times New Roman" w:hAnsi="Times New Roman" w:cs="Times New Roman"/>
        </w:rPr>
        <w:t>Taip. Šis punktas galioja ir ne šildymo sezono metu. Reikalavimai n</w:t>
      </w:r>
      <w:r w:rsidRPr="00DD50B5">
        <w:rPr>
          <w:rFonts w:ascii="Times New Roman" w:hAnsi="Times New Roman" w:cs="Times New Roman"/>
        </w:rPr>
        <w:t>epertraukiamo šilumos energijos tiekimo</w:t>
      </w:r>
      <w:r w:rsidRPr="00DD50B5">
        <w:rPr>
          <w:rFonts w:ascii="Times New Roman" w:hAnsi="Times New Roman" w:cs="Times New Roman"/>
        </w:rPr>
        <w:t xml:space="preserve">   užtikrinimui pateikti techninės specifikacijos 2.4 punkte. </w:t>
      </w:r>
    </w:p>
    <w:p w14:paraId="525CFD57" w14:textId="36CC9C05" w:rsidR="001F1939" w:rsidRPr="001F1939" w:rsidRDefault="001F1939" w:rsidP="001F1939">
      <w:pPr>
        <w:tabs>
          <w:tab w:val="left" w:pos="567"/>
          <w:tab w:val="left" w:pos="993"/>
          <w:tab w:val="left" w:pos="1134"/>
        </w:tabs>
        <w:contextualSpacing/>
        <w:rPr>
          <w:rFonts w:ascii="Times New Roman" w:hAnsi="Times New Roman" w:cs="Times New Roman"/>
        </w:rPr>
      </w:pPr>
      <w:r w:rsidRPr="001F1939">
        <w:rPr>
          <w:rFonts w:ascii="Times New Roman" w:hAnsi="Times New Roman" w:cs="Times New Roman"/>
        </w:rPr>
        <w:t xml:space="preserve"> </w:t>
      </w:r>
    </w:p>
    <w:p w14:paraId="546FC2ED" w14:textId="77777777" w:rsidR="001F1939" w:rsidRPr="001F1939" w:rsidRDefault="001F1939" w:rsidP="001F1939">
      <w:pPr>
        <w:spacing w:line="240" w:lineRule="auto"/>
        <w:jc w:val="both"/>
        <w:rPr>
          <w:rFonts w:ascii="Times New Roman" w:hAnsi="Times New Roman" w:cs="Times New Roman"/>
        </w:rPr>
      </w:pPr>
      <w:r w:rsidRPr="001F1939">
        <w:rPr>
          <w:rFonts w:ascii="Times New Roman" w:hAnsi="Times New Roman" w:cs="Times New Roman"/>
        </w:rPr>
        <w:t>3 KLAUSIMAS. Techninės specifikacijos skyriuje „1.4. Terminai“ yra nurodyta:</w:t>
      </w:r>
    </w:p>
    <w:p w14:paraId="5E95F382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„Projektavimo darbai ir statybos leidimo gavimas – ne vėliau kaip per 90 kalendorinių dienų nuo sutarties įsigaliojimo.</w:t>
      </w:r>
    </w:p>
    <w:p w14:paraId="39ABB445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Vamzdynų demontavimo, montavimo pabaiga:</w:t>
      </w:r>
    </w:p>
    <w:p w14:paraId="0B2F8014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I etapas - vamzdynų demontavimo, montavimo darbų pabaiga, tranšėjų užkasimas ir šilumos energijos tiekimas iš Pietinės katilinės – ne vėliau kaip iki 2025 m. rugpjūčio 1 d.;</w:t>
      </w:r>
    </w:p>
    <w:p w14:paraId="38513DE8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II etapas - vamzdynų demontavimo, montavimo darbų pabaiga, tranšėjų užkasimas ir šilumos energijos tiekimas iš Pietinės katilinės – ne vėliau kaip iki 2026 m. liepos 20 d.“</w:t>
      </w:r>
    </w:p>
    <w:p w14:paraId="216039BC" w14:textId="77777777" w:rsidR="00DD50B5" w:rsidRPr="00DD50B5" w:rsidRDefault="001F1939" w:rsidP="00DD50B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 </w:t>
      </w:r>
      <w:r w:rsidRPr="00DD50B5">
        <w:rPr>
          <w:rFonts w:ascii="Times New Roman" w:hAnsi="Times New Roman" w:cs="Times New Roman"/>
          <w:b/>
          <w:bCs/>
          <w:i/>
          <w:iCs/>
        </w:rPr>
        <w:t>Prašome patikslinti nurodytus terminus į:</w:t>
      </w:r>
    </w:p>
    <w:p w14:paraId="056C5787" w14:textId="6D20E0E2" w:rsidR="001F1939" w:rsidRPr="00DD50B5" w:rsidRDefault="001F1939" w:rsidP="00DD50B5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 xml:space="preserve">„Projektavimo darbai ir statybos leidimo gavimas – ne vėliau kaip per </w:t>
      </w:r>
      <w:r w:rsidRPr="00DD50B5">
        <w:rPr>
          <w:rFonts w:ascii="Times New Roman" w:hAnsi="Times New Roman" w:cs="Times New Roman"/>
          <w:i/>
          <w:iCs/>
          <w:u w:val="single"/>
        </w:rPr>
        <w:t>150 kalendorinių dienų</w:t>
      </w:r>
      <w:r w:rsidRPr="00DD50B5">
        <w:rPr>
          <w:rFonts w:ascii="Times New Roman" w:hAnsi="Times New Roman" w:cs="Times New Roman"/>
          <w:i/>
          <w:iCs/>
        </w:rPr>
        <w:t xml:space="preserve"> nuo sutarties įsigaliojimo.</w:t>
      </w:r>
    </w:p>
    <w:p w14:paraId="286687CC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 xml:space="preserve">I etapas - vamzdynų demontavimo, montavimo darbų pabaiga, tranšėjų užkasimas ir šilumos energijos tiekimas iš Pietinės katilinės – ne vėliau kaip iki </w:t>
      </w:r>
      <w:r w:rsidRPr="00DD50B5">
        <w:rPr>
          <w:rFonts w:ascii="Times New Roman" w:hAnsi="Times New Roman" w:cs="Times New Roman"/>
          <w:i/>
          <w:iCs/>
          <w:u w:val="single"/>
        </w:rPr>
        <w:t>2026 m. liepos 20 d.;</w:t>
      </w:r>
    </w:p>
    <w:p w14:paraId="007467F8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II etapas - vamzdynų demontavimo, montavimo darbų pabaiga, tranšėjų užkasimas ir šilumos energijos tiekimas iš Pietinės katilinės – ne vėliau kaip iki 2026 m. liepos 20 d.“</w:t>
      </w:r>
    </w:p>
    <w:p w14:paraId="04619E8A" w14:textId="32626AD5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 </w:t>
      </w:r>
      <w:r w:rsidRPr="00DD50B5">
        <w:rPr>
          <w:rFonts w:ascii="Times New Roman" w:hAnsi="Times New Roman" w:cs="Times New Roman"/>
          <w:b/>
          <w:bCs/>
          <w:i/>
          <w:iCs/>
        </w:rPr>
        <w:t>kadangi:</w:t>
      </w:r>
    </w:p>
    <w:p w14:paraId="300BC94C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1. Įmanomas trumpiausias projekto parengimui reikalingas inžinerinių topografinių tyrimų atlikimo ir suderinimo terminas yra </w:t>
      </w:r>
      <w:r w:rsidRPr="00DD50B5">
        <w:rPr>
          <w:rFonts w:ascii="Times New Roman" w:hAnsi="Times New Roman" w:cs="Times New Roman"/>
          <w:b/>
          <w:bCs/>
          <w:i/>
          <w:iCs/>
        </w:rPr>
        <w:t xml:space="preserve">30 </w:t>
      </w:r>
      <w:proofErr w:type="spellStart"/>
      <w:r w:rsidRPr="00DD50B5">
        <w:rPr>
          <w:rFonts w:ascii="Times New Roman" w:hAnsi="Times New Roman" w:cs="Times New Roman"/>
          <w:b/>
          <w:bCs/>
          <w:i/>
          <w:iCs/>
        </w:rPr>
        <w:t>k.d</w:t>
      </w:r>
      <w:proofErr w:type="spellEnd"/>
      <w:r w:rsidRPr="00DD50B5">
        <w:rPr>
          <w:rFonts w:ascii="Times New Roman" w:hAnsi="Times New Roman" w:cs="Times New Roman"/>
          <w:b/>
          <w:bCs/>
          <w:i/>
          <w:iCs/>
        </w:rPr>
        <w:t>.,</w:t>
      </w:r>
    </w:p>
    <w:p w14:paraId="4F362A6F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>2. Įmanomas trumpiausias SLD išėmimo terminas yra </w:t>
      </w:r>
      <w:r w:rsidRPr="00DD50B5">
        <w:rPr>
          <w:rFonts w:ascii="Times New Roman" w:hAnsi="Times New Roman" w:cs="Times New Roman"/>
          <w:b/>
          <w:bCs/>
          <w:i/>
          <w:iCs/>
        </w:rPr>
        <w:t xml:space="preserve">30 </w:t>
      </w:r>
      <w:proofErr w:type="spellStart"/>
      <w:r w:rsidRPr="00DD50B5">
        <w:rPr>
          <w:rFonts w:ascii="Times New Roman" w:hAnsi="Times New Roman" w:cs="Times New Roman"/>
          <w:b/>
          <w:bCs/>
          <w:i/>
          <w:iCs/>
        </w:rPr>
        <w:t>k.d</w:t>
      </w:r>
      <w:proofErr w:type="spellEnd"/>
      <w:r w:rsidRPr="00DD50B5">
        <w:rPr>
          <w:rFonts w:ascii="Times New Roman" w:hAnsi="Times New Roman" w:cs="Times New Roman"/>
          <w:b/>
          <w:bCs/>
          <w:i/>
          <w:iCs/>
        </w:rPr>
        <w:t>.</w:t>
      </w:r>
    </w:p>
    <w:p w14:paraId="6C06C0E5" w14:textId="77777777" w:rsidR="001F1939" w:rsidRPr="00DD50B5" w:rsidRDefault="001F1939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 xml:space="preserve">3. II vamzdynų montavimo etape numatytas naujos statybos ruožas (iki taško „M“) patenka į suformuotą žemės sklypą adresu Vytauto g. 113. Norint išimti statinio statybą leidžiantį dokumentą šioje suformuoto </w:t>
      </w:r>
      <w:r w:rsidRPr="00DD50B5">
        <w:rPr>
          <w:rFonts w:ascii="Times New Roman" w:hAnsi="Times New Roman" w:cs="Times New Roman"/>
          <w:i/>
          <w:iCs/>
        </w:rPr>
        <w:lastRenderedPageBreak/>
        <w:t>žemės sklypo dalyje bus reikalinga nustatyti servitutą šilumos perdavimo tinklų statybai (</w:t>
      </w:r>
      <w:proofErr w:type="spellStart"/>
      <w:r w:rsidRPr="00DD50B5">
        <w:rPr>
          <w:rFonts w:ascii="Times New Roman" w:hAnsi="Times New Roman" w:cs="Times New Roman"/>
          <w:i/>
          <w:iCs/>
        </w:rPr>
        <w:t>t.y</w:t>
      </w:r>
      <w:proofErr w:type="spellEnd"/>
      <w:r w:rsidRPr="00DD50B5">
        <w:rPr>
          <w:rFonts w:ascii="Times New Roman" w:hAnsi="Times New Roman" w:cs="Times New Roman"/>
          <w:i/>
          <w:iCs/>
        </w:rPr>
        <w:t>. reikalinga parengti projekto sprendinius, juos susiderinti, gauti reikiamus sutikimus, organizuoti notariškai pasirašomus servituto formavimo dokumentus (įmanomas trumpiausias šios procedūros terminas yra </w:t>
      </w:r>
      <w:r w:rsidRPr="00DD50B5">
        <w:rPr>
          <w:rFonts w:ascii="Times New Roman" w:hAnsi="Times New Roman" w:cs="Times New Roman"/>
          <w:b/>
          <w:bCs/>
          <w:i/>
          <w:iCs/>
        </w:rPr>
        <w:t xml:space="preserve">30 </w:t>
      </w:r>
      <w:proofErr w:type="spellStart"/>
      <w:r w:rsidRPr="00DD50B5">
        <w:rPr>
          <w:rFonts w:ascii="Times New Roman" w:hAnsi="Times New Roman" w:cs="Times New Roman"/>
          <w:b/>
          <w:bCs/>
          <w:i/>
          <w:iCs/>
        </w:rPr>
        <w:t>k.d</w:t>
      </w:r>
      <w:proofErr w:type="spellEnd"/>
      <w:r w:rsidRPr="00DD50B5">
        <w:rPr>
          <w:rFonts w:ascii="Times New Roman" w:hAnsi="Times New Roman" w:cs="Times New Roman"/>
          <w:b/>
          <w:bCs/>
          <w:i/>
          <w:iCs/>
        </w:rPr>
        <w:t>.</w:t>
      </w:r>
      <w:r w:rsidRPr="00DD50B5">
        <w:rPr>
          <w:rFonts w:ascii="Times New Roman" w:hAnsi="Times New Roman" w:cs="Times New Roman"/>
          <w:i/>
          <w:iCs/>
        </w:rPr>
        <w:t>).</w:t>
      </w:r>
    </w:p>
    <w:p w14:paraId="5A230E2C" w14:textId="033E5BA9" w:rsidR="001F1939" w:rsidRPr="00DD50B5" w:rsidRDefault="00DD50B5" w:rsidP="00DD50B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D50B5">
        <w:rPr>
          <w:rFonts w:ascii="Times New Roman" w:hAnsi="Times New Roman" w:cs="Times New Roman"/>
          <w:i/>
          <w:iCs/>
        </w:rPr>
        <w:t xml:space="preserve">        </w:t>
      </w:r>
      <w:r w:rsidR="001F1939" w:rsidRPr="00DD50B5">
        <w:rPr>
          <w:rFonts w:ascii="Times New Roman" w:hAnsi="Times New Roman" w:cs="Times New Roman"/>
          <w:i/>
          <w:iCs/>
        </w:rPr>
        <w:t>Likęs </w:t>
      </w:r>
      <w:r w:rsidR="001F1939" w:rsidRPr="00DD50B5">
        <w:rPr>
          <w:rFonts w:ascii="Times New Roman" w:hAnsi="Times New Roman" w:cs="Times New Roman"/>
          <w:b/>
          <w:bCs/>
          <w:i/>
          <w:iCs/>
        </w:rPr>
        <w:t>kelių</w:t>
      </w:r>
      <w:r w:rsidR="001F1939" w:rsidRPr="00DD50B5">
        <w:rPr>
          <w:rFonts w:ascii="Times New Roman" w:hAnsi="Times New Roman" w:cs="Times New Roman"/>
          <w:i/>
          <w:iCs/>
        </w:rPr>
        <w:t> dienų terminas projekto parengimui, suderinimui su atsakingomis institucijomis ir suformuotų žemės sklypų savininkais, valstybinės žemės patikėtinio sutikimo gavimui gauti yra per trumpas.</w:t>
      </w:r>
    </w:p>
    <w:p w14:paraId="60133AF6" w14:textId="612F7983" w:rsidR="00234AC1" w:rsidRDefault="00234AC1" w:rsidP="007737A6">
      <w:pPr>
        <w:spacing w:after="0"/>
        <w:jc w:val="both"/>
        <w:rPr>
          <w:rFonts w:ascii="Times New Roman" w:hAnsi="Times New Roman" w:cs="Times New Roman"/>
        </w:rPr>
      </w:pPr>
    </w:p>
    <w:p w14:paraId="0DE386ED" w14:textId="5CC9D558" w:rsidR="001F1939" w:rsidRPr="001F1939" w:rsidRDefault="001F1939" w:rsidP="007737A6">
      <w:pPr>
        <w:spacing w:after="0"/>
        <w:jc w:val="both"/>
        <w:rPr>
          <w:rFonts w:ascii="Times New Roman" w:hAnsi="Times New Roman" w:cs="Times New Roman"/>
        </w:rPr>
      </w:pPr>
      <w:r w:rsidRPr="001F1939">
        <w:rPr>
          <w:rFonts w:ascii="Times New Roman" w:hAnsi="Times New Roman" w:cs="Times New Roman"/>
        </w:rPr>
        <w:t>ATSAKYMAS</w:t>
      </w:r>
      <w:r w:rsidR="00234AC1">
        <w:rPr>
          <w:rFonts w:ascii="Times New Roman" w:hAnsi="Times New Roman" w:cs="Times New Roman"/>
        </w:rPr>
        <w:t>:</w:t>
      </w:r>
    </w:p>
    <w:p w14:paraId="20879216" w14:textId="5FFA3860" w:rsidR="007737A6" w:rsidRPr="007737A6" w:rsidRDefault="00DD50B5" w:rsidP="007737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7A6">
        <w:rPr>
          <w:rFonts w:ascii="Times New Roman" w:hAnsi="Times New Roman" w:cs="Times New Roman"/>
        </w:rPr>
        <w:t xml:space="preserve">Perkantysis subjektas </w:t>
      </w:r>
      <w:r w:rsidR="007737A6" w:rsidRPr="007737A6">
        <w:rPr>
          <w:rFonts w:ascii="Times New Roman" w:hAnsi="Times New Roman" w:cs="Times New Roman"/>
        </w:rPr>
        <w:t xml:space="preserve">neatsižvelgs į tiekėjo prašymą ir   </w:t>
      </w:r>
      <w:r w:rsidRPr="007737A6">
        <w:rPr>
          <w:rFonts w:ascii="Times New Roman" w:hAnsi="Times New Roman" w:cs="Times New Roman"/>
        </w:rPr>
        <w:t>pirkimo dokumentuose nurodytų terminų</w:t>
      </w:r>
      <w:r w:rsidR="007737A6" w:rsidRPr="007737A6">
        <w:rPr>
          <w:rFonts w:ascii="Times New Roman" w:hAnsi="Times New Roman" w:cs="Times New Roman"/>
        </w:rPr>
        <w:t xml:space="preserve"> nekeis.   Perkančiojo subjekto nuomone, </w:t>
      </w:r>
      <w:r w:rsidR="007737A6" w:rsidRPr="007737A6">
        <w:rPr>
          <w:rFonts w:ascii="Times New Roman" w:hAnsi="Times New Roman" w:cs="Times New Roman"/>
        </w:rPr>
        <w:t xml:space="preserve">techninėje specifikacijoje nustatyti terminai atlikti projektavimo darbus  yra pakankami. Projektuotojas, būdamas patyręs savo srities profesionalas, </w:t>
      </w:r>
      <w:r w:rsidR="007737A6" w:rsidRPr="007737A6">
        <w:rPr>
          <w:rFonts w:ascii="Times New Roman" w:hAnsi="Times New Roman" w:cs="Times New Roman"/>
        </w:rPr>
        <w:t>dalį su projektavimu susijusių darbų gali atlikti lygiagrečiai, o ne nuosekliai, tuo sutrumpindam</w:t>
      </w:r>
      <w:r w:rsidR="007737A6">
        <w:rPr>
          <w:rFonts w:ascii="Times New Roman" w:hAnsi="Times New Roman" w:cs="Times New Roman"/>
        </w:rPr>
        <w:t>as</w:t>
      </w:r>
      <w:r w:rsidR="007737A6" w:rsidRPr="007737A6">
        <w:rPr>
          <w:rFonts w:ascii="Times New Roman" w:hAnsi="Times New Roman" w:cs="Times New Roman"/>
        </w:rPr>
        <w:t xml:space="preserve"> terminus </w:t>
      </w:r>
      <w:r w:rsidR="007737A6" w:rsidRPr="007737A6">
        <w:rPr>
          <w:rFonts w:ascii="Times New Roman" w:hAnsi="Times New Roman" w:cs="Times New Roman"/>
        </w:rPr>
        <w:t xml:space="preserve">projekto parengimui, suderinimui su atsakingomis institucijomis ir </w:t>
      </w:r>
      <w:r w:rsidR="007737A6" w:rsidRPr="007737A6">
        <w:rPr>
          <w:rFonts w:ascii="Times New Roman" w:hAnsi="Times New Roman" w:cs="Times New Roman"/>
        </w:rPr>
        <w:t>panaši</w:t>
      </w:r>
      <w:r w:rsidR="007737A6">
        <w:rPr>
          <w:rFonts w:ascii="Times New Roman" w:hAnsi="Times New Roman" w:cs="Times New Roman"/>
        </w:rPr>
        <w:t>us</w:t>
      </w:r>
      <w:r w:rsidR="007737A6" w:rsidRPr="007737A6">
        <w:rPr>
          <w:rFonts w:ascii="Times New Roman" w:hAnsi="Times New Roman" w:cs="Times New Roman"/>
        </w:rPr>
        <w:t xml:space="preserve">.  </w:t>
      </w:r>
    </w:p>
    <w:p w14:paraId="6348611F" w14:textId="77777777" w:rsidR="007737A6" w:rsidRDefault="007737A6" w:rsidP="007737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06A3FE" w14:textId="0532507E" w:rsidR="001F1939" w:rsidRPr="007737A6" w:rsidRDefault="007737A6" w:rsidP="007737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9CD50B5" w14:textId="77777777" w:rsidR="001F1939" w:rsidRPr="007737A6" w:rsidRDefault="001F1939" w:rsidP="001F1939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59D80C72" w14:textId="77777777" w:rsidR="001F1939" w:rsidRPr="001F1939" w:rsidRDefault="001F1939" w:rsidP="001F1939">
      <w:pPr>
        <w:spacing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69B96292" w14:textId="77777777" w:rsidR="001F1939" w:rsidRPr="001F1939" w:rsidRDefault="001F1939" w:rsidP="001F1939">
      <w:pPr>
        <w:spacing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20386068" w14:textId="77777777" w:rsidR="001F1939" w:rsidRPr="001F1939" w:rsidRDefault="001F1939" w:rsidP="001F1939">
      <w:pPr>
        <w:spacing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35D1B28F" w14:textId="77777777" w:rsidR="001F1939" w:rsidRPr="001F1939" w:rsidRDefault="001F1939" w:rsidP="001F1939">
      <w:pPr>
        <w:spacing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6B6BB8BF" w14:textId="77777777" w:rsidR="001F1939" w:rsidRPr="001F1939" w:rsidRDefault="001F1939" w:rsidP="001F1939">
      <w:pPr>
        <w:spacing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sectPr w:rsidR="001F1939" w:rsidRPr="001F193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1A7"/>
    <w:multiLevelType w:val="multilevel"/>
    <w:tmpl w:val="367EC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83B91"/>
    <w:multiLevelType w:val="multilevel"/>
    <w:tmpl w:val="BF5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853404">
    <w:abstractNumId w:val="1"/>
  </w:num>
  <w:num w:numId="2" w16cid:durableId="136282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BD"/>
    <w:rsid w:val="000C0D82"/>
    <w:rsid w:val="00164ABD"/>
    <w:rsid w:val="001F1939"/>
    <w:rsid w:val="00234AC1"/>
    <w:rsid w:val="0027212F"/>
    <w:rsid w:val="002F1CA7"/>
    <w:rsid w:val="00363636"/>
    <w:rsid w:val="004673FB"/>
    <w:rsid w:val="00500C7C"/>
    <w:rsid w:val="00640361"/>
    <w:rsid w:val="006D29B4"/>
    <w:rsid w:val="007737A6"/>
    <w:rsid w:val="008A6C19"/>
    <w:rsid w:val="009606A9"/>
    <w:rsid w:val="009A374D"/>
    <w:rsid w:val="00A0704E"/>
    <w:rsid w:val="00A56226"/>
    <w:rsid w:val="00B60A2F"/>
    <w:rsid w:val="00BB0C87"/>
    <w:rsid w:val="00C36202"/>
    <w:rsid w:val="00D2319D"/>
    <w:rsid w:val="00D85FF3"/>
    <w:rsid w:val="00DD50B5"/>
    <w:rsid w:val="00DF45B6"/>
    <w:rsid w:val="00F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15BD"/>
  <w15:chartTrackingRefBased/>
  <w15:docId w15:val="{32EDB33F-FA23-4ED0-89FC-120AE226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A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A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ABD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ABD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ABD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AB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ABD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AB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ABD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AB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AB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ABD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164A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A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ABD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164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a_x0161_as xmlns="1d3d2065-9669-4670-a60c-7bf55a153534" xsi:nil="true"/>
    <TaxCatchAll xmlns="88e22f17-664e-4e45-807b-6fed6d5c24fb" xsi:nil="true"/>
    <Pilnasobjektopavadinimas xmlns="1d3d2065-9669-4670-a60c-7bf55a153534" xsi:nil="true"/>
    <lcf76f155ced4ddcb4097134ff3c332f xmlns="1d3d2065-9669-4670-a60c-7bf55a1535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EB6DB085E7F14483AFA109906E6669" ma:contentTypeVersion="18" ma:contentTypeDescription="Kurkite naują dokumentą." ma:contentTypeScope="" ma:versionID="ab0a62d482c5001d53f1b316e71d1e0b">
  <xsd:schema xmlns:xsd="http://www.w3.org/2001/XMLSchema" xmlns:xs="http://www.w3.org/2001/XMLSchema" xmlns:p="http://schemas.microsoft.com/office/2006/metadata/properties" xmlns:ns2="88e22f17-664e-4e45-807b-6fed6d5c24fb" xmlns:ns3="1d3d2065-9669-4670-a60c-7bf55a153534" targetNamespace="http://schemas.microsoft.com/office/2006/metadata/properties" ma:root="true" ma:fieldsID="716566773884469fd92677a70f690041" ns2:_="" ns3:_="">
    <xsd:import namespace="88e22f17-664e-4e45-807b-6fed6d5c24fb"/>
    <xsd:import namespace="1d3d2065-9669-4670-a60c-7bf55a1535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Apra_x0161_as" minOccurs="0"/>
                <xsd:element ref="ns3:Pilnasobjektopavadini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22f17-664e-4e45-807b-6fed6d5c2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345df70-6bac-4b16-93bc-9177a499a4d4}" ma:internalName="TaxCatchAll" ma:showField="CatchAllData" ma:web="88e22f17-664e-4e45-807b-6fed6d5c2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d2065-9669-4670-a60c-7bf55a1535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5316aa6a-1ae1-495d-896b-3cc3b1b5b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ra_x0161_as" ma:index="23" nillable="true" ma:displayName="Aprašas" ma:description="Rašomas pilnas objekto aprašymas&#10;" ma:format="Dropdown" ma:internalName="Apra_x0161_as">
      <xsd:simpleType>
        <xsd:restriction base="dms:Note">
          <xsd:maxLength value="255"/>
        </xsd:restriction>
      </xsd:simpleType>
    </xsd:element>
    <xsd:element name="Pilnasobjektopavadinimas" ma:index="24" nillable="true" ma:displayName="Pilnas objekto pavadinimas" ma:description="Pilnas aprašas&#10;" ma:format="Dropdown" ma:internalName="Pilnasobjektopavadinima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2962A-B1FB-42BC-9925-F96DF8DF1CF8}">
  <ds:schemaRefs>
    <ds:schemaRef ds:uri="http://schemas.microsoft.com/office/2006/metadata/properties"/>
    <ds:schemaRef ds:uri="http://schemas.microsoft.com/office/infopath/2007/PartnerControls"/>
    <ds:schemaRef ds:uri="1d3d2065-9669-4670-a60c-7bf55a153534"/>
    <ds:schemaRef ds:uri="88e22f17-664e-4e45-807b-6fed6d5c24fb"/>
  </ds:schemaRefs>
</ds:datastoreItem>
</file>

<file path=customXml/itemProps2.xml><?xml version="1.0" encoding="utf-8"?>
<ds:datastoreItem xmlns:ds="http://schemas.openxmlformats.org/officeDocument/2006/customXml" ds:itemID="{5E72B84D-7AD1-46C4-8E58-EAE1A3E63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22f17-664e-4e45-807b-6fed6d5c24fb"/>
    <ds:schemaRef ds:uri="1d3d2065-9669-4670-a60c-7bf55a15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400FA-5156-4140-B090-77A6CAAB4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Manaitė</dc:creator>
  <cp:keywords/>
  <dc:description/>
  <cp:lastModifiedBy>Inga Sargūnienė</cp:lastModifiedBy>
  <cp:revision>16</cp:revision>
  <dcterms:created xsi:type="dcterms:W3CDTF">2025-04-17T05:06:00Z</dcterms:created>
  <dcterms:modified xsi:type="dcterms:W3CDTF">2025-04-17T12:18:00Z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0x01010025EB6DB085E7F14483AFA109906E6669</vt:lpwstr>
  </property>
</Properties>
</file>