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925" w14:textId="00695276" w:rsidR="00A455CB" w:rsidRPr="002B418C" w:rsidRDefault="00A455CB" w:rsidP="00D20B98">
      <w:pPr>
        <w:pStyle w:val="Stilius5"/>
        <w:spacing w:after="120"/>
        <w:outlineLvl w:val="0"/>
        <w:rPr>
          <w:sz w:val="24"/>
          <w:szCs w:val="24"/>
        </w:rPr>
      </w:pPr>
      <w:r w:rsidRPr="002B418C">
        <w:rPr>
          <w:sz w:val="24"/>
          <w:szCs w:val="24"/>
        </w:rPr>
        <w:t xml:space="preserve">STATYBOS RANGOS SUTARTIS </w:t>
      </w:r>
    </w:p>
    <w:p w14:paraId="04A0CDD5" w14:textId="7E6C3DA5"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19CA2907" w:rsidR="00A455CB" w:rsidRPr="002B418C" w:rsidRDefault="00F339DC" w:rsidP="00F339DC">
      <w:pPr>
        <w:ind w:firstLine="284"/>
        <w:jc w:val="both"/>
        <w:rPr>
          <w:rFonts w:ascii="Times New Roman" w:hAnsi="Times New Roman"/>
          <w:sz w:val="24"/>
          <w:szCs w:val="24"/>
        </w:rPr>
      </w:pPr>
      <w:r w:rsidRPr="000B4551">
        <w:rPr>
          <w:rFonts w:ascii="Times New Roman" w:hAnsi="Times New Roman"/>
          <w:b/>
          <w:sz w:val="24"/>
          <w:szCs w:val="24"/>
        </w:rPr>
        <w:t xml:space="preserve">Anykščių rajono savivaldybės administracija, </w:t>
      </w:r>
      <w:r w:rsidRPr="000B4551">
        <w:rPr>
          <w:rFonts w:ascii="Times New Roman" w:hAnsi="Times New Roman"/>
          <w:sz w:val="24"/>
          <w:szCs w:val="24"/>
        </w:rPr>
        <w:t xml:space="preserve">atstovaujama Anykščių rajono savivaldybės administracijos direktorės </w:t>
      </w:r>
      <w:r w:rsidRPr="000B4551">
        <w:rPr>
          <w:rFonts w:ascii="Times New Roman" w:hAnsi="Times New Roman"/>
          <w:b/>
          <w:bCs/>
          <w:sz w:val="24"/>
          <w:szCs w:val="24"/>
        </w:rPr>
        <w:t>Jurgitos Banienės</w:t>
      </w:r>
      <w:r w:rsidRPr="000B4551">
        <w:rPr>
          <w:rFonts w:ascii="Times New Roman" w:hAnsi="Times New Roman"/>
          <w:sz w:val="24"/>
          <w:szCs w:val="24"/>
        </w:rPr>
        <w:t xml:space="preserve">, veikiančios pagal Lietuvos Respublikos vietos savivaldos įstatymą (toliau - </w:t>
      </w:r>
      <w:r w:rsidRPr="000B4551">
        <w:rPr>
          <w:rFonts w:ascii="Times New Roman" w:hAnsi="Times New Roman"/>
          <w:b/>
          <w:sz w:val="24"/>
          <w:szCs w:val="24"/>
        </w:rPr>
        <w:t>Užsakovas</w:t>
      </w:r>
      <w:r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w:t>
      </w:r>
      <w:proofErr w:type="spellStart"/>
      <w:r w:rsidR="00507765" w:rsidRPr="002B418C">
        <w:rPr>
          <w:rFonts w:ascii="Times New Roman" w:hAnsi="Times New Roman"/>
          <w:sz w:val="24"/>
          <w:szCs w:val="24"/>
        </w:rPr>
        <w:t>ios</w:t>
      </w:r>
      <w:proofErr w:type="spellEnd"/>
      <w:r w:rsidR="00507765" w:rsidRPr="002B418C">
        <w:rPr>
          <w:rFonts w:ascii="Times New Roman" w:hAnsi="Times New Roman"/>
          <w:sz w:val="24"/>
          <w:szCs w:val="24"/>
        </w:rPr>
        <w:t>)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77777777"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Projekto antrasis etapas, Techninio projekto tąsa, kuriame detalizuojami Techninio projekto </w:t>
            </w:r>
            <w:r w:rsidRPr="002B418C">
              <w:rPr>
                <w:rFonts w:ascii="Times New Roman" w:hAnsi="Times New Roman"/>
                <w:sz w:val="24"/>
                <w:szCs w:val="24"/>
              </w:rPr>
              <w:lastRenderedPageBreak/>
              <w:t>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shd w:val="clear" w:color="auto" w:fill="auto"/>
                </w:tcPr>
                <w:p w14:paraId="44C0F021" w14:textId="75DA38FD" w:rsidR="00357BB8" w:rsidRPr="002B418C" w:rsidRDefault="00357BB8" w:rsidP="00357BB8">
                  <w:pPr>
                    <w:pStyle w:val="Stilius3"/>
                    <w:rPr>
                      <w:sz w:val="24"/>
                      <w:szCs w:val="24"/>
                    </w:rPr>
                  </w:pPr>
                  <w:r>
                    <w:rPr>
                      <w:sz w:val="24"/>
                      <w:szCs w:val="24"/>
                    </w:rPr>
                    <w:t>2.1.</w:t>
                  </w:r>
                </w:p>
              </w:tc>
              <w:tc>
                <w:tcPr>
                  <w:tcW w:w="9013" w:type="dxa"/>
                  <w:tcBorders>
                    <w:top w:val="nil"/>
                    <w:left w:val="nil"/>
                    <w:bottom w:val="nil"/>
                    <w:right w:val="nil"/>
                  </w:tcBorders>
                  <w:shd w:val="clear" w:color="auto" w:fill="auto"/>
                </w:tcPr>
                <w:p w14:paraId="13A7BEAB" w14:textId="77777777" w:rsidR="00B3607D" w:rsidRDefault="00B3607D" w:rsidP="000F0B04">
                  <w:pPr>
                    <w:jc w:val="both"/>
                    <w:rPr>
                      <w:rFonts w:ascii="Times New Roman" w:hAnsi="Times New Roman"/>
                      <w:sz w:val="24"/>
                      <w:szCs w:val="24"/>
                    </w:rPr>
                  </w:pPr>
                </w:p>
                <w:p w14:paraId="1B6F97DF" w14:textId="7B6552B2" w:rsidR="00B3607D" w:rsidRPr="00357BB8" w:rsidRDefault="00A455CB" w:rsidP="000F0B04">
                  <w:pPr>
                    <w:jc w:val="both"/>
                    <w:rPr>
                      <w:rFonts w:ascii="Times New Roman" w:eastAsia="Calibri" w:hAnsi="Times New Roman"/>
                      <w:b/>
                      <w:bCs/>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2B3BD9" w:rsidRPr="00C117C2">
                    <w:rPr>
                      <w:rFonts w:ascii="Times New Roman" w:hAnsi="Times New Roman"/>
                      <w:sz w:val="24"/>
                      <w:szCs w:val="24"/>
                    </w:rPr>
                    <w:t>atlikti</w:t>
                  </w:r>
                  <w:r w:rsidR="000F0B04">
                    <w:rPr>
                      <w:rFonts w:ascii="Times New Roman" w:hAnsi="Times New Roman"/>
                      <w:sz w:val="24"/>
                      <w:szCs w:val="24"/>
                    </w:rPr>
                    <w:t xml:space="preserve"> </w:t>
                  </w:r>
                  <w:bookmarkStart w:id="0" w:name="_Hlk186873074"/>
                  <w:r w:rsidR="00357BB8" w:rsidRPr="00357BB8">
                    <w:rPr>
                      <w:rFonts w:ascii="Times New Roman" w:hAnsi="Times New Roman"/>
                      <w:b/>
                      <w:bCs/>
                      <w:sz w:val="24"/>
                      <w:szCs w:val="24"/>
                    </w:rPr>
                    <w:t>Mokslo paskirties pastato, Muziejaus g. 20, Anykščių m., Anykščių raj. sav.</w:t>
                  </w:r>
                  <w:bookmarkEnd w:id="0"/>
                  <w:r w:rsidR="00357BB8" w:rsidRPr="00357BB8">
                    <w:rPr>
                      <w:rFonts w:ascii="Times New Roman" w:hAnsi="Times New Roman"/>
                      <w:b/>
                      <w:bCs/>
                      <w:sz w:val="24"/>
                      <w:szCs w:val="24"/>
                    </w:rPr>
                    <w:t xml:space="preserve"> kapitalinio remonto darbus</w:t>
                  </w:r>
                  <w:r w:rsidR="00357BB8">
                    <w:rPr>
                      <w:rFonts w:ascii="Times New Roman" w:eastAsia="Calibri" w:hAnsi="Times New Roman"/>
                      <w:b/>
                      <w:bCs/>
                      <w:sz w:val="24"/>
                      <w:szCs w:val="24"/>
                      <w:lang w:eastAsia="lt-LT"/>
                    </w:rPr>
                    <w:t>.</w:t>
                  </w: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t>2.2.</w:t>
                  </w:r>
                </w:p>
                <w:p w14:paraId="0D641C0B" w14:textId="77777777" w:rsidR="00DB29FA" w:rsidRDefault="00DB29FA" w:rsidP="00DB29FA">
                  <w:pPr>
                    <w:pStyle w:val="Stilius3"/>
                    <w:ind w:left="360"/>
                    <w:rPr>
                      <w:sz w:val="24"/>
                      <w:szCs w:val="24"/>
                    </w:rPr>
                  </w:pPr>
                </w:p>
                <w:p w14:paraId="5AEAEAF2" w14:textId="55C0E58C" w:rsidR="00DB29FA" w:rsidRPr="002B418C" w:rsidRDefault="00DB29FA" w:rsidP="00A66202">
                  <w:pPr>
                    <w:pStyle w:val="Stilius3"/>
                    <w:rPr>
                      <w:sz w:val="24"/>
                      <w:szCs w:val="24"/>
                    </w:rPr>
                  </w:pPr>
                </w:p>
              </w:tc>
              <w:tc>
                <w:tcPr>
                  <w:tcW w:w="9013" w:type="dxa"/>
                  <w:tcBorders>
                    <w:top w:val="nil"/>
                    <w:left w:val="nil"/>
                    <w:bottom w:val="nil"/>
                    <w:right w:val="nil"/>
                  </w:tcBorders>
                  <w:shd w:val="clear" w:color="auto" w:fill="auto"/>
                </w:tcPr>
                <w:p w14:paraId="48F850BC" w14:textId="56719783" w:rsidR="00DB29FA"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014427ED" w14:textId="77777777" w:rsidR="00F339DC" w:rsidRPr="002B418C" w:rsidRDefault="00F339DC" w:rsidP="00357BB8">
                  <w:pPr>
                    <w:pStyle w:val="Stilius3"/>
                    <w:ind w:right="34"/>
                    <w:rPr>
                      <w:sz w:val="24"/>
                      <w:szCs w:val="24"/>
                    </w:rPr>
                  </w:pP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62A87927" w14:textId="5DBB4C5F" w:rsidR="0086692D" w:rsidRPr="002B418C"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r w:rsidRPr="002B418C">
                    <w:rPr>
                      <w:sz w:val="24"/>
                      <w:szCs w:val="24"/>
                    </w:rPr>
                    <w:t xml:space="preserve"> </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74C0BB6D" w:rsidR="0086692D" w:rsidRPr="002B418C" w:rsidRDefault="00302D0D" w:rsidP="00302D0D">
                  <w:pPr>
                    <w:pStyle w:val="Stilius3"/>
                    <w:rPr>
                      <w:sz w:val="24"/>
                      <w:szCs w:val="24"/>
                    </w:rPr>
                  </w:pPr>
                  <w:r>
                    <w:rPr>
                      <w:sz w:val="24"/>
                      <w:szCs w:val="24"/>
                    </w:rPr>
                    <w:t xml:space="preserve">Viešųjų pirkimų ir turto skyriaus vyriausioji specialistė Žydrė </w:t>
                  </w:r>
                  <w:proofErr w:type="spellStart"/>
                  <w:r>
                    <w:rPr>
                      <w:sz w:val="24"/>
                      <w:szCs w:val="24"/>
                    </w:rPr>
                    <w:t>Zlatkuvienė</w:t>
                  </w:r>
                  <w:proofErr w:type="spellEnd"/>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3C2566DB" w:rsidR="00C91C70" w:rsidRPr="00F44814" w:rsidRDefault="00357BB8" w:rsidP="006322AB">
                  <w:pPr>
                    <w:pStyle w:val="Stilius3"/>
                    <w:ind w:right="420"/>
                    <w:jc w:val="left"/>
                    <w:rPr>
                      <w:sz w:val="24"/>
                      <w:szCs w:val="24"/>
                    </w:rPr>
                  </w:pPr>
                  <w:r>
                    <w:rPr>
                      <w:sz w:val="24"/>
                      <w:szCs w:val="24"/>
                    </w:rPr>
                    <w:t>21</w:t>
                  </w:r>
                  <w:r w:rsidR="00047E70" w:rsidRPr="00F44814">
                    <w:rPr>
                      <w:sz w:val="24"/>
                      <w:szCs w:val="24"/>
                    </w:rPr>
                    <w:t xml:space="preserve"> </w:t>
                  </w:r>
                  <w:r w:rsidR="00047E70" w:rsidRPr="00F44814">
                    <w:rPr>
                      <w:i/>
                      <w:sz w:val="24"/>
                      <w:szCs w:val="24"/>
                    </w:rPr>
                    <w:t>(</w:t>
                  </w:r>
                  <w:r w:rsidR="00302D0D">
                    <w:rPr>
                      <w:i/>
                      <w:sz w:val="24"/>
                      <w:szCs w:val="24"/>
                    </w:rPr>
                    <w:t>d</w:t>
                  </w:r>
                  <w:r>
                    <w:rPr>
                      <w:i/>
                      <w:sz w:val="24"/>
                      <w:szCs w:val="24"/>
                    </w:rPr>
                    <w:t xml:space="preserve">videšimt vienas </w:t>
                  </w:r>
                  <w:r w:rsidR="00047E70" w:rsidRPr="00F44814">
                    <w:rPr>
                      <w:i/>
                      <w:sz w:val="24"/>
                      <w:szCs w:val="24"/>
                    </w:rPr>
                    <w:t>)</w:t>
                  </w:r>
                  <w:r w:rsidR="006322AB" w:rsidRPr="00F44814">
                    <w:rPr>
                      <w:sz w:val="24"/>
                      <w:szCs w:val="24"/>
                    </w:rPr>
                    <w:t xml:space="preserve"> mėn</w:t>
                  </w:r>
                  <w:r>
                    <w:rPr>
                      <w:sz w:val="24"/>
                      <w:szCs w:val="24"/>
                    </w:rPr>
                    <w:t xml:space="preserve">uo </w:t>
                  </w:r>
                  <w:r w:rsidR="00047E70" w:rsidRPr="00F44814">
                    <w:rPr>
                      <w:sz w:val="24"/>
                      <w:szCs w:val="24"/>
                    </w:rPr>
                    <w:t>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56A42BB6" w:rsidR="00C91C70" w:rsidRPr="002B418C" w:rsidRDefault="00357BB8" w:rsidP="00B35E85">
                  <w:pPr>
                    <w:pStyle w:val="Stilius3"/>
                    <w:ind w:right="420"/>
                    <w:jc w:val="left"/>
                    <w:rPr>
                      <w:sz w:val="24"/>
                      <w:szCs w:val="24"/>
                    </w:rPr>
                  </w:pPr>
                  <w:r>
                    <w:rPr>
                      <w:sz w:val="24"/>
                      <w:szCs w:val="24"/>
                    </w:rPr>
                    <w:t>Nenumatomas.</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80FFD5F" w14:textId="77777777" w:rsidR="00C91C70" w:rsidRPr="002B418C" w:rsidRDefault="00C91C70" w:rsidP="00892B13">
                  <w:pPr>
                    <w:pStyle w:val="Stilius3"/>
                    <w:jc w:val="left"/>
                    <w:rPr>
                      <w:sz w:val="24"/>
                      <w:szCs w:val="24"/>
                    </w:rPr>
                  </w:pPr>
                  <w:r w:rsidRPr="002B418C">
                    <w:rPr>
                      <w:sz w:val="24"/>
                      <w:szCs w:val="24"/>
                    </w:rPr>
                    <w:lastRenderedPageBreak/>
                    <w:t xml:space="preserve">Sutarties kaina,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3903EEAA"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C91C70" w:rsidRPr="002B418C" w:rsidRDefault="00C91C70" w:rsidP="00B35E85">
                  <w:pPr>
                    <w:pStyle w:val="Stilius3"/>
                    <w:jc w:val="left"/>
                    <w:rPr>
                      <w:strike/>
                      <w:sz w:val="24"/>
                      <w:szCs w:val="24"/>
                    </w:rPr>
                  </w:pPr>
                </w:p>
              </w:tc>
            </w:tr>
            <w:tr w:rsidR="00C91C70" w:rsidRPr="002B418C" w14:paraId="20851730"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w:t>
            </w:r>
            <w:r w:rsidR="00D54D4A">
              <w:rPr>
                <w:sz w:val="24"/>
                <w:szCs w:val="24"/>
              </w:rPr>
              <w:t>3</w:t>
            </w:r>
            <w:r w:rsidR="001D1FFB" w:rsidRPr="002B418C">
              <w:rPr>
                <w:sz w:val="24"/>
                <w:szCs w:val="24"/>
              </w:rPr>
              <w:t xml:space="preserve">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lastRenderedPageBreak/>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lastRenderedPageBreak/>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471B6FBB" w14:textId="77777777" w:rsidR="000E4BEB"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395579">
              <w:rPr>
                <w:rFonts w:ascii="Times New Roman" w:hAnsi="Times New Roman"/>
                <w:sz w:val="24"/>
                <w:szCs w:val="24"/>
              </w:rPr>
              <w:t xml:space="preserve"> </w:t>
            </w:r>
          </w:p>
          <w:p w14:paraId="05081656" w14:textId="77777777" w:rsidR="000E4BEB" w:rsidRDefault="000E4BEB" w:rsidP="004F6839">
            <w:pPr>
              <w:spacing w:before="200"/>
              <w:rPr>
                <w:rFonts w:ascii="Times New Roman" w:hAnsi="Times New Roman"/>
                <w:sz w:val="24"/>
                <w:szCs w:val="24"/>
              </w:rPr>
            </w:pPr>
          </w:p>
          <w:p w14:paraId="4DE4460B" w14:textId="77777777" w:rsidR="000E4BEB" w:rsidRDefault="000E4BEB" w:rsidP="004F6839">
            <w:pPr>
              <w:spacing w:before="200"/>
              <w:rPr>
                <w:rFonts w:ascii="Times New Roman" w:hAnsi="Times New Roman"/>
                <w:sz w:val="24"/>
                <w:szCs w:val="24"/>
              </w:rPr>
            </w:pPr>
          </w:p>
          <w:p w14:paraId="13195918" w14:textId="77777777" w:rsidR="000E4BEB" w:rsidRDefault="000E4BEB" w:rsidP="004F6839">
            <w:pPr>
              <w:spacing w:before="200"/>
              <w:rPr>
                <w:rFonts w:ascii="Times New Roman" w:hAnsi="Times New Roman"/>
                <w:sz w:val="24"/>
                <w:szCs w:val="24"/>
              </w:rPr>
            </w:pPr>
          </w:p>
          <w:p w14:paraId="1594FB43" w14:textId="56DFB244" w:rsidR="004F6839" w:rsidRDefault="000E4BEB"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4FD73053" w:rsidR="004F6839" w:rsidRDefault="000E4BEB"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EC060B" w14:textId="0A9B7754" w:rsidR="001376AB" w:rsidRPr="000E4BEB" w:rsidRDefault="001376AB" w:rsidP="00A66202">
            <w:pPr>
              <w:pStyle w:val="Stilius3"/>
              <w:rPr>
                <w:sz w:val="24"/>
                <w:szCs w:val="24"/>
              </w:rPr>
            </w:pPr>
            <w:r w:rsidRPr="000E4BEB">
              <w:rPr>
                <w:sz w:val="24"/>
                <w:szCs w:val="24"/>
              </w:rPr>
              <w:t>Užsakovas statybos darbų vykdymo metu turi teisę pareikalauti</w:t>
            </w:r>
            <w:r w:rsidR="001750BF" w:rsidRPr="000E4BEB">
              <w:rPr>
                <w:sz w:val="24"/>
                <w:szCs w:val="24"/>
              </w:rPr>
              <w:t xml:space="preserve"> (prievolę įsitikinti)</w:t>
            </w:r>
            <w:r w:rsidRPr="000E4BEB">
              <w:rPr>
                <w:sz w:val="24"/>
                <w:szCs w:val="24"/>
              </w:rPr>
              <w:t xml:space="preserve"> pateikti </w:t>
            </w:r>
            <w:hyperlink r:id="rId8" w:history="1">
              <w:r w:rsidR="000E4BEB" w:rsidRPr="000E4BEB">
                <w:rPr>
                  <w:rStyle w:val="Hipersaitas"/>
                  <w:color w:val="FF0000"/>
                  <w:sz w:val="24"/>
                  <w:szCs w:val="24"/>
                  <w:u w:val="none"/>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w:t>
              </w:r>
              <w:r w:rsidR="000E4BEB" w:rsidRPr="000E4BEB">
                <w:rPr>
                  <w:rStyle w:val="Hipersaitas"/>
                  <w:color w:val="000000" w:themeColor="text1"/>
                  <w:sz w:val="24"/>
                  <w:szCs w:val="24"/>
                  <w:u w:val="none"/>
                </w:rPr>
                <w:t xml:space="preserve">aprašo </w:t>
              </w:r>
            </w:hyperlink>
            <w:r w:rsidRPr="000E4BEB">
              <w:rPr>
                <w:sz w:val="24"/>
                <w:szCs w:val="24"/>
              </w:rPr>
              <w:t>XIII–XVI</w:t>
            </w:r>
            <w:r w:rsidR="004F6839" w:rsidRPr="000E4BEB">
              <w:rPr>
                <w:sz w:val="24"/>
                <w:szCs w:val="24"/>
              </w:rPr>
              <w:t xml:space="preserve"> </w:t>
            </w:r>
            <w:r w:rsidRPr="000E4BEB">
              <w:rPr>
                <w:sz w:val="24"/>
                <w:szCs w:val="24"/>
              </w:rPr>
              <w:t>skyriuose produktams nustatytų minimalių aplinkos apsaugos kriterijų, atitiktį aplinkos</w:t>
            </w:r>
            <w:r w:rsidR="004F6839" w:rsidRPr="000E4BEB">
              <w:rPr>
                <w:sz w:val="24"/>
                <w:szCs w:val="24"/>
              </w:rPr>
              <w:t xml:space="preserve"> </w:t>
            </w:r>
            <w:r w:rsidRPr="000E4BE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197E0306" w14:textId="0086E816" w:rsidR="00A455CB" w:rsidRPr="002B418C" w:rsidRDefault="00A455CB" w:rsidP="00892B13">
            <w:pPr>
              <w:pStyle w:val="Stilius3"/>
              <w:rPr>
                <w:sz w:val="24"/>
                <w:szCs w:val="24"/>
              </w:rPr>
            </w:pPr>
            <w:r w:rsidRPr="002B418C">
              <w:rPr>
                <w:sz w:val="24"/>
                <w:szCs w:val="24"/>
              </w:rPr>
              <w:t>Rangovas privalo</w:t>
            </w:r>
            <w:r w:rsidR="006940CF" w:rsidRPr="002B418C">
              <w:rPr>
                <w:sz w:val="24"/>
                <w:szCs w:val="24"/>
              </w:rPr>
              <w:t xml:space="preserve">,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357BB8">
              <w:rPr>
                <w:sz w:val="24"/>
                <w:szCs w:val="24"/>
              </w:rPr>
              <w:t xml:space="preserve">darbo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1246BA66" w14:textId="5282522F" w:rsidR="0037316C" w:rsidRPr="002B418C" w:rsidRDefault="0037316C" w:rsidP="00892B13">
            <w:pPr>
              <w:pStyle w:val="Stilius3"/>
              <w:rPr>
                <w:sz w:val="24"/>
                <w:szCs w:val="24"/>
              </w:rPr>
            </w:pP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t xml:space="preserve">  5.2.</w:t>
            </w:r>
          </w:p>
        </w:tc>
        <w:tc>
          <w:tcPr>
            <w:tcW w:w="8647" w:type="dxa"/>
            <w:tcBorders>
              <w:top w:val="nil"/>
              <w:left w:val="nil"/>
              <w:bottom w:val="nil"/>
              <w:right w:val="nil"/>
            </w:tcBorders>
          </w:tcPr>
          <w:p w14:paraId="12CAA93E"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A455CB" w:rsidRPr="002B418C" w14:paraId="6F9DBA30" w14:textId="77777777" w:rsidTr="00902B9B">
        <w:tc>
          <w:tcPr>
            <w:tcW w:w="1276" w:type="dxa"/>
            <w:gridSpan w:val="3"/>
            <w:tcBorders>
              <w:top w:val="nil"/>
              <w:left w:val="nil"/>
              <w:bottom w:val="nil"/>
              <w:right w:val="nil"/>
            </w:tcBorders>
          </w:tcPr>
          <w:p w14:paraId="555E46BD" w14:textId="4090F2EE" w:rsidR="00A455CB" w:rsidRPr="002B418C" w:rsidRDefault="00395579" w:rsidP="00B20201">
            <w:pPr>
              <w:spacing w:before="200"/>
              <w:rPr>
                <w:rFonts w:ascii="Times New Roman" w:hAnsi="Times New Roman"/>
                <w:sz w:val="24"/>
                <w:szCs w:val="24"/>
              </w:rPr>
            </w:pPr>
            <w:r>
              <w:rPr>
                <w:rFonts w:ascii="Times New Roman" w:hAnsi="Times New Roman"/>
                <w:sz w:val="24"/>
                <w:szCs w:val="24"/>
              </w:rPr>
              <w:t xml:space="preserve">  </w:t>
            </w:r>
            <w:r w:rsidR="00B20201">
              <w:rPr>
                <w:rFonts w:ascii="Times New Roman" w:hAnsi="Times New Roman"/>
                <w:sz w:val="24"/>
                <w:szCs w:val="24"/>
              </w:rPr>
              <w:t>5.</w:t>
            </w:r>
            <w:r>
              <w:rPr>
                <w:rFonts w:ascii="Times New Roman" w:hAnsi="Times New Roman"/>
                <w:sz w:val="24"/>
                <w:szCs w:val="24"/>
              </w:rPr>
              <w:t>4</w:t>
            </w:r>
            <w:r w:rsidR="00B20201">
              <w:rPr>
                <w:rFonts w:ascii="Times New Roman" w:hAnsi="Times New Roman"/>
                <w:sz w:val="24"/>
                <w:szCs w:val="24"/>
              </w:rPr>
              <w:t>.</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69867A6B"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5</w:t>
            </w:r>
            <w:r>
              <w:rPr>
                <w:rFonts w:ascii="Times New Roman" w:hAnsi="Times New Roman"/>
                <w:sz w:val="24"/>
                <w:szCs w:val="24"/>
              </w:rPr>
              <w:t>.</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10178DBA"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6</w:t>
            </w:r>
            <w:r>
              <w:rPr>
                <w:rFonts w:ascii="Times New Roman" w:hAnsi="Times New Roman"/>
                <w:sz w:val="24"/>
                <w:szCs w:val="24"/>
              </w:rPr>
              <w:t>.</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w:t>
            </w:r>
            <w:r w:rsidR="00662313" w:rsidRPr="002B418C">
              <w:rPr>
                <w:sz w:val="24"/>
                <w:szCs w:val="24"/>
              </w:rPr>
              <w:lastRenderedPageBreak/>
              <w:t>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68D589C9"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lastRenderedPageBreak/>
              <w:t>5.</w:t>
            </w:r>
            <w:r w:rsidR="00395579">
              <w:rPr>
                <w:rFonts w:ascii="Times New Roman" w:hAnsi="Times New Roman"/>
                <w:sz w:val="24"/>
                <w:szCs w:val="24"/>
              </w:rPr>
              <w:t>7</w:t>
            </w:r>
            <w:r>
              <w:rPr>
                <w:rFonts w:ascii="Times New Roman" w:hAnsi="Times New Roman"/>
                <w:sz w:val="24"/>
                <w:szCs w:val="24"/>
              </w:rPr>
              <w:t>.</w:t>
            </w:r>
          </w:p>
        </w:tc>
        <w:tc>
          <w:tcPr>
            <w:tcW w:w="8647" w:type="dxa"/>
            <w:tcBorders>
              <w:top w:val="nil"/>
              <w:left w:val="nil"/>
              <w:bottom w:val="nil"/>
              <w:right w:val="nil"/>
            </w:tcBorders>
            <w:shd w:val="clear" w:color="auto" w:fill="auto"/>
          </w:tcPr>
          <w:p w14:paraId="091B0002" w14:textId="76B1AE6B"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w:t>
            </w:r>
            <w:r w:rsidR="00395579">
              <w:rPr>
                <w:sz w:val="24"/>
                <w:szCs w:val="24"/>
              </w:rPr>
              <w:t xml:space="preserve">darbo </w:t>
            </w:r>
            <w:r w:rsidRPr="002B418C">
              <w:rPr>
                <w:sz w:val="24"/>
                <w:szCs w:val="24"/>
              </w:rPr>
              <w:t xml:space="preserve">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43E19B53"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w:t>
            </w:r>
            <w:r w:rsidR="00395579">
              <w:rPr>
                <w:rFonts w:ascii="Times New Roman" w:hAnsi="Times New Roman"/>
                <w:sz w:val="24"/>
                <w:szCs w:val="24"/>
              </w:rPr>
              <w:t>8</w:t>
            </w:r>
            <w:r>
              <w:rPr>
                <w:rFonts w:ascii="Times New Roman" w:hAnsi="Times New Roman"/>
                <w:sz w:val="24"/>
                <w:szCs w:val="24"/>
              </w:rPr>
              <w:t>.</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71636E7" w:rsidR="00A455CB" w:rsidRPr="002B418C" w:rsidRDefault="00B20201" w:rsidP="00B20201">
            <w:pPr>
              <w:pStyle w:val="Stilius3"/>
              <w:ind w:left="142"/>
              <w:rPr>
                <w:sz w:val="24"/>
                <w:szCs w:val="24"/>
              </w:rPr>
            </w:pPr>
            <w:r>
              <w:rPr>
                <w:sz w:val="24"/>
                <w:szCs w:val="24"/>
              </w:rPr>
              <w:t>5.1</w:t>
            </w:r>
            <w:r w:rsidR="00395579">
              <w:rPr>
                <w:sz w:val="24"/>
                <w:szCs w:val="24"/>
              </w:rPr>
              <w:t>9</w:t>
            </w:r>
            <w:r>
              <w:rPr>
                <w:sz w:val="24"/>
                <w:szCs w:val="24"/>
              </w:rPr>
              <w:t>.</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693819AE" w:rsidR="00A455CB" w:rsidRPr="002B418C" w:rsidRDefault="00395579" w:rsidP="00395579">
            <w:pPr>
              <w:pStyle w:val="Stilius3"/>
              <w:spacing w:before="120"/>
              <w:ind w:left="540"/>
              <w:rPr>
                <w:sz w:val="24"/>
                <w:szCs w:val="24"/>
              </w:rPr>
            </w:pPr>
            <w:r>
              <w:rPr>
                <w:sz w:val="24"/>
                <w:szCs w:val="24"/>
              </w:rPr>
              <w:t xml:space="preserve">5.19.1. </w:t>
            </w:r>
            <w:r w:rsidR="00A455CB" w:rsidRPr="002B418C">
              <w:rPr>
                <w:sz w:val="24"/>
                <w:szCs w:val="24"/>
              </w:rPr>
              <w:t>savo sąskaita pašalinti iš Statybvietės visas statybines atliekas ir šiukšles;</w:t>
            </w:r>
          </w:p>
          <w:p w14:paraId="710EA62C" w14:textId="2A6559D4" w:rsidR="00A455CB" w:rsidRPr="002B418C" w:rsidRDefault="00395579" w:rsidP="00395579">
            <w:pPr>
              <w:pStyle w:val="Stilius3"/>
              <w:spacing w:before="120"/>
              <w:ind w:left="540"/>
              <w:rPr>
                <w:sz w:val="24"/>
                <w:szCs w:val="24"/>
              </w:rPr>
            </w:pPr>
            <w:r>
              <w:rPr>
                <w:sz w:val="24"/>
                <w:szCs w:val="24"/>
              </w:rPr>
              <w:t xml:space="preserve">5.19.2. </w:t>
            </w:r>
            <w:r w:rsidR="00A455CB" w:rsidRPr="002B418C">
              <w:rPr>
                <w:sz w:val="24"/>
                <w:szCs w:val="24"/>
              </w:rPr>
              <w:t>sandėliuoti arba išvežti perteklines Medžiagas ir nereikalingus Rangovo įrengimus;</w:t>
            </w:r>
          </w:p>
          <w:p w14:paraId="5A09CE35" w14:textId="2DCA85E9" w:rsidR="00A455CB" w:rsidRPr="002B418C" w:rsidRDefault="00395579" w:rsidP="00395579">
            <w:pPr>
              <w:pStyle w:val="Stilius3"/>
              <w:spacing w:before="120"/>
              <w:ind w:left="540"/>
              <w:rPr>
                <w:sz w:val="24"/>
                <w:szCs w:val="24"/>
              </w:rPr>
            </w:pPr>
            <w:r>
              <w:rPr>
                <w:sz w:val="24"/>
                <w:szCs w:val="24"/>
              </w:rPr>
              <w:t xml:space="preserve">5.19.3. </w:t>
            </w:r>
            <w:r w:rsidR="00A455CB"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4D7FF4AA" w:rsidR="00A455CB" w:rsidRPr="002B418C" w:rsidRDefault="00B20201" w:rsidP="00B20201">
            <w:pPr>
              <w:pStyle w:val="Stilius3"/>
              <w:ind w:left="142"/>
              <w:rPr>
                <w:sz w:val="24"/>
                <w:szCs w:val="24"/>
              </w:rPr>
            </w:pPr>
            <w:r>
              <w:rPr>
                <w:sz w:val="24"/>
                <w:szCs w:val="24"/>
              </w:rPr>
              <w:t>5.1</w:t>
            </w:r>
            <w:r w:rsidR="00395579">
              <w:rPr>
                <w:sz w:val="24"/>
                <w:szCs w:val="24"/>
              </w:rPr>
              <w:t>0</w:t>
            </w:r>
            <w:r>
              <w:rPr>
                <w:sz w:val="24"/>
                <w:szCs w:val="24"/>
              </w:rPr>
              <w:t>.</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9415842" w:rsidR="00A455CB" w:rsidRPr="002B418C" w:rsidRDefault="00B20201" w:rsidP="00B20201">
            <w:pPr>
              <w:pStyle w:val="Stilius3"/>
              <w:rPr>
                <w:sz w:val="24"/>
                <w:szCs w:val="24"/>
              </w:rPr>
            </w:pPr>
            <w:r>
              <w:rPr>
                <w:sz w:val="24"/>
                <w:szCs w:val="24"/>
              </w:rPr>
              <w:t xml:space="preserve">  5.1</w:t>
            </w:r>
            <w:r w:rsidR="00395579">
              <w:rPr>
                <w:sz w:val="24"/>
                <w:szCs w:val="24"/>
              </w:rPr>
              <w:t>1</w:t>
            </w:r>
            <w:r>
              <w:rPr>
                <w:sz w:val="24"/>
                <w:szCs w:val="24"/>
              </w:rPr>
              <w:t>.</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E042653" w:rsidR="00A455CB" w:rsidRPr="002B418C" w:rsidRDefault="00B20201" w:rsidP="00B20201">
            <w:pPr>
              <w:pStyle w:val="Stilius3"/>
              <w:rPr>
                <w:sz w:val="24"/>
                <w:szCs w:val="24"/>
              </w:rPr>
            </w:pPr>
            <w:r>
              <w:rPr>
                <w:sz w:val="24"/>
                <w:szCs w:val="24"/>
              </w:rPr>
              <w:t xml:space="preserve">  5.1</w:t>
            </w:r>
            <w:r w:rsidR="00395579">
              <w:rPr>
                <w:sz w:val="24"/>
                <w:szCs w:val="24"/>
              </w:rPr>
              <w:t>2</w:t>
            </w:r>
            <w:r>
              <w:rPr>
                <w:sz w:val="24"/>
                <w:szCs w:val="24"/>
              </w:rPr>
              <w:t>.</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58853AED" w:rsidR="00A455CB" w:rsidRPr="002B418C" w:rsidRDefault="00B20201" w:rsidP="00B20201">
            <w:pPr>
              <w:pStyle w:val="Stilius3"/>
              <w:rPr>
                <w:sz w:val="24"/>
                <w:szCs w:val="24"/>
              </w:rPr>
            </w:pPr>
            <w:r>
              <w:rPr>
                <w:sz w:val="24"/>
                <w:szCs w:val="24"/>
              </w:rPr>
              <w:t xml:space="preserve">  5.1</w:t>
            </w:r>
            <w:r w:rsidR="00395579">
              <w:rPr>
                <w:sz w:val="24"/>
                <w:szCs w:val="24"/>
              </w:rPr>
              <w:t>3</w:t>
            </w:r>
            <w:r>
              <w:rPr>
                <w:sz w:val="24"/>
                <w:szCs w:val="24"/>
              </w:rPr>
              <w:t>.</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w:t>
            </w:r>
            <w:r w:rsidRPr="002B418C">
              <w:rPr>
                <w:sz w:val="24"/>
                <w:szCs w:val="24"/>
              </w:rPr>
              <w:lastRenderedPageBreak/>
              <w:t>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274A7087" w:rsidR="00A455CB" w:rsidRPr="002B418C" w:rsidRDefault="00B20201" w:rsidP="00B20201">
            <w:pPr>
              <w:pStyle w:val="Stilius3"/>
              <w:rPr>
                <w:sz w:val="24"/>
                <w:szCs w:val="24"/>
              </w:rPr>
            </w:pPr>
            <w:r>
              <w:rPr>
                <w:sz w:val="24"/>
                <w:szCs w:val="24"/>
              </w:rPr>
              <w:lastRenderedPageBreak/>
              <w:t xml:space="preserve">  5.1</w:t>
            </w:r>
            <w:r w:rsidR="00395579">
              <w:rPr>
                <w:sz w:val="24"/>
                <w:szCs w:val="24"/>
              </w:rPr>
              <w:t>4</w:t>
            </w:r>
            <w:r>
              <w:rPr>
                <w:sz w:val="24"/>
                <w:szCs w:val="24"/>
              </w:rPr>
              <w:t>.</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2EA596AD" w:rsidR="00A455CB" w:rsidRPr="002B418C" w:rsidRDefault="00B20201" w:rsidP="00B20201">
            <w:pPr>
              <w:pStyle w:val="Stilius3"/>
              <w:rPr>
                <w:sz w:val="24"/>
                <w:szCs w:val="24"/>
              </w:rPr>
            </w:pPr>
            <w:r>
              <w:rPr>
                <w:sz w:val="24"/>
                <w:szCs w:val="24"/>
              </w:rPr>
              <w:t xml:space="preserve">  5.1</w:t>
            </w:r>
            <w:r w:rsidR="00395579">
              <w:rPr>
                <w:sz w:val="24"/>
                <w:szCs w:val="24"/>
              </w:rPr>
              <w:t>5</w:t>
            </w:r>
            <w:r>
              <w:rPr>
                <w:sz w:val="24"/>
                <w:szCs w:val="24"/>
              </w:rPr>
              <w:t>.</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65033677" w:rsidR="00A455CB" w:rsidRPr="002B418C" w:rsidRDefault="00B20201" w:rsidP="00B20201">
            <w:pPr>
              <w:pStyle w:val="Stilius3"/>
              <w:rPr>
                <w:sz w:val="24"/>
                <w:szCs w:val="24"/>
              </w:rPr>
            </w:pPr>
            <w:r>
              <w:rPr>
                <w:sz w:val="24"/>
                <w:szCs w:val="24"/>
              </w:rPr>
              <w:t xml:space="preserve">  5.1</w:t>
            </w:r>
            <w:r w:rsidR="00395579">
              <w:rPr>
                <w:sz w:val="24"/>
                <w:szCs w:val="24"/>
              </w:rPr>
              <w:t>6</w:t>
            </w:r>
            <w:r>
              <w:rPr>
                <w:sz w:val="24"/>
                <w:szCs w:val="24"/>
              </w:rPr>
              <w:t>.</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31D24E13" w:rsidR="00A455CB" w:rsidRPr="002B418C" w:rsidRDefault="00B20201" w:rsidP="00B20201">
            <w:pPr>
              <w:pStyle w:val="Stilius3"/>
              <w:rPr>
                <w:sz w:val="24"/>
                <w:szCs w:val="24"/>
              </w:rPr>
            </w:pPr>
            <w:r>
              <w:rPr>
                <w:sz w:val="24"/>
                <w:szCs w:val="24"/>
              </w:rPr>
              <w:t xml:space="preserve">  5.1</w:t>
            </w:r>
            <w:r w:rsidR="00395579">
              <w:rPr>
                <w:sz w:val="24"/>
                <w:szCs w:val="24"/>
              </w:rPr>
              <w:t>7</w:t>
            </w:r>
            <w:r>
              <w:rPr>
                <w:sz w:val="24"/>
                <w:szCs w:val="24"/>
              </w:rPr>
              <w:t>.</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966CE2E" w:rsidR="00A455CB" w:rsidRPr="002B418C" w:rsidRDefault="00B20201" w:rsidP="00B20201">
            <w:pPr>
              <w:pStyle w:val="Stilius3"/>
              <w:rPr>
                <w:sz w:val="24"/>
                <w:szCs w:val="24"/>
              </w:rPr>
            </w:pPr>
            <w:r>
              <w:rPr>
                <w:sz w:val="24"/>
                <w:szCs w:val="24"/>
              </w:rPr>
              <w:t xml:space="preserve">  5.</w:t>
            </w:r>
            <w:r w:rsidR="00395579">
              <w:rPr>
                <w:sz w:val="24"/>
                <w:szCs w:val="24"/>
              </w:rPr>
              <w:t>18</w:t>
            </w:r>
            <w:r>
              <w:rPr>
                <w:sz w:val="24"/>
                <w:szCs w:val="24"/>
              </w:rPr>
              <w:t>.</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205DD12A" w:rsidR="001C2F3B" w:rsidRPr="002B418C" w:rsidRDefault="00B20201" w:rsidP="00B20201">
            <w:pPr>
              <w:pStyle w:val="Stilius3"/>
              <w:rPr>
                <w:sz w:val="24"/>
                <w:szCs w:val="24"/>
              </w:rPr>
            </w:pPr>
            <w:r>
              <w:rPr>
                <w:sz w:val="24"/>
                <w:szCs w:val="24"/>
              </w:rPr>
              <w:t xml:space="preserve">  5.</w:t>
            </w:r>
            <w:r w:rsidR="00395579">
              <w:rPr>
                <w:sz w:val="24"/>
                <w:szCs w:val="24"/>
              </w:rPr>
              <w:t>19</w:t>
            </w:r>
            <w:r>
              <w:rPr>
                <w:sz w:val="24"/>
                <w:szCs w:val="24"/>
              </w:rPr>
              <w:t>.</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2800A363" w:rsidR="008661B5" w:rsidRPr="002B418C" w:rsidRDefault="00B20201" w:rsidP="00B20201">
            <w:pPr>
              <w:pStyle w:val="Stilius3"/>
              <w:rPr>
                <w:sz w:val="24"/>
                <w:szCs w:val="24"/>
              </w:rPr>
            </w:pPr>
            <w:r>
              <w:rPr>
                <w:sz w:val="24"/>
                <w:szCs w:val="24"/>
              </w:rPr>
              <w:t xml:space="preserve">  5.2</w:t>
            </w:r>
            <w:r w:rsidR="00395579">
              <w:rPr>
                <w:sz w:val="24"/>
                <w:szCs w:val="24"/>
              </w:rPr>
              <w:t>0</w:t>
            </w:r>
            <w:r>
              <w:rPr>
                <w:sz w:val="24"/>
                <w:szCs w:val="24"/>
              </w:rPr>
              <w:t>.</w:t>
            </w:r>
          </w:p>
        </w:tc>
        <w:tc>
          <w:tcPr>
            <w:tcW w:w="8647" w:type="dxa"/>
            <w:tcBorders>
              <w:top w:val="nil"/>
              <w:left w:val="nil"/>
              <w:bottom w:val="nil"/>
              <w:right w:val="nil"/>
            </w:tcBorders>
            <w:shd w:val="clear" w:color="auto" w:fill="auto"/>
          </w:tcPr>
          <w:p w14:paraId="65AC65BD" w14:textId="24D42956" w:rsidR="008661B5" w:rsidRPr="002B418C" w:rsidRDefault="008661B5" w:rsidP="00CE41CF">
            <w:pPr>
              <w:pStyle w:val="Stilius3"/>
              <w:rPr>
                <w:spacing w:val="-2"/>
                <w:sz w:val="24"/>
                <w:szCs w:val="24"/>
              </w:rPr>
            </w:pPr>
            <w:r w:rsidRPr="002B418C">
              <w:rPr>
                <w:sz w:val="24"/>
                <w:szCs w:val="24"/>
              </w:rPr>
              <w:t xml:space="preserve">Rangovas iki Darbų pradžios privalo pateikti Užsakovui įrodymą, kad Rangovas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 xml:space="preserve">Rangovas jį pateikia Užsakovui ne vėliau kaip per 10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7AA3619" w:rsidR="00974ACE" w:rsidRPr="002B418C" w:rsidRDefault="00B20201" w:rsidP="00B20201">
            <w:pPr>
              <w:pStyle w:val="Stilius3"/>
              <w:rPr>
                <w:sz w:val="24"/>
                <w:szCs w:val="24"/>
              </w:rPr>
            </w:pPr>
            <w:r>
              <w:rPr>
                <w:sz w:val="24"/>
                <w:szCs w:val="24"/>
              </w:rPr>
              <w:t xml:space="preserve">  5.2</w:t>
            </w:r>
            <w:r w:rsidR="00395579">
              <w:rPr>
                <w:sz w:val="24"/>
                <w:szCs w:val="24"/>
              </w:rPr>
              <w:t>1</w:t>
            </w:r>
            <w:r>
              <w:rPr>
                <w:sz w:val="24"/>
                <w:szCs w:val="24"/>
              </w:rPr>
              <w:t>.</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3365F97E" w:rsidR="00600A20" w:rsidRDefault="00B20201" w:rsidP="00B20201">
            <w:pPr>
              <w:pStyle w:val="Stilius3"/>
              <w:rPr>
                <w:sz w:val="24"/>
                <w:szCs w:val="24"/>
              </w:rPr>
            </w:pPr>
            <w:r>
              <w:rPr>
                <w:sz w:val="24"/>
                <w:szCs w:val="24"/>
              </w:rPr>
              <w:t xml:space="preserve">  5.2</w:t>
            </w:r>
            <w:r w:rsidR="00395579">
              <w:rPr>
                <w:sz w:val="24"/>
                <w:szCs w:val="24"/>
              </w:rPr>
              <w:t>2</w:t>
            </w:r>
            <w:r>
              <w:rPr>
                <w:sz w:val="24"/>
                <w:szCs w:val="24"/>
              </w:rPr>
              <w:t>.</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097A01C2" w14:textId="204E329B" w:rsidR="00B20201" w:rsidRDefault="000E4BEB" w:rsidP="00B20201">
            <w:pPr>
              <w:pStyle w:val="Stilius3"/>
              <w:rPr>
                <w:sz w:val="24"/>
                <w:szCs w:val="24"/>
              </w:rPr>
            </w:pPr>
            <w:r>
              <w:rPr>
                <w:sz w:val="24"/>
                <w:szCs w:val="24"/>
              </w:rPr>
              <w:t xml:space="preserve">  </w:t>
            </w:r>
            <w:r w:rsidR="00B20201">
              <w:rPr>
                <w:sz w:val="24"/>
                <w:szCs w:val="24"/>
              </w:rPr>
              <w:t>5.2</w:t>
            </w:r>
            <w:r w:rsidR="00395579">
              <w:rPr>
                <w:sz w:val="24"/>
                <w:szCs w:val="24"/>
              </w:rPr>
              <w:t>3</w:t>
            </w:r>
            <w:r w:rsidR="00B20201">
              <w:rPr>
                <w:sz w:val="24"/>
                <w:szCs w:val="24"/>
              </w:rPr>
              <w:t>.</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145EE29D" w14:textId="46E52BA8" w:rsidR="00B20201" w:rsidRDefault="00395579" w:rsidP="00B20201">
            <w:pPr>
              <w:pStyle w:val="Stilius3"/>
              <w:rPr>
                <w:sz w:val="24"/>
                <w:szCs w:val="24"/>
              </w:rPr>
            </w:pPr>
            <w:r>
              <w:rPr>
                <w:sz w:val="24"/>
                <w:szCs w:val="24"/>
              </w:rPr>
              <w:t xml:space="preserve">   </w:t>
            </w:r>
            <w:r w:rsidR="00B20201">
              <w:rPr>
                <w:sz w:val="24"/>
                <w:szCs w:val="24"/>
              </w:rPr>
              <w:t>5.2</w:t>
            </w:r>
            <w:r>
              <w:rPr>
                <w:sz w:val="24"/>
                <w:szCs w:val="24"/>
              </w:rPr>
              <w:t>4</w:t>
            </w:r>
            <w:r w:rsidR="00B20201">
              <w:rPr>
                <w:sz w:val="24"/>
                <w:szCs w:val="24"/>
              </w:rPr>
              <w:t>.</w:t>
            </w:r>
          </w:p>
          <w:p w14:paraId="58D3A913" w14:textId="77777777" w:rsidR="00B20201" w:rsidRDefault="00B20201" w:rsidP="00B20201">
            <w:pPr>
              <w:pStyle w:val="Stilius3"/>
              <w:ind w:left="540"/>
              <w:rPr>
                <w:sz w:val="24"/>
                <w:szCs w:val="24"/>
              </w:rPr>
            </w:pPr>
          </w:p>
          <w:p w14:paraId="1BFCC51A" w14:textId="77777777" w:rsidR="00B20201" w:rsidRDefault="00B20201" w:rsidP="00B20201">
            <w:pPr>
              <w:pStyle w:val="Stilius3"/>
              <w:ind w:left="540"/>
              <w:rPr>
                <w:sz w:val="24"/>
                <w:szCs w:val="24"/>
              </w:rPr>
            </w:pPr>
          </w:p>
          <w:p w14:paraId="031DC0BF" w14:textId="77777777" w:rsidR="00910356" w:rsidRDefault="00B20201" w:rsidP="00B20201">
            <w:pPr>
              <w:pStyle w:val="Stilius3"/>
              <w:rPr>
                <w:sz w:val="24"/>
                <w:szCs w:val="24"/>
              </w:rPr>
            </w:pPr>
            <w:r>
              <w:rPr>
                <w:sz w:val="24"/>
                <w:szCs w:val="24"/>
              </w:rPr>
              <w:t xml:space="preserve">  </w:t>
            </w:r>
            <w:r w:rsidR="00395579">
              <w:rPr>
                <w:sz w:val="24"/>
                <w:szCs w:val="24"/>
              </w:rPr>
              <w:t xml:space="preserve"> </w:t>
            </w:r>
            <w:r>
              <w:rPr>
                <w:sz w:val="24"/>
                <w:szCs w:val="24"/>
              </w:rPr>
              <w:t>5.2</w:t>
            </w:r>
            <w:r w:rsidR="00395579">
              <w:rPr>
                <w:sz w:val="24"/>
                <w:szCs w:val="24"/>
              </w:rPr>
              <w:t>5</w:t>
            </w:r>
            <w:r>
              <w:rPr>
                <w:sz w:val="24"/>
                <w:szCs w:val="24"/>
              </w:rPr>
              <w:t>.</w:t>
            </w:r>
          </w:p>
          <w:p w14:paraId="1DF478BD" w14:textId="77777777" w:rsidR="00910356" w:rsidRDefault="00910356" w:rsidP="00B20201">
            <w:pPr>
              <w:pStyle w:val="Stilius3"/>
              <w:rPr>
                <w:sz w:val="24"/>
                <w:szCs w:val="24"/>
              </w:rPr>
            </w:pPr>
          </w:p>
          <w:p w14:paraId="3344ACD1" w14:textId="4792C804" w:rsidR="00B20201" w:rsidRDefault="00910356" w:rsidP="00B20201">
            <w:pPr>
              <w:pStyle w:val="Stilius3"/>
              <w:rPr>
                <w:sz w:val="24"/>
                <w:szCs w:val="24"/>
              </w:rPr>
            </w:pPr>
            <w:r>
              <w:rPr>
                <w:sz w:val="24"/>
                <w:szCs w:val="24"/>
              </w:rPr>
              <w:t xml:space="preserve">   </w:t>
            </w:r>
            <w:r w:rsidR="00B20201">
              <w:rPr>
                <w:sz w:val="24"/>
                <w:szCs w:val="24"/>
              </w:rPr>
              <w:t>5.2</w:t>
            </w:r>
            <w:r w:rsidR="00395579">
              <w:rPr>
                <w:sz w:val="24"/>
                <w:szCs w:val="24"/>
              </w:rPr>
              <w:t>6</w:t>
            </w:r>
            <w:r w:rsidR="00B20201">
              <w:rPr>
                <w:sz w:val="24"/>
                <w:szCs w:val="24"/>
              </w:rPr>
              <w:t xml:space="preserve">.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76B3C3E4" w14:textId="77777777" w:rsidR="000E4BEB" w:rsidRDefault="00B20201" w:rsidP="00B20201">
            <w:pPr>
              <w:pStyle w:val="Stilius3"/>
              <w:rPr>
                <w:sz w:val="24"/>
                <w:szCs w:val="24"/>
              </w:rPr>
            </w:pPr>
            <w:r>
              <w:rPr>
                <w:sz w:val="24"/>
                <w:szCs w:val="24"/>
              </w:rPr>
              <w:t xml:space="preserve">  </w:t>
            </w:r>
            <w:r w:rsidR="00910356">
              <w:rPr>
                <w:sz w:val="24"/>
                <w:szCs w:val="24"/>
              </w:rPr>
              <w:t xml:space="preserve">  </w:t>
            </w:r>
          </w:p>
          <w:p w14:paraId="57DB78BA" w14:textId="7D5BCD65" w:rsidR="00B20201" w:rsidRDefault="000E4BEB" w:rsidP="00B20201">
            <w:pPr>
              <w:pStyle w:val="Stilius3"/>
              <w:rPr>
                <w:sz w:val="24"/>
                <w:szCs w:val="24"/>
              </w:rPr>
            </w:pPr>
            <w:r>
              <w:rPr>
                <w:sz w:val="24"/>
                <w:szCs w:val="24"/>
              </w:rPr>
              <w:t xml:space="preserve">    </w:t>
            </w:r>
            <w:r w:rsidR="00B20201">
              <w:rPr>
                <w:sz w:val="24"/>
                <w:szCs w:val="24"/>
              </w:rPr>
              <w:t>5.2</w:t>
            </w:r>
            <w:r w:rsidR="00910356">
              <w:rPr>
                <w:sz w:val="24"/>
                <w:szCs w:val="24"/>
              </w:rPr>
              <w:t>7</w:t>
            </w:r>
            <w:r w:rsidR="00B20201">
              <w:rPr>
                <w:sz w:val="24"/>
                <w:szCs w:val="24"/>
              </w:rPr>
              <w:t>.</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0A7E0FE4" w14:textId="49AB7478" w:rsidR="00B20201" w:rsidRDefault="000E4BEB" w:rsidP="00B20201">
            <w:pPr>
              <w:pStyle w:val="Stilius3"/>
              <w:rPr>
                <w:sz w:val="24"/>
                <w:szCs w:val="24"/>
              </w:rPr>
            </w:pPr>
            <w:r>
              <w:rPr>
                <w:sz w:val="24"/>
                <w:szCs w:val="24"/>
              </w:rPr>
              <w:t xml:space="preserve">   </w:t>
            </w:r>
            <w:r w:rsidR="00910356">
              <w:rPr>
                <w:sz w:val="24"/>
                <w:szCs w:val="24"/>
              </w:rPr>
              <w:t xml:space="preserve"> </w:t>
            </w:r>
            <w:r w:rsidR="00B20201">
              <w:rPr>
                <w:sz w:val="24"/>
                <w:szCs w:val="24"/>
              </w:rPr>
              <w:t>5.</w:t>
            </w:r>
            <w:r w:rsidR="00910356">
              <w:rPr>
                <w:sz w:val="24"/>
                <w:szCs w:val="24"/>
              </w:rPr>
              <w:t>28</w:t>
            </w:r>
            <w:r w:rsidR="00B20201">
              <w:rPr>
                <w:sz w:val="24"/>
                <w:szCs w:val="24"/>
              </w:rPr>
              <w:t xml:space="preserve">.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613E4C70" w14:textId="25189367" w:rsidR="00B20201" w:rsidRPr="002B418C" w:rsidRDefault="00B20201" w:rsidP="00B20201">
            <w:pPr>
              <w:pStyle w:val="Stilius3"/>
              <w:rPr>
                <w:sz w:val="24"/>
                <w:szCs w:val="24"/>
              </w:rPr>
            </w:pPr>
            <w:r>
              <w:rPr>
                <w:sz w:val="24"/>
                <w:szCs w:val="24"/>
              </w:rPr>
              <w:t xml:space="preserve">  </w:t>
            </w:r>
            <w:r w:rsidR="00910356">
              <w:rPr>
                <w:sz w:val="24"/>
                <w:szCs w:val="24"/>
              </w:rPr>
              <w:t xml:space="preserve">  </w:t>
            </w:r>
            <w:r>
              <w:rPr>
                <w:sz w:val="24"/>
                <w:szCs w:val="24"/>
              </w:rPr>
              <w:t>5.</w:t>
            </w:r>
            <w:r w:rsidR="00910356">
              <w:rPr>
                <w:sz w:val="24"/>
                <w:szCs w:val="24"/>
              </w:rPr>
              <w:t>29</w:t>
            </w:r>
            <w:r>
              <w:rPr>
                <w:sz w:val="24"/>
                <w:szCs w:val="24"/>
              </w:rPr>
              <w:t xml:space="preserve">.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 xml:space="preserve">Rangovas įsipareigoja pranešti Užsakovui Sutarties sudarymo metu žinomų Subrangovų vardus ir pavardes arba pavadinimus, juridinių asmenų kodus, kontaktinius duomenis ir </w:t>
            </w:r>
            <w:r w:rsidRPr="000D6430">
              <w:rPr>
                <w:rFonts w:ascii="Times New Roman" w:hAnsi="Times New Roman"/>
                <w:sz w:val="24"/>
                <w:szCs w:val="24"/>
              </w:rPr>
              <w:lastRenderedPageBreak/>
              <w:t xml:space="preserve">jų atstovus, taip pat kiekvienam Subrangovui perduodamų atlikti Darbų tikslų aprašymą, nurodydamas šiuos duomenis Subrangovų sąraše, kurį Rangovas privalo parengti pagal </w:t>
            </w:r>
            <w:r w:rsidRPr="00475BCB">
              <w:rPr>
                <w:rFonts w:ascii="Times New Roman" w:hAnsi="Times New Roman"/>
                <w:sz w:val="24"/>
                <w:szCs w:val="24"/>
              </w:rPr>
              <w:t xml:space="preserve">priede Nr. 5 pateiktą formą ir pateikti </w:t>
            </w:r>
            <w:r w:rsidRPr="000D6430">
              <w:rPr>
                <w:rFonts w:ascii="Times New Roman" w:hAnsi="Times New Roman"/>
                <w:sz w:val="24"/>
                <w:szCs w:val="24"/>
              </w:rPr>
              <w:t>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1"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2"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2"/>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3"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3"/>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Pr="00CA10D2">
              <w:rPr>
                <w:rFonts w:ascii="Times New Roman" w:hAnsi="Times New Roman"/>
                <w:sz w:val="24"/>
                <w:szCs w:val="24"/>
              </w:rPr>
              <w:lastRenderedPageBreak/>
              <w:t>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3ADB992E" w:rsidR="00E34A1C" w:rsidRPr="002B418C" w:rsidRDefault="00CA10D2" w:rsidP="00CA10D2">
            <w:pPr>
              <w:pStyle w:val="Stilius3"/>
              <w:rPr>
                <w:sz w:val="24"/>
                <w:szCs w:val="24"/>
              </w:rPr>
            </w:pPr>
            <w:r>
              <w:rPr>
                <w:sz w:val="24"/>
                <w:szCs w:val="24"/>
              </w:rPr>
              <w:lastRenderedPageBreak/>
              <w:t xml:space="preserve">  </w:t>
            </w:r>
            <w:r w:rsidR="00910356">
              <w:rPr>
                <w:sz w:val="24"/>
                <w:szCs w:val="24"/>
              </w:rPr>
              <w:t xml:space="preserve"> </w:t>
            </w:r>
            <w:r w:rsidR="000E4BEB">
              <w:rPr>
                <w:sz w:val="24"/>
                <w:szCs w:val="24"/>
              </w:rPr>
              <w:t xml:space="preserve"> </w:t>
            </w:r>
            <w:r>
              <w:rPr>
                <w:sz w:val="24"/>
                <w:szCs w:val="24"/>
              </w:rPr>
              <w:t>5.</w:t>
            </w:r>
            <w:r w:rsidR="00B20201">
              <w:rPr>
                <w:sz w:val="24"/>
                <w:szCs w:val="24"/>
              </w:rPr>
              <w:t>3</w:t>
            </w:r>
            <w:r w:rsidR="00910356">
              <w:rPr>
                <w:sz w:val="24"/>
                <w:szCs w:val="24"/>
              </w:rPr>
              <w:t>0</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6B7D13E4" w:rsidR="00A55004"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1</w:t>
            </w:r>
            <w:r>
              <w:rPr>
                <w:sz w:val="24"/>
                <w:szCs w:val="24"/>
              </w:rPr>
              <w:t>.</w:t>
            </w:r>
          </w:p>
        </w:tc>
        <w:tc>
          <w:tcPr>
            <w:tcW w:w="8647" w:type="dxa"/>
            <w:tcBorders>
              <w:top w:val="nil"/>
              <w:left w:val="nil"/>
              <w:bottom w:val="nil"/>
              <w:right w:val="nil"/>
            </w:tcBorders>
            <w:shd w:val="clear" w:color="auto" w:fill="auto"/>
          </w:tcPr>
          <w:p w14:paraId="42E617ED" w14:textId="52307020"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w:t>
            </w:r>
            <w:r w:rsidR="00910356">
              <w:rPr>
                <w:color w:val="000000"/>
                <w:sz w:val="24"/>
                <w:szCs w:val="24"/>
              </w:rPr>
              <w:t>ą</w:t>
            </w:r>
            <w:r w:rsidR="007909BE" w:rsidRPr="005628BC">
              <w:rPr>
                <w:color w:val="000000"/>
                <w:sz w:val="24"/>
                <w:szCs w:val="24"/>
              </w:rPr>
              <w:t xml:space="preserve">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6B298D02" w:rsidR="004411EA"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2</w:t>
            </w:r>
            <w:r w:rsidR="00B20201">
              <w:rPr>
                <w:sz w:val="24"/>
                <w:szCs w:val="24"/>
              </w:rPr>
              <w:t>.</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556B1C84"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7C0286DF"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11CE00B6"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10D6873C" w:rsidR="004411EA" w:rsidRDefault="000356F2" w:rsidP="000356F2">
            <w:pPr>
              <w:pStyle w:val="Stilius3"/>
              <w:rPr>
                <w:sz w:val="24"/>
                <w:szCs w:val="24"/>
              </w:rPr>
            </w:pPr>
            <w:r>
              <w:rPr>
                <w:sz w:val="24"/>
                <w:szCs w:val="24"/>
              </w:rPr>
              <w:lastRenderedPageBreak/>
              <w:t xml:space="preserve">  </w:t>
            </w:r>
            <w:r w:rsidR="00910356">
              <w:rPr>
                <w:sz w:val="24"/>
                <w:szCs w:val="24"/>
              </w:rPr>
              <w:t xml:space="preserve">   </w:t>
            </w:r>
            <w:r>
              <w:rPr>
                <w:sz w:val="24"/>
                <w:szCs w:val="24"/>
              </w:rPr>
              <w:t>5.</w:t>
            </w:r>
            <w:r w:rsidR="00B20201">
              <w:rPr>
                <w:sz w:val="24"/>
                <w:szCs w:val="24"/>
              </w:rPr>
              <w:t>3</w:t>
            </w:r>
            <w:r w:rsidR="00910356">
              <w:rPr>
                <w:sz w:val="24"/>
                <w:szCs w:val="24"/>
              </w:rPr>
              <w:t>3</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408CA4A7" w14:textId="77777777" w:rsidR="00910356" w:rsidRDefault="000356F2" w:rsidP="000356F2">
            <w:pPr>
              <w:pStyle w:val="Stilius3"/>
              <w:rPr>
                <w:sz w:val="24"/>
                <w:szCs w:val="24"/>
              </w:rPr>
            </w:pPr>
            <w:r>
              <w:rPr>
                <w:sz w:val="24"/>
                <w:szCs w:val="24"/>
              </w:rPr>
              <w:t xml:space="preserve"> </w:t>
            </w:r>
          </w:p>
          <w:p w14:paraId="31D2D40B" w14:textId="061A3E49" w:rsidR="000356F2" w:rsidRDefault="00910356" w:rsidP="000356F2">
            <w:pPr>
              <w:pStyle w:val="Stilius3"/>
              <w:rPr>
                <w:sz w:val="24"/>
                <w:szCs w:val="24"/>
              </w:rPr>
            </w:pPr>
            <w:r>
              <w:rPr>
                <w:sz w:val="24"/>
                <w:szCs w:val="24"/>
              </w:rPr>
              <w:t xml:space="preserve">     </w:t>
            </w:r>
            <w:r w:rsidR="000356F2">
              <w:rPr>
                <w:sz w:val="24"/>
                <w:szCs w:val="24"/>
              </w:rPr>
              <w:t>5.</w:t>
            </w:r>
            <w:r w:rsidR="00B20201">
              <w:rPr>
                <w:sz w:val="24"/>
                <w:szCs w:val="24"/>
              </w:rPr>
              <w:t>3</w:t>
            </w:r>
            <w:r>
              <w:rPr>
                <w:sz w:val="24"/>
                <w:szCs w:val="24"/>
              </w:rPr>
              <w:t>4</w:t>
            </w:r>
            <w:r w:rsidR="000356F2">
              <w:rPr>
                <w:sz w:val="24"/>
                <w:szCs w:val="24"/>
              </w:rPr>
              <w:t>.</w:t>
            </w:r>
          </w:p>
          <w:p w14:paraId="20A6A822" w14:textId="77777777" w:rsidR="000E4BEB" w:rsidRDefault="000356F2" w:rsidP="000356F2">
            <w:pPr>
              <w:pStyle w:val="Stilius3"/>
              <w:rPr>
                <w:sz w:val="24"/>
                <w:szCs w:val="24"/>
              </w:rPr>
            </w:pPr>
            <w:r>
              <w:rPr>
                <w:sz w:val="24"/>
                <w:szCs w:val="24"/>
              </w:rPr>
              <w:t xml:space="preserve">  </w:t>
            </w:r>
            <w:r w:rsidR="00910356">
              <w:rPr>
                <w:sz w:val="24"/>
                <w:szCs w:val="24"/>
              </w:rPr>
              <w:t xml:space="preserve">   </w:t>
            </w:r>
          </w:p>
          <w:p w14:paraId="0CCC0072" w14:textId="35554F2F" w:rsidR="000356F2" w:rsidRDefault="000E4BEB" w:rsidP="000356F2">
            <w:pPr>
              <w:pStyle w:val="Stilius3"/>
              <w:rPr>
                <w:sz w:val="24"/>
                <w:szCs w:val="24"/>
              </w:rPr>
            </w:pPr>
            <w:r>
              <w:rPr>
                <w:sz w:val="24"/>
                <w:szCs w:val="24"/>
              </w:rPr>
              <w:t xml:space="preserve">     </w:t>
            </w:r>
            <w:r w:rsidR="000356F2">
              <w:rPr>
                <w:sz w:val="24"/>
                <w:szCs w:val="24"/>
              </w:rPr>
              <w:t>5.3</w:t>
            </w:r>
            <w:r w:rsidR="00910356">
              <w:rPr>
                <w:sz w:val="24"/>
                <w:szCs w:val="24"/>
              </w:rPr>
              <w:t>5</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722512FE" w14:textId="77777777" w:rsidR="00D97A18" w:rsidRDefault="00D97A18" w:rsidP="000356F2">
            <w:pPr>
              <w:pStyle w:val="Stilius3"/>
              <w:rPr>
                <w:sz w:val="24"/>
                <w:szCs w:val="24"/>
              </w:rPr>
            </w:pPr>
            <w:r>
              <w:rPr>
                <w:sz w:val="24"/>
                <w:szCs w:val="24"/>
              </w:rPr>
              <w:t xml:space="preserve">  </w:t>
            </w:r>
          </w:p>
          <w:p w14:paraId="6F212546" w14:textId="65151AC7" w:rsidR="000356F2" w:rsidRDefault="00D97A18" w:rsidP="000356F2">
            <w:pPr>
              <w:pStyle w:val="Stilius3"/>
              <w:rPr>
                <w:sz w:val="24"/>
                <w:szCs w:val="24"/>
              </w:rPr>
            </w:pPr>
            <w:r>
              <w:rPr>
                <w:sz w:val="24"/>
                <w:szCs w:val="24"/>
              </w:rPr>
              <w:t xml:space="preserve">  </w:t>
            </w:r>
            <w:r w:rsidR="002D3992">
              <w:rPr>
                <w:sz w:val="24"/>
                <w:szCs w:val="24"/>
              </w:rPr>
              <w:t xml:space="preserve">  </w:t>
            </w:r>
            <w:r w:rsidR="00473E38">
              <w:rPr>
                <w:sz w:val="24"/>
                <w:szCs w:val="24"/>
              </w:rPr>
              <w:t xml:space="preserve"> </w:t>
            </w:r>
            <w:r w:rsidR="000356F2">
              <w:rPr>
                <w:sz w:val="24"/>
                <w:szCs w:val="24"/>
              </w:rPr>
              <w:t>5.3</w:t>
            </w:r>
            <w:r w:rsidR="00910356">
              <w:rPr>
                <w:sz w:val="24"/>
                <w:szCs w:val="24"/>
              </w:rPr>
              <w:t>6</w:t>
            </w:r>
            <w:r w:rsidR="000356F2">
              <w:rPr>
                <w:sz w:val="24"/>
                <w:szCs w:val="24"/>
              </w:rPr>
              <w:t>.</w:t>
            </w:r>
          </w:p>
          <w:p w14:paraId="3F5268A8" w14:textId="77777777" w:rsidR="00931320" w:rsidRDefault="00931320" w:rsidP="000356F2">
            <w:pPr>
              <w:pStyle w:val="Stilius3"/>
              <w:rPr>
                <w:sz w:val="24"/>
                <w:szCs w:val="24"/>
              </w:rPr>
            </w:pPr>
          </w:p>
          <w:p w14:paraId="7AF79D0A" w14:textId="5EEE3844" w:rsidR="00931320" w:rsidRDefault="00931320" w:rsidP="000356F2">
            <w:pPr>
              <w:pStyle w:val="Stilius3"/>
              <w:rPr>
                <w:sz w:val="24"/>
                <w:szCs w:val="24"/>
              </w:rPr>
            </w:pPr>
            <w:r>
              <w:rPr>
                <w:sz w:val="24"/>
                <w:szCs w:val="24"/>
              </w:rPr>
              <w:t xml:space="preserve">    </w:t>
            </w:r>
            <w:r w:rsidR="00910356">
              <w:rPr>
                <w:sz w:val="24"/>
                <w:szCs w:val="24"/>
              </w:rPr>
              <w:t xml:space="preserve">  </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4FC90C24"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w:t>
            </w:r>
            <w:r w:rsidR="00910356">
              <w:rPr>
                <w:sz w:val="24"/>
                <w:szCs w:val="24"/>
              </w:rPr>
              <w:t>2</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6E835B78" w14:textId="618B0EBF" w:rsidR="004A4924" w:rsidRPr="002B418C" w:rsidRDefault="000356F2" w:rsidP="00473E38">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 xml:space="preserve">aplinkos apsaugos kriterijus (Aprašo XIII skyrius „Statybinės medžiagos“) </w:t>
            </w:r>
            <w:bookmarkStart w:id="4" w:name="_Hlk195171243"/>
            <w:r w:rsidRPr="000356F2">
              <w:rPr>
                <w:sz w:val="24"/>
                <w:szCs w:val="24"/>
              </w:rPr>
              <w:t>ir kad kiti su</w:t>
            </w:r>
            <w:r>
              <w:rPr>
                <w:sz w:val="24"/>
                <w:szCs w:val="24"/>
              </w:rPr>
              <w:t xml:space="preserve"> </w:t>
            </w:r>
            <w:r w:rsidRPr="000356F2">
              <w:rPr>
                <w:sz w:val="24"/>
                <w:szCs w:val="24"/>
              </w:rPr>
              <w:t xml:space="preserve">pastato </w:t>
            </w:r>
            <w:r w:rsidR="00066443">
              <w:rPr>
                <w:sz w:val="24"/>
                <w:szCs w:val="24"/>
              </w:rPr>
              <w:t xml:space="preserve">techniniu darbo </w:t>
            </w:r>
            <w:r w:rsidRPr="000356F2">
              <w:rPr>
                <w:sz w:val="24"/>
                <w:szCs w:val="24"/>
              </w:rPr>
              <w:t>projektu susiję produktai atitiktų jiems taikomus minimalius aplinkos apsaugos</w:t>
            </w:r>
            <w:r>
              <w:rPr>
                <w:sz w:val="24"/>
                <w:szCs w:val="24"/>
              </w:rPr>
              <w:t xml:space="preserve"> </w:t>
            </w:r>
            <w:r w:rsidRPr="000356F2">
              <w:rPr>
                <w:sz w:val="24"/>
                <w:szCs w:val="24"/>
              </w:rPr>
              <w:t>kriterijus (Aprašo XIV skyrius „Patalpų apšvietimas“; XV skyrius „Vandens maišytuvai ir</w:t>
            </w:r>
            <w:r>
              <w:rPr>
                <w:sz w:val="24"/>
                <w:szCs w:val="24"/>
              </w:rPr>
              <w:t xml:space="preserve"> </w:t>
            </w:r>
            <w:r w:rsidRPr="000356F2">
              <w:rPr>
                <w:sz w:val="24"/>
                <w:szCs w:val="24"/>
              </w:rPr>
              <w:t xml:space="preserve">dušai“; XVI skyrius „Vandens šildytuvai“) </w:t>
            </w:r>
            <w:bookmarkEnd w:id="4"/>
            <w:r w:rsidRPr="000356F2">
              <w:rPr>
                <w:sz w:val="24"/>
                <w:szCs w:val="24"/>
              </w:rPr>
              <w:t xml:space="preserve">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w:t>
            </w:r>
            <w:r w:rsidR="00FD5CE3" w:rsidRPr="00FD5CE3">
              <w:rPr>
                <w:sz w:val="24"/>
                <w:szCs w:val="24"/>
              </w:rPr>
              <w:lastRenderedPageBreak/>
              <w:t>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09460D48" w:rsidR="00A455CB" w:rsidRPr="00910356" w:rsidRDefault="00A455CB" w:rsidP="00910356">
            <w:pPr>
              <w:pStyle w:val="Sraopastraipa"/>
              <w:numPr>
                <w:ilvl w:val="1"/>
                <w:numId w:val="1"/>
              </w:num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nuo Darbo pradžios.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208D7BD1" w:rsidR="007E190E" w:rsidRPr="007E190E" w:rsidRDefault="007E190E" w:rsidP="007E190E">
            <w:pPr>
              <w:pStyle w:val="Stilius3"/>
              <w:rPr>
                <w:sz w:val="24"/>
                <w:szCs w:val="24"/>
              </w:rPr>
            </w:pPr>
            <w:r w:rsidRPr="00473E38">
              <w:rPr>
                <w:b/>
                <w:bCs/>
                <w:sz w:val="24"/>
                <w:szCs w:val="24"/>
              </w:rPr>
              <w:t xml:space="preserve">Sutarties trukmė – </w:t>
            </w:r>
            <w:r w:rsidR="00910356" w:rsidRPr="00473E38">
              <w:rPr>
                <w:b/>
                <w:bCs/>
                <w:sz w:val="24"/>
                <w:szCs w:val="24"/>
              </w:rPr>
              <w:t>24</w:t>
            </w:r>
            <w:r w:rsidRPr="00473E38">
              <w:rPr>
                <w:b/>
                <w:bCs/>
                <w:sz w:val="24"/>
                <w:szCs w:val="24"/>
              </w:rPr>
              <w:t xml:space="preserve"> mėn.</w:t>
            </w:r>
            <w:r w:rsidR="005424B9" w:rsidRPr="00473E38">
              <w:rPr>
                <w:rStyle w:val="Komentaronuoroda"/>
                <w:rFonts w:ascii="Calibri" w:hAnsi="Calibri"/>
                <w:b/>
                <w:bCs/>
              </w:rPr>
              <w:t xml:space="preserve"> </w:t>
            </w:r>
            <w:r w:rsidR="005424B9" w:rsidRPr="00473E38">
              <w:rPr>
                <w:rStyle w:val="Komentaronuoroda"/>
                <w:b/>
                <w:bCs/>
                <w:sz w:val="24"/>
                <w:szCs w:val="24"/>
              </w:rPr>
              <w:t>nuo sutarties įsigaliojimo</w:t>
            </w:r>
            <w:r w:rsidR="00AA3637" w:rsidRPr="00473E38">
              <w:rPr>
                <w:rStyle w:val="Komentaronuoroda"/>
                <w:b/>
                <w:bCs/>
                <w:sz w:val="24"/>
                <w:szCs w:val="24"/>
              </w:rPr>
              <w:t>.</w:t>
            </w:r>
            <w:r w:rsidR="005424B9" w:rsidRPr="00473E38">
              <w:rPr>
                <w:rStyle w:val="Komentaronuoroda"/>
                <w:sz w:val="24"/>
                <w:szCs w:val="24"/>
              </w:rPr>
              <w:t xml:space="preserve"> </w:t>
            </w:r>
            <w:r w:rsidR="005424B9" w:rsidRPr="002D3992">
              <w:rPr>
                <w:rStyle w:val="Komentaronuoroda"/>
                <w:sz w:val="24"/>
                <w:szCs w:val="24"/>
              </w:rPr>
              <w:t>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Sutarties pratęsimas</w:t>
            </w:r>
            <w:r w:rsidR="00910356">
              <w:rPr>
                <w:sz w:val="24"/>
                <w:szCs w:val="24"/>
              </w:rPr>
              <w:t xml:space="preserve"> nenumatomas</w:t>
            </w:r>
            <w:r w:rsidRPr="007E190E">
              <w:rPr>
                <w:sz w:val="24"/>
                <w:szCs w:val="24"/>
              </w:rPr>
              <w:t>. Į sutarties galiojimo 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23BD155A" w:rsidR="00A455CB" w:rsidRPr="002B418C" w:rsidRDefault="00910356" w:rsidP="00910356">
            <w:pPr>
              <w:spacing w:before="200"/>
              <w:rPr>
                <w:rFonts w:ascii="Times New Roman" w:hAnsi="Times New Roman"/>
                <w:sz w:val="24"/>
                <w:szCs w:val="24"/>
              </w:rPr>
            </w:pPr>
            <w:r>
              <w:rPr>
                <w:rFonts w:ascii="Times New Roman" w:hAnsi="Times New Roman"/>
                <w:sz w:val="24"/>
                <w:szCs w:val="24"/>
              </w:rPr>
              <w:t xml:space="preserve">     6.2. </w:t>
            </w: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154ED37A"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6.3. </w:t>
            </w: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3A8A868C"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6.4. </w:t>
            </w: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41151DB4"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6.5. </w:t>
            </w: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0D3989B"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6.6. </w:t>
            </w: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lastRenderedPageBreak/>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110DBB5F" w:rsidR="00E15DCF" w:rsidRPr="002B418C" w:rsidRDefault="00910356" w:rsidP="00910356">
            <w:pPr>
              <w:spacing w:before="200"/>
              <w:ind w:left="360"/>
              <w:rPr>
                <w:rFonts w:ascii="Times New Roman" w:hAnsi="Times New Roman"/>
                <w:sz w:val="24"/>
                <w:szCs w:val="24"/>
              </w:rPr>
            </w:pPr>
            <w:r>
              <w:rPr>
                <w:rFonts w:ascii="Times New Roman" w:hAnsi="Times New Roman"/>
                <w:sz w:val="24"/>
                <w:szCs w:val="24"/>
              </w:rPr>
              <w:lastRenderedPageBreak/>
              <w:t xml:space="preserve">6.7. </w:t>
            </w: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3FD92599"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 xml:space="preserve">o </w:t>
            </w:r>
            <w:r w:rsidR="00EA07B4">
              <w:rPr>
                <w:sz w:val="24"/>
                <w:szCs w:val="24"/>
              </w:rPr>
              <w:lastRenderedPageBreak/>
              <w:t>draudimas</w:t>
            </w:r>
            <w:r w:rsidRPr="00F44814">
              <w:rPr>
                <w:sz w:val="24"/>
                <w:szCs w:val="24"/>
              </w:rPr>
              <w:t>, išduotas draudimo bendrovės (pagal Lietuvos Respublikos civilinio kodekso 6.76 ir 6.77 str.)</w:t>
            </w:r>
            <w:r w:rsidR="004114C2">
              <w:rPr>
                <w:sz w:val="24"/>
                <w:szCs w:val="24"/>
              </w:rPr>
              <w:t xml:space="preserve"> arba užstatas</w:t>
            </w:r>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,,Šiaulių bankas”</w:t>
            </w:r>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02C4AA75" w:rsidR="00A455CB" w:rsidRPr="00F44814" w:rsidRDefault="00A455CB" w:rsidP="00242D81">
            <w:pPr>
              <w:pStyle w:val="Stilius3"/>
              <w:rPr>
                <w:sz w:val="24"/>
                <w:szCs w:val="24"/>
              </w:rPr>
            </w:pPr>
            <w:r w:rsidRPr="00B3607D">
              <w:rPr>
                <w:b/>
                <w:bCs/>
                <w:sz w:val="24"/>
                <w:szCs w:val="24"/>
              </w:rPr>
              <w:t xml:space="preserve">Sutarties įvykdymo užtikrinimą Rangovas privalo pateikti Užsakovui ne vėliau kaip per 10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8B0255" w:rsidRPr="00F44814">
              <w:rPr>
                <w:sz w:val="24"/>
                <w:szCs w:val="24"/>
              </w:rPr>
              <w:t xml:space="preserve">ne trumpiau kaip </w:t>
            </w:r>
            <w:r w:rsidR="008B0255" w:rsidRPr="00F44814">
              <w:rPr>
                <w:color w:val="000000"/>
                <w:sz w:val="24"/>
                <w:szCs w:val="24"/>
              </w:rPr>
              <w:t>30 (trisdešimt) kalendorinių dienų, po Sutartyje numatyto Darbų atlikimo termino pabaigos</w:t>
            </w:r>
            <w:r w:rsidR="00A006AE" w:rsidRPr="00F44814">
              <w:rPr>
                <w:sz w:val="24"/>
                <w:szCs w:val="24"/>
              </w:rPr>
              <w:t xml:space="preserve">, </w:t>
            </w:r>
            <w:r w:rsidR="00630B62" w:rsidRPr="00F44814">
              <w:rPr>
                <w:sz w:val="24"/>
                <w:szCs w:val="24"/>
              </w:rPr>
              <w:t>įskaitant</w:t>
            </w:r>
            <w:r w:rsidR="00A006AE" w:rsidRPr="00F44814">
              <w:rPr>
                <w:sz w:val="24"/>
                <w:szCs w:val="24"/>
              </w:rPr>
              <w:t xml:space="preserve"> laikotarpį statybvietės perdavimui</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910356">
              <w:rPr>
                <w:b/>
                <w:bCs/>
                <w:sz w:val="24"/>
                <w:szCs w:val="24"/>
              </w:rPr>
              <w:lastRenderedPageBreak/>
              <w:t xml:space="preserve">Statybos užbaigimo terminas yra </w:t>
            </w:r>
            <w:r w:rsidR="00A92FC0" w:rsidRPr="00910356">
              <w:rPr>
                <w:b/>
                <w:bCs/>
                <w:sz w:val="24"/>
                <w:szCs w:val="24"/>
              </w:rPr>
              <w:t>6</w:t>
            </w:r>
            <w:r w:rsidR="00664FAC" w:rsidRPr="00910356">
              <w:rPr>
                <w:b/>
                <w:bCs/>
                <w:sz w:val="24"/>
                <w:szCs w:val="24"/>
              </w:rPr>
              <w:t>0</w:t>
            </w:r>
            <w:r w:rsidR="0055449A" w:rsidRPr="00910356">
              <w:rPr>
                <w:b/>
                <w:bCs/>
                <w:sz w:val="24"/>
                <w:szCs w:val="24"/>
              </w:rPr>
              <w:t xml:space="preserve"> dienų</w:t>
            </w:r>
            <w:r w:rsidRPr="00910356">
              <w:rPr>
                <w:b/>
                <w:bCs/>
                <w:sz w:val="24"/>
                <w:szCs w:val="24"/>
              </w:rPr>
              <w:t xml:space="preserve"> nuo Darbų perdavimo</w:t>
            </w:r>
            <w:r w:rsidR="00F64DBE" w:rsidRPr="00910356">
              <w:rPr>
                <w:b/>
                <w:bCs/>
                <w:sz w:val="24"/>
                <w:szCs w:val="24"/>
              </w:rPr>
              <w:t>–</w:t>
            </w:r>
            <w:r w:rsidRPr="00910356">
              <w:rPr>
                <w:b/>
                <w:bCs/>
                <w:sz w:val="24"/>
                <w:szCs w:val="24"/>
              </w:rPr>
              <w:t>priėmimo akto datos</w:t>
            </w:r>
            <w:r w:rsidRPr="002B418C">
              <w:rPr>
                <w:sz w:val="24"/>
                <w:szCs w:val="24"/>
              </w:rPr>
              <w:t>.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52D13E4B"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w:t>
            </w:r>
            <w:r w:rsidR="00327853" w:rsidRPr="00017D22">
              <w:rPr>
                <w:sz w:val="24"/>
                <w:szCs w:val="24"/>
              </w:rPr>
              <w:t>5.</w:t>
            </w:r>
            <w:r w:rsidR="00017D22" w:rsidRPr="00017D22">
              <w:rPr>
                <w:sz w:val="24"/>
                <w:szCs w:val="24"/>
              </w:rPr>
              <w:t>32</w:t>
            </w:r>
            <w:r w:rsidR="00327853" w:rsidRPr="00017D22">
              <w:rPr>
                <w:sz w:val="24"/>
                <w:szCs w:val="24"/>
              </w:rPr>
              <w:t xml:space="preserve">.2 </w:t>
            </w:r>
            <w:r w:rsidR="00327853" w:rsidRPr="002B418C">
              <w:rPr>
                <w:sz w:val="24"/>
                <w:szCs w:val="24"/>
              </w:rPr>
              <w:t>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 xml:space="preserve">Rangovas pagal Sutartį neatliko arba neatlieka kokio nors Darbo arba įsipareigojimo, apie kurį jam atitinkamai buvo pranešęs Užsakovas. </w:t>
            </w:r>
            <w:r w:rsidRPr="002B418C">
              <w:rPr>
                <w:sz w:val="24"/>
                <w:szCs w:val="24"/>
              </w:rPr>
              <w:lastRenderedPageBreak/>
              <w:t>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5"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 xml:space="preserve">Sutarties kaina gali būti koreguojama papildomų/ keičiamų/ nevykdomų Darbų sumomis sudarant susitarimą dėl Sutarties kainos koregavimo. Papildomų/ keičiamų/ nevykdomų Darbų kainos apskaičiuojamos </w:t>
            </w:r>
            <w:r w:rsidRPr="002B418C">
              <w:rPr>
                <w:rFonts w:ascii="Times New Roman" w:hAnsi="Times New Roman"/>
                <w:sz w:val="24"/>
                <w:szCs w:val="24"/>
              </w:rPr>
              <w:lastRenderedPageBreak/>
              <w:t>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5"/>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7pt" o:ole="">
                  <v:imagedata r:id="rId9" o:title=""/>
                </v:shape>
                <o:OLEObject Type="Embed" ProgID="Equation.3" ShapeID="_x0000_i1025" DrawAspect="Content" ObjectID="_1806820844" r:id="rId10"/>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4pt;height:21.9pt" o:ole="">
                  <v:imagedata r:id="rId11" o:title=""/>
                </v:shape>
                <o:OLEObject Type="Embed" ProgID="Equation.3" ShapeID="_x0000_i1026" DrawAspect="Content" ObjectID="_1806820845" r:id="rId12"/>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4pt;height:21.9pt" o:ole="">
                  <v:imagedata r:id="rId13" o:title=""/>
                </v:shape>
                <o:OLEObject Type="Embed" ProgID="Equation.3" ShapeID="_x0000_i1027" DrawAspect="Content" ObjectID="_1806820846" r:id="rId14"/>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4pt;height:21.9pt" o:ole="">
                  <v:imagedata r:id="rId15" o:title=""/>
                </v:shape>
                <o:OLEObject Type="Embed" ProgID="Equation.3" ShapeID="_x0000_i1028" DrawAspect="Content" ObjectID="_1806820847" r:id="rId16"/>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4pt;height:21.9pt" o:ole="">
                  <v:imagedata r:id="rId17" o:title=""/>
                </v:shape>
                <o:OLEObject Type="Embed" ProgID="Equation.3" ShapeID="_x0000_i1029" DrawAspect="Content" ObjectID="_1806820848" r:id="rId18"/>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3AC9E6EC" w:rsidR="0020093C" w:rsidRPr="00F44814" w:rsidRDefault="005A1919" w:rsidP="005A1919">
            <w:pPr>
              <w:jc w:val="both"/>
              <w:rPr>
                <w:rFonts w:ascii="Times New Roman" w:hAnsi="Times New Roman"/>
                <w:sz w:val="24"/>
                <w:szCs w:val="24"/>
              </w:rPr>
            </w:pPr>
            <w:bookmarkStart w:id="6"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w:t>
            </w:r>
            <w:r w:rsidR="00E75C36" w:rsidRPr="00E17581">
              <w:rPr>
                <w:rFonts w:ascii="Times New Roman" w:eastAsia="Arial" w:hAnsi="Times New Roman"/>
                <w:color w:val="FF0000"/>
                <w:sz w:val="24"/>
                <w:szCs w:val="24"/>
              </w:rPr>
              <w:t>Valstybės duomenų agentūros (</w:t>
            </w:r>
            <w:proofErr w:type="spellStart"/>
            <w:r w:rsidR="00E75C36" w:rsidRPr="00E17581">
              <w:rPr>
                <w:rFonts w:ascii="Times New Roman" w:eastAsia="Arial" w:hAnsi="Times New Roman"/>
                <w:color w:val="FF0000"/>
                <w:sz w:val="24"/>
                <w:szCs w:val="24"/>
              </w:rPr>
              <w:t>vda.lrv.lt</w:t>
            </w:r>
            <w:proofErr w:type="spellEnd"/>
            <w:r w:rsidR="00E75C36" w:rsidRPr="00E17581">
              <w:rPr>
                <w:rFonts w:ascii="Times New Roman" w:eastAsia="Arial" w:hAnsi="Times New Roman"/>
                <w:color w:val="FF0000"/>
                <w:sz w:val="24"/>
                <w:szCs w:val="24"/>
              </w:rPr>
              <w:t xml:space="preserve">) </w:t>
            </w:r>
            <w:bookmarkStart w:id="7" w:name="_3sv78d1" w:colFirst="0" w:colLast="0"/>
            <w:bookmarkEnd w:id="6"/>
            <w:bookmarkEnd w:id="7"/>
            <w:r w:rsidR="0020093C" w:rsidRPr="00F44814">
              <w:rPr>
                <w:rFonts w:ascii="Times New Roman" w:eastAsia="Arial" w:hAnsi="Times New Roman"/>
                <w:color w:val="000000"/>
                <w:sz w:val="24"/>
                <w:szCs w:val="24"/>
              </w:rPr>
              <w:t xml:space="preserve">kas mėnesį skelbiamo </w:t>
            </w:r>
            <w:bookmarkStart w:id="8"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8"/>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w:t>
            </w:r>
            <w:r w:rsidR="0020093C" w:rsidRPr="00F44814">
              <w:rPr>
                <w:rFonts w:ascii="Times New Roman" w:eastAsia="Arial" w:hAnsi="Times New Roman"/>
                <w:color w:val="000000"/>
                <w:sz w:val="24"/>
                <w:szCs w:val="24"/>
              </w:rPr>
              <w:lastRenderedPageBreak/>
              <w:t xml:space="preserve">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71DA9D86" w14:textId="75A25F42" w:rsidR="00DD62C0" w:rsidRPr="002B418C"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77777777"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w:t>
            </w:r>
            <w:proofErr w:type="spellStart"/>
            <w:r w:rsidR="00653BD5" w:rsidRPr="002B418C">
              <w:rPr>
                <w:rFonts w:ascii="Times New Roman" w:hAnsi="Times New Roman"/>
                <w:sz w:val="24"/>
                <w:szCs w:val="24"/>
              </w:rPr>
              <w:t>t.y</w:t>
            </w:r>
            <w:proofErr w:type="spellEnd"/>
            <w:r w:rsidR="00653BD5" w:rsidRPr="002B418C">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9" w:name="_Ref88862929"/>
          </w:p>
          <w:bookmarkEnd w:id="9"/>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6171A37"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81E80DF" w14:textId="7A4F7B58" w:rsidR="00C257FB" w:rsidRPr="002B418C" w:rsidRDefault="00152EC9"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20E9DC2B"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4ABD44DD" w14:textId="77777777" w:rsidR="00C257FB" w:rsidRDefault="00C257FB"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471822EC"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173BA6DF" w14:textId="77777777" w:rsidR="00473E38" w:rsidRDefault="00473E38" w:rsidP="00C257FB">
            <w:pPr>
              <w:contextualSpacing/>
              <w:jc w:val="both"/>
              <w:rPr>
                <w:rFonts w:ascii="Times New Roman" w:hAnsi="Times New Roman"/>
                <w:sz w:val="24"/>
                <w:szCs w:val="24"/>
              </w:rPr>
            </w:pPr>
          </w:p>
          <w:p w14:paraId="3D82FFC7" w14:textId="4A9A0C19" w:rsidR="00C257FB" w:rsidRPr="00A66202"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708B0682" w14:textId="2C66F715"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p>
          <w:p w14:paraId="7D59D5F2" w14:textId="3144D9F4"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p>
          <w:p w14:paraId="4E620E82" w14:textId="6688DA03"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p>
          <w:p w14:paraId="01A7F3B9" w14:textId="15697079"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p>
          <w:p w14:paraId="03498E85" w14:textId="49014F47"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p>
          <w:p w14:paraId="174A42A2" w14:textId="76EF0543" w:rsidR="00C257FB" w:rsidRPr="00A66202" w:rsidRDefault="00C257FB" w:rsidP="00C257FB">
            <w:pPr>
              <w:contextualSpacing/>
              <w:jc w:val="both"/>
              <w:rPr>
                <w:rFonts w:ascii="Times New Roman" w:hAnsi="Times New Roman"/>
              </w:rPr>
            </w:pPr>
            <w:r w:rsidRPr="00A66202">
              <w:rPr>
                <w:rFonts w:ascii="Times New Roman" w:hAnsi="Times New Roman"/>
              </w:rPr>
              <w:t>El. p. info@anyksciai.lt</w:t>
            </w:r>
          </w:p>
          <w:p w14:paraId="7DFD7D54" w14:textId="1D64CF07" w:rsidR="00C257FB" w:rsidRPr="00A66202" w:rsidRDefault="00C257FB" w:rsidP="00C257FB">
            <w:pPr>
              <w:tabs>
                <w:tab w:val="left" w:pos="709"/>
                <w:tab w:val="left" w:pos="851"/>
              </w:tabs>
              <w:jc w:val="both"/>
              <w:rPr>
                <w:rFonts w:ascii="Times New Roman" w:hAnsi="Times New Roman"/>
              </w:rPr>
            </w:pPr>
            <w:proofErr w:type="spellStart"/>
            <w:r w:rsidRPr="00A66202">
              <w:rPr>
                <w:rFonts w:ascii="Times New Roman" w:hAnsi="Times New Roman"/>
              </w:rPr>
              <w:t>a.s</w:t>
            </w:r>
            <w:proofErr w:type="spellEnd"/>
            <w:r w:rsidRPr="00A66202">
              <w:rPr>
                <w:rFonts w:ascii="Times New Roman" w:hAnsi="Times New Roman"/>
              </w:rPr>
              <w:t xml:space="preserve">. Nr. LT04 7182 1000 0013 0670 </w:t>
            </w:r>
          </w:p>
          <w:p w14:paraId="00BDF11C"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AB Šiaulių bankas</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77777777"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p>
          <w:p w14:paraId="6385FE38" w14:textId="77777777"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9"/>
      <w:footerReference w:type="default" r:id="rId20"/>
      <w:footerReference w:type="first" r:id="rId21"/>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66D2" w14:textId="77777777" w:rsidR="00C8071C" w:rsidRDefault="00C8071C">
      <w:r>
        <w:separator/>
      </w:r>
    </w:p>
  </w:endnote>
  <w:endnote w:type="continuationSeparator" w:id="0">
    <w:p w14:paraId="42880507" w14:textId="77777777" w:rsidR="00C8071C" w:rsidRDefault="00C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73DB" w14:textId="77777777" w:rsidR="00C8071C" w:rsidRDefault="00C8071C">
      <w:r>
        <w:separator/>
      </w:r>
    </w:p>
  </w:footnote>
  <w:footnote w:type="continuationSeparator" w:id="0">
    <w:p w14:paraId="5C2330CF" w14:textId="77777777" w:rsidR="00C8071C" w:rsidRDefault="00C8071C">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17D22"/>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43"/>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4BEB"/>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6A00"/>
    <w:rsid w:val="00296C11"/>
    <w:rsid w:val="00296F80"/>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B25"/>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57BB8"/>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579"/>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3E38"/>
    <w:rsid w:val="0047420C"/>
    <w:rsid w:val="00474FAF"/>
    <w:rsid w:val="00475352"/>
    <w:rsid w:val="004759DC"/>
    <w:rsid w:val="00475BCB"/>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260D"/>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60D"/>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356"/>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43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18A"/>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071C"/>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B67"/>
    <w:rsid w:val="00CF5EE2"/>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5C36"/>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8E0"/>
    <w:rsid w:val="00FC1F6C"/>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53503</Words>
  <Characters>30498</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Žygrė Z</cp:lastModifiedBy>
  <cp:revision>2</cp:revision>
  <cp:lastPrinted>2016-09-14T08:14:00Z</cp:lastPrinted>
  <dcterms:created xsi:type="dcterms:W3CDTF">2025-04-22T06:53:00Z</dcterms:created>
  <dcterms:modified xsi:type="dcterms:W3CDTF">2025-04-22T06:53:00Z</dcterms:modified>
</cp:coreProperties>
</file>