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2166E" w14:textId="395FAA6E" w:rsidR="00035A0A" w:rsidRPr="00917A60" w:rsidRDefault="00347C99" w:rsidP="00212902">
      <w:pPr>
        <w:ind w:firstLine="567"/>
        <w:jc w:val="center"/>
        <w:rPr>
          <w:rFonts w:ascii="Arial" w:hAnsi="Arial" w:cs="Arial"/>
        </w:rPr>
      </w:pPr>
      <w:r w:rsidRPr="006C3D27">
        <w:rPr>
          <w:rFonts w:ascii="Arial" w:hAnsi="Arial" w:cs="Arial"/>
          <w:noProof/>
          <w:lang w:val="en-US"/>
        </w:rPr>
        <w:drawing>
          <wp:inline distT="0" distB="0" distL="0" distR="0" wp14:anchorId="261A1747" wp14:editId="51FBC60D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36BD7" w14:textId="77777777" w:rsidR="00EF0C88" w:rsidRPr="00917A60" w:rsidRDefault="00EF0C88" w:rsidP="00EF0C88">
      <w:pPr>
        <w:jc w:val="center"/>
        <w:rPr>
          <w:rFonts w:ascii="Arial" w:hAnsi="Arial" w:cs="Arial"/>
          <w:b/>
          <w:bCs/>
          <w:spacing w:val="24"/>
        </w:rPr>
      </w:pPr>
      <w:r w:rsidRPr="00917A60">
        <w:rPr>
          <w:rFonts w:ascii="Arial" w:hAnsi="Arial" w:cs="Arial"/>
          <w:b/>
          <w:bCs/>
          <w:spacing w:val="24"/>
        </w:rPr>
        <w:t>VILNIAUS UNIVERSITETAS</w:t>
      </w:r>
    </w:p>
    <w:p w14:paraId="392D1325" w14:textId="31C459B1" w:rsidR="000B09DC" w:rsidRPr="00917A60" w:rsidRDefault="000B09DC" w:rsidP="000B09DC">
      <w:pPr>
        <w:ind w:left="-56"/>
        <w:rPr>
          <w:rFonts w:ascii="Arial" w:hAnsi="Arial" w:cs="Arial"/>
        </w:rPr>
      </w:pPr>
      <w:r w:rsidRPr="00917A60">
        <w:rPr>
          <w:rFonts w:ascii="Arial" w:hAnsi="Arial" w:cs="Arial"/>
          <w:b/>
          <w:bCs/>
        </w:rPr>
        <w:t>Suinteresuotiems asmenims</w:t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</w:r>
      <w:r w:rsidR="00240409">
        <w:rPr>
          <w:rFonts w:ascii="Arial" w:hAnsi="Arial" w:cs="Arial"/>
          <w:b/>
          <w:bCs/>
        </w:rPr>
        <w:tab/>
        <w:t>2025-04-</w:t>
      </w:r>
      <w:r w:rsidR="00B743FD">
        <w:rPr>
          <w:rFonts w:ascii="Arial" w:hAnsi="Arial" w:cs="Arial"/>
          <w:b/>
          <w:bCs/>
        </w:rPr>
        <w:t>22</w:t>
      </w:r>
    </w:p>
    <w:p w14:paraId="6CB91D2C" w14:textId="77777777" w:rsidR="00035A0A" w:rsidRPr="00917A60" w:rsidRDefault="00035A0A" w:rsidP="001C7F50">
      <w:pPr>
        <w:ind w:firstLine="567"/>
        <w:jc w:val="both"/>
        <w:rPr>
          <w:rFonts w:ascii="Arial" w:hAnsi="Arial" w:cs="Arial"/>
        </w:rPr>
      </w:pPr>
    </w:p>
    <w:p w14:paraId="53FA7137" w14:textId="7E0C85BC" w:rsidR="0065041B" w:rsidRPr="00917A60" w:rsidRDefault="00035A0A" w:rsidP="001C7F50">
      <w:pPr>
        <w:ind w:firstLine="567"/>
        <w:jc w:val="both"/>
        <w:rPr>
          <w:rFonts w:ascii="Arial" w:eastAsia="Calibri" w:hAnsi="Arial" w:cs="Arial"/>
          <w:b/>
          <w:bCs/>
          <w:kern w:val="2"/>
          <w14:ligatures w14:val="standardContextual"/>
        </w:rPr>
      </w:pPr>
      <w:r w:rsidRPr="00917A60">
        <w:rPr>
          <w:rFonts w:ascii="Arial" w:hAnsi="Arial" w:cs="Arial"/>
          <w:b/>
          <w:bCs/>
        </w:rPr>
        <w:t>DĖL RINKOS KONSULTACIJOS</w:t>
      </w:r>
      <w:r w:rsidR="000B09DC" w:rsidRPr="00917A60">
        <w:rPr>
          <w:rFonts w:ascii="Arial" w:hAnsi="Arial" w:cs="Arial"/>
          <w:b/>
          <w:bCs/>
        </w:rPr>
        <w:t xml:space="preserve"> APIBENDRINIMO</w:t>
      </w:r>
      <w:r w:rsidR="002D770A" w:rsidRPr="002D770A">
        <w:t xml:space="preserve"> </w:t>
      </w:r>
      <w:r w:rsidR="002D770A" w:rsidRPr="002D770A">
        <w:rPr>
          <w:rFonts w:ascii="Arial" w:hAnsi="Arial" w:cs="Arial"/>
          <w:b/>
          <w:bCs/>
        </w:rPr>
        <w:t>IR PAPILDOMŲ KLAUSIMŲ</w:t>
      </w:r>
    </w:p>
    <w:p w14:paraId="3AD0359D" w14:textId="77777777" w:rsidR="0065041B" w:rsidRPr="00917A60" w:rsidRDefault="0065041B" w:rsidP="001C7F50">
      <w:pPr>
        <w:ind w:firstLine="567"/>
        <w:jc w:val="both"/>
        <w:rPr>
          <w:rFonts w:ascii="Arial" w:eastAsia="Calibri" w:hAnsi="Arial" w:cs="Arial"/>
          <w:bCs/>
          <w:kern w:val="2"/>
          <w14:ligatures w14:val="standardContextual"/>
        </w:rPr>
      </w:pPr>
    </w:p>
    <w:p w14:paraId="77AFF4F7" w14:textId="00F01639" w:rsidR="00113EAF" w:rsidRDefault="0065041B" w:rsidP="00113EAF">
      <w:pPr>
        <w:tabs>
          <w:tab w:val="left" w:pos="4962"/>
        </w:tabs>
        <w:ind w:left="567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Vilniaus </w:t>
      </w:r>
      <w:r w:rsidR="000E0FD1" w:rsidRPr="00917A60">
        <w:rPr>
          <w:rFonts w:ascii="Arial" w:eastAsia="Calibri" w:hAnsi="Arial" w:cs="Arial"/>
          <w:bCs/>
          <w:kern w:val="2"/>
          <w14:ligatures w14:val="standardContextual"/>
        </w:rPr>
        <w:t>u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>niversitetas (toliau – VU</w:t>
      </w:r>
      <w:r w:rsidR="003020CE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/</w:t>
      </w:r>
      <w:r w:rsidR="003020CE" w:rsidRPr="00917A60">
        <w:rPr>
          <w:rFonts w:ascii="Arial" w:hAnsi="Arial" w:cs="Arial"/>
        </w:rPr>
        <w:t xml:space="preserve"> </w:t>
      </w:r>
      <w:r w:rsidR="003020CE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Perkančioji organizacija </w:t>
      </w:r>
      <w:r w:rsidR="000E0FD1" w:rsidRPr="00917A60">
        <w:rPr>
          <w:rFonts w:ascii="Arial" w:eastAsia="Calibri" w:hAnsi="Arial" w:cs="Arial"/>
          <w:bCs/>
          <w:kern w:val="2"/>
          <w14:ligatures w14:val="standardContextual"/>
        </w:rPr>
        <w:t>/ pirkėjas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>), siekdama</w:t>
      </w:r>
      <w:r w:rsidR="000E0FD1" w:rsidRPr="00917A60">
        <w:rPr>
          <w:rFonts w:ascii="Arial" w:eastAsia="Calibri" w:hAnsi="Arial" w:cs="Arial"/>
          <w:bCs/>
          <w:kern w:val="2"/>
          <w14:ligatures w14:val="standardContextual"/>
        </w:rPr>
        <w:t>s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tinkamai pasirengti numatomam </w:t>
      </w:r>
      <w:r w:rsidR="00373B95" w:rsidRPr="00373B95">
        <w:rPr>
          <w:rFonts w:ascii="Arial" w:eastAsia="Calibri" w:hAnsi="Arial" w:cs="Arial"/>
          <w:bCs/>
          <w:kern w:val="2"/>
          <w14:ligatures w14:val="standardContextual"/>
        </w:rPr>
        <w:t xml:space="preserve">skysčių chromatografijos sistemos su fluorescenciniu bei </w:t>
      </w:r>
      <w:proofErr w:type="spellStart"/>
      <w:r w:rsidR="00373B95" w:rsidRPr="00373B95">
        <w:rPr>
          <w:rFonts w:ascii="Arial" w:eastAsia="Calibri" w:hAnsi="Arial" w:cs="Arial"/>
          <w:bCs/>
          <w:kern w:val="2"/>
          <w14:ligatures w14:val="standardContextual"/>
        </w:rPr>
        <w:t>diodinės</w:t>
      </w:r>
      <w:proofErr w:type="spellEnd"/>
      <w:r w:rsidR="00373B95" w:rsidRPr="00373B95">
        <w:rPr>
          <w:rFonts w:ascii="Arial" w:eastAsia="Calibri" w:hAnsi="Arial" w:cs="Arial"/>
          <w:bCs/>
          <w:kern w:val="2"/>
          <w14:ligatures w14:val="standardContextual"/>
        </w:rPr>
        <w:t xml:space="preserve"> matricos detektoriumi</w:t>
      </w:r>
      <w:r w:rsidR="00653A03">
        <w:rPr>
          <w:rFonts w:ascii="Arial" w:eastAsia="Calibri" w:hAnsi="Arial" w:cs="Arial"/>
          <w:bCs/>
          <w:kern w:val="2"/>
          <w14:ligatures w14:val="standardContextual"/>
        </w:rPr>
        <w:t xml:space="preserve"> (</w:t>
      </w:r>
      <w:r w:rsidR="00653A03" w:rsidRPr="00653A03">
        <w:rPr>
          <w:rFonts w:ascii="Arial" w:eastAsia="Calibri" w:hAnsi="Arial" w:cs="Arial"/>
          <w:bCs/>
          <w:kern w:val="2"/>
          <w14:ligatures w14:val="standardContextual"/>
        </w:rPr>
        <w:t>toliau – sistema/ HPLC sistema/ įranga</w:t>
      </w:r>
      <w:r w:rsidR="00653A03">
        <w:rPr>
          <w:rFonts w:ascii="Arial" w:eastAsia="Calibri" w:hAnsi="Arial" w:cs="Arial"/>
          <w:bCs/>
          <w:kern w:val="2"/>
          <w14:ligatures w14:val="standardContextual"/>
        </w:rPr>
        <w:t>)</w:t>
      </w:r>
      <w:r w:rsidR="00373B95" w:rsidRPr="00373B95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>pirkimui</w:t>
      </w:r>
      <w:r w:rsidR="008D475A">
        <w:rPr>
          <w:rFonts w:ascii="Arial" w:eastAsia="Calibri" w:hAnsi="Arial" w:cs="Arial"/>
          <w:bCs/>
          <w:kern w:val="2"/>
          <w14:ligatures w14:val="standardContextual"/>
        </w:rPr>
        <w:t>,</w:t>
      </w:r>
      <w:r w:rsidR="00906174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212902" w:rsidRPr="00917A60">
        <w:rPr>
          <w:rFonts w:ascii="Arial" w:eastAsia="Calibri" w:hAnsi="Arial" w:cs="Arial"/>
          <w:bCs/>
          <w:kern w:val="2"/>
          <w14:ligatures w14:val="standardContextual"/>
        </w:rPr>
        <w:t>vykd</w:t>
      </w:r>
      <w:r w:rsidR="00753EB1">
        <w:rPr>
          <w:rFonts w:ascii="Arial" w:eastAsia="Calibri" w:hAnsi="Arial" w:cs="Arial"/>
          <w:bCs/>
          <w:kern w:val="2"/>
          <w14:ligatures w14:val="standardContextual"/>
        </w:rPr>
        <w:t>o</w:t>
      </w:r>
      <w:r w:rsidR="00212902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rinkos dalyvių konsultaciją.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DF48FD" w:rsidRPr="00917A60">
        <w:rPr>
          <w:rFonts w:ascii="Arial" w:eastAsia="Calibri" w:hAnsi="Arial" w:cs="Arial"/>
          <w:bCs/>
          <w:kern w:val="2"/>
          <w14:ligatures w14:val="standardContextual"/>
        </w:rPr>
        <w:t>Dėkojame</w:t>
      </w:r>
      <w:r w:rsidR="004640D0" w:rsidRPr="00917A60">
        <w:rPr>
          <w:rFonts w:ascii="Arial" w:hAnsi="Arial" w:cs="Arial"/>
        </w:rPr>
        <w:t xml:space="preserve"> </w:t>
      </w:r>
      <w:r w:rsidR="004640D0" w:rsidRPr="00917A60">
        <w:rPr>
          <w:rFonts w:ascii="Arial" w:eastAsia="Calibri" w:hAnsi="Arial" w:cs="Arial"/>
          <w:bCs/>
          <w:kern w:val="2"/>
          <w14:ligatures w14:val="standardContextual"/>
        </w:rPr>
        <w:t>rinkos konsultacijoje dalyvavusiems tiekėjams</w:t>
      </w:r>
      <w:r w:rsidR="00DF48FD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už aktyvų dalyvavimą ir pateiktus </w:t>
      </w:r>
      <w:r w:rsidR="00C337BA" w:rsidRPr="00917A60">
        <w:rPr>
          <w:rFonts w:ascii="Arial" w:eastAsia="Calibri" w:hAnsi="Arial" w:cs="Arial"/>
          <w:bCs/>
          <w:kern w:val="2"/>
          <w14:ligatures w14:val="standardContextual"/>
        </w:rPr>
        <w:t>siūlymus</w:t>
      </w:r>
      <w:r w:rsidR="004640D0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="00C337BA"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bei įžvalgas. </w:t>
      </w:r>
    </w:p>
    <w:p w14:paraId="5F72B097" w14:textId="5F0AE2AF" w:rsidR="00191801" w:rsidRDefault="00191801" w:rsidP="00191801">
      <w:pPr>
        <w:tabs>
          <w:tab w:val="left" w:pos="993"/>
        </w:tabs>
        <w:ind w:left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4F6C7E">
        <w:rPr>
          <w:rFonts w:ascii="Arial" w:eastAsia="Calibri" w:hAnsi="Arial" w:cs="Arial"/>
          <w:bCs/>
          <w:kern w:val="2"/>
          <w14:ligatures w14:val="standardContextual"/>
        </w:rPr>
        <w:t>Atsižvelgiant į tai, kad sistemos pirkimą numatom</w:t>
      </w:r>
      <w:r>
        <w:rPr>
          <w:rFonts w:ascii="Arial" w:eastAsia="Calibri" w:hAnsi="Arial" w:cs="Arial"/>
          <w:bCs/>
          <w:kern w:val="2"/>
          <w14:ligatures w14:val="standardContextual"/>
        </w:rPr>
        <w:t>a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finansuoti pagal Europos Sąjungos bendrosios mokslinių tyrimų ir inovacijų programos „Europos horizontas“ programą ir siekiant užtikrinti šios programos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visus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reikalavimus, maloniai </w:t>
      </w:r>
      <w:r w:rsidRPr="00792DD1">
        <w:rPr>
          <w:rFonts w:ascii="Arial" w:eastAsia="Calibri" w:hAnsi="Arial" w:cs="Arial"/>
          <w:b/>
          <w:kern w:val="2"/>
          <w14:ligatures w14:val="standardContextual"/>
        </w:rPr>
        <w:t>prašome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tiekėjus laisva forma 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raštu 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>CVP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IS </w:t>
      </w:r>
      <w:r w:rsidR="002B0A52">
        <w:rPr>
          <w:rFonts w:ascii="Arial" w:eastAsia="Calibri" w:hAnsi="Arial" w:cs="Arial"/>
          <w:bCs/>
          <w:kern w:val="2"/>
          <w14:ligatures w14:val="standardContextual"/>
        </w:rPr>
        <w:t>(</w:t>
      </w:r>
      <w:r w:rsidR="002B0A52" w:rsidRPr="002B0A52">
        <w:rPr>
          <w:rFonts w:ascii="Arial" w:eastAsia="Calibri" w:hAnsi="Arial" w:cs="Arial"/>
          <w:bCs/>
          <w:kern w:val="2"/>
          <w14:ligatures w14:val="standardContextual"/>
        </w:rPr>
        <w:t xml:space="preserve">pratęsiamos rinkos konsultacijos </w:t>
      </w:r>
      <w:r w:rsidR="002B0A52" w:rsidRPr="000351DF">
        <w:rPr>
          <w:rFonts w:ascii="Arial" w:eastAsia="Calibri" w:hAnsi="Arial" w:cs="Arial"/>
          <w:bCs/>
          <w:kern w:val="2"/>
          <w14:ligatures w14:val="standardContextual"/>
        </w:rPr>
        <w:t>ID</w:t>
      </w:r>
      <w:r w:rsidR="000351DF" w:rsidRPr="000351DF">
        <w:t xml:space="preserve"> </w:t>
      </w:r>
      <w:r w:rsidR="000351DF" w:rsidRPr="000351DF">
        <w:rPr>
          <w:rFonts w:ascii="Arial" w:eastAsia="Calibri" w:hAnsi="Arial" w:cs="Arial"/>
          <w:bCs/>
          <w:kern w:val="2"/>
          <w14:ligatures w14:val="standardContextual"/>
        </w:rPr>
        <w:t>2312859</w:t>
      </w:r>
      <w:r w:rsidR="002B0A52" w:rsidRPr="002B0A52">
        <w:rPr>
          <w:rFonts w:ascii="Arial" w:eastAsia="Calibri" w:hAnsi="Arial" w:cs="Arial"/>
          <w:bCs/>
          <w:kern w:val="2"/>
          <w14:ligatures w14:val="standardContextual"/>
        </w:rPr>
        <w:t xml:space="preserve">) 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ne vėliau kaip per </w:t>
      </w:r>
      <w:r w:rsidR="00A822F9">
        <w:rPr>
          <w:rFonts w:ascii="Arial" w:eastAsia="Calibri" w:hAnsi="Arial" w:cs="Arial"/>
          <w:bCs/>
          <w:kern w:val="2"/>
          <w14:ligatures w14:val="standardContextual"/>
        </w:rPr>
        <w:t>3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darbo dienas nuo šio pranešimo išsiuntimo, </w:t>
      </w:r>
      <w:r w:rsidRPr="00875FF6">
        <w:rPr>
          <w:rFonts w:ascii="Arial" w:eastAsia="Calibri" w:hAnsi="Arial" w:cs="Arial"/>
          <w:b/>
          <w:kern w:val="2"/>
          <w14:ligatures w14:val="standardContextual"/>
        </w:rPr>
        <w:t>atsakyti į papildomą klausimą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dėl siūlomos </w:t>
      </w:r>
      <w:r w:rsidRPr="00191801">
        <w:rPr>
          <w:rFonts w:ascii="Arial" w:eastAsia="Calibri" w:hAnsi="Arial" w:cs="Arial"/>
          <w:bCs/>
          <w:kern w:val="2"/>
          <w14:ligatures w14:val="standardContextual"/>
        </w:rPr>
        <w:t xml:space="preserve">skysčių chromatografijos sistemos su fluorescenciniu bei </w:t>
      </w:r>
      <w:proofErr w:type="spellStart"/>
      <w:r w:rsidRPr="00191801">
        <w:rPr>
          <w:rFonts w:ascii="Arial" w:eastAsia="Calibri" w:hAnsi="Arial" w:cs="Arial"/>
          <w:bCs/>
          <w:kern w:val="2"/>
          <w14:ligatures w14:val="standardContextual"/>
        </w:rPr>
        <w:t>diodinės</w:t>
      </w:r>
      <w:proofErr w:type="spellEnd"/>
      <w:r w:rsidRPr="00191801">
        <w:rPr>
          <w:rFonts w:ascii="Arial" w:eastAsia="Calibri" w:hAnsi="Arial" w:cs="Arial"/>
          <w:bCs/>
          <w:kern w:val="2"/>
          <w14:ligatures w14:val="standardContextual"/>
        </w:rPr>
        <w:t xml:space="preserve"> matricos detektoriumi 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atitikimo ES direktyvoms -  </w:t>
      </w:r>
      <w:r w:rsidRPr="004F6C7E">
        <w:rPr>
          <w:rFonts w:ascii="Arial" w:hAnsi="Arial" w:cs="Arial"/>
        </w:rPr>
        <w:t>2009/125/EC (</w:t>
      </w:r>
      <w:hyperlink r:id="rId11" w:tgtFrame="_blank" w:tooltip="https://eur-lex.europa.eu/legal-content/lt/txt/html/?uri=celex:32011l0065" w:history="1">
        <w:r w:rsidRPr="004F6C7E">
          <w:rPr>
            <w:rStyle w:val="Hyperlink"/>
            <w:rFonts w:ascii="Arial" w:hAnsi="Arial" w:cs="Arial"/>
          </w:rPr>
          <w:t>L_2011174LT.01008801.xml</w:t>
        </w:r>
      </w:hyperlink>
      <w:r w:rsidRPr="004F6C7E">
        <w:rPr>
          <w:rFonts w:ascii="Arial" w:hAnsi="Arial" w:cs="Arial"/>
        </w:rPr>
        <w:t>) ir 2011/65/EU (</w:t>
      </w:r>
      <w:hyperlink r:id="rId12" w:tgtFrame="_blank" w:tooltip="https://eur-lex.europa.eu/legal-content/lt/txt/html/?uri=celex:32009l0125" w:history="1">
        <w:r w:rsidRPr="004F6C7E">
          <w:rPr>
            <w:rStyle w:val="Hyperlink"/>
            <w:rFonts w:ascii="Arial" w:hAnsi="Arial" w:cs="Arial"/>
          </w:rPr>
          <w:t>L_2009285LT.01001001.xml</w:t>
        </w:r>
      </w:hyperlink>
      <w:r w:rsidRPr="00792DD1">
        <w:rPr>
          <w:rStyle w:val="Hyperlink"/>
          <w:rFonts w:ascii="Arial" w:hAnsi="Arial" w:cs="Arial"/>
        </w:rPr>
        <w:t>)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 xml:space="preserve"> ir jos ženklinimo CE ženklu, t.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4F6C7E">
        <w:rPr>
          <w:rFonts w:ascii="Arial" w:eastAsia="Calibri" w:hAnsi="Arial" w:cs="Arial"/>
          <w:bCs/>
          <w:kern w:val="2"/>
          <w14:ligatures w14:val="standardContextual"/>
        </w:rPr>
        <w:t>y.</w:t>
      </w:r>
      <w:r>
        <w:rPr>
          <w:rFonts w:ascii="Arial" w:eastAsia="Calibri" w:hAnsi="Arial" w:cs="Arial"/>
          <w:bCs/>
          <w:kern w:val="2"/>
          <w14:ligatures w14:val="standardContextual"/>
        </w:rPr>
        <w:t>:</w:t>
      </w:r>
    </w:p>
    <w:p w14:paraId="4DED78C8" w14:textId="77777777" w:rsidR="00191801" w:rsidRPr="00547721" w:rsidRDefault="00191801" w:rsidP="00191801">
      <w:pPr>
        <w:pStyle w:val="ListParagraph"/>
        <w:numPr>
          <w:ilvl w:val="0"/>
          <w:numId w:val="5"/>
        </w:numPr>
        <w:tabs>
          <w:tab w:val="left" w:pos="993"/>
        </w:tabs>
        <w:ind w:left="426" w:firstLine="0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ar įrangai yra privalomas CE ženklinimas pagal ES direktyvas Nr. </w:t>
      </w:r>
      <w:r w:rsidRPr="00547721">
        <w:rPr>
          <w:rFonts w:ascii="Arial" w:hAnsi="Arial" w:cs="Arial"/>
        </w:rPr>
        <w:t>2009/125/EC (</w:t>
      </w:r>
      <w:hyperlink r:id="rId13" w:tgtFrame="_blank" w:tooltip="https://eur-lex.europa.eu/legal-content/lt/txt/html/?uri=celex:32011l0065" w:history="1">
        <w:r w:rsidRPr="00547721">
          <w:rPr>
            <w:rStyle w:val="Hyperlink"/>
            <w:rFonts w:ascii="Arial" w:hAnsi="Arial" w:cs="Arial"/>
          </w:rPr>
          <w:t>L_2011174LT.01008801.xml</w:t>
        </w:r>
      </w:hyperlink>
      <w:r w:rsidRPr="00547721">
        <w:rPr>
          <w:rFonts w:ascii="Arial" w:hAnsi="Arial" w:cs="Arial"/>
        </w:rPr>
        <w:t>) ir Nr. 2011/65/EU (</w:t>
      </w:r>
      <w:hyperlink r:id="rId14" w:tgtFrame="_blank" w:tooltip="https://eur-lex.europa.eu/legal-content/lt/txt/html/?uri=celex:32009l0125" w:history="1">
        <w:r w:rsidRPr="00547721">
          <w:rPr>
            <w:rStyle w:val="Hyperlink"/>
            <w:rFonts w:ascii="Arial" w:hAnsi="Arial" w:cs="Arial"/>
          </w:rPr>
          <w:t>L_2009285LT.01001001.xml</w:t>
        </w:r>
      </w:hyperlink>
      <w:r w:rsidRPr="00547721">
        <w:rPr>
          <w:rStyle w:val="Hyperlink"/>
          <w:rFonts w:ascii="Arial" w:hAnsi="Arial" w:cs="Arial"/>
        </w:rPr>
        <w:t>)?</w:t>
      </w:r>
    </w:p>
    <w:p w14:paraId="2A3F6806" w14:textId="77777777" w:rsidR="00191801" w:rsidRPr="00547721" w:rsidRDefault="00191801" w:rsidP="00191801">
      <w:pPr>
        <w:pStyle w:val="ListParagraph"/>
        <w:numPr>
          <w:ilvl w:val="0"/>
          <w:numId w:val="5"/>
        </w:numPr>
        <w:tabs>
          <w:tab w:val="left" w:pos="993"/>
        </w:tabs>
        <w:ind w:left="426" w:firstLine="0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792DD1">
        <w:rPr>
          <w:rFonts w:ascii="Arial" w:eastAsia="Calibri" w:hAnsi="Arial" w:cs="Arial"/>
          <w:bCs/>
          <w:kern w:val="2"/>
          <w14:ligatures w14:val="standardContextual"/>
        </w:rPr>
        <w:t>ar siūlomos sistemos atitinka nurodytų direktyvų reikalavimus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>?</w:t>
      </w:r>
      <w:r w:rsidRPr="00792DD1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</w:p>
    <w:p w14:paraId="5D868013" w14:textId="77777777" w:rsidR="00191801" w:rsidRPr="00547721" w:rsidRDefault="00191801" w:rsidP="00191801">
      <w:pPr>
        <w:pStyle w:val="ListParagraph"/>
        <w:numPr>
          <w:ilvl w:val="0"/>
          <w:numId w:val="5"/>
        </w:numPr>
        <w:tabs>
          <w:tab w:val="left" w:pos="993"/>
        </w:tabs>
        <w:ind w:left="426" w:firstLine="0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ar įrangą dėl atitikties CE ženklinimo reikalavimams turi tikrinti </w:t>
      </w:r>
      <w:r w:rsidRPr="00547721">
        <w:rPr>
          <w:rStyle w:val="Strong"/>
          <w:rFonts w:ascii="Arial" w:hAnsi="Arial" w:cs="Arial"/>
          <w:color w:val="515560"/>
          <w:bdr w:val="none" w:sz="0" w:space="0" w:color="auto" w:frame="1"/>
          <w:shd w:val="clear" w:color="auto" w:fill="FFFFFF"/>
        </w:rPr>
        <w:t xml:space="preserve">notifikuotoji įstaiga </w:t>
      </w:r>
      <w:r w:rsidRPr="00792DD1">
        <w:rPr>
          <w:rStyle w:val="Strong"/>
          <w:rFonts w:ascii="Arial" w:hAnsi="Arial" w:cs="Arial"/>
          <w:color w:val="515560"/>
          <w:bdr w:val="none" w:sz="0" w:space="0" w:color="auto" w:frame="1"/>
          <w:shd w:val="clear" w:color="auto" w:fill="FFFFFF"/>
        </w:rPr>
        <w:t>(</w:t>
      </w:r>
      <w:hyperlink r:id="rId15" w:history="1">
        <w:r w:rsidRPr="00792DD1">
          <w:rPr>
            <w:rStyle w:val="Hyperlink"/>
            <w:rFonts w:ascii="Arial" w:hAnsi="Arial" w:cs="Arial"/>
          </w:rPr>
          <w:t xml:space="preserve">Žymėjimas CE ženklu, sertifikato gavimas, ES reikalavimai - </w:t>
        </w:r>
        <w:proofErr w:type="spellStart"/>
        <w:r w:rsidRPr="00792DD1">
          <w:rPr>
            <w:rStyle w:val="Hyperlink"/>
            <w:rFonts w:ascii="Arial" w:hAnsi="Arial" w:cs="Arial"/>
          </w:rPr>
          <w:t>Your</w:t>
        </w:r>
        <w:proofErr w:type="spellEnd"/>
        <w:r w:rsidRPr="00792DD1">
          <w:rPr>
            <w:rStyle w:val="Hyperlink"/>
            <w:rFonts w:ascii="Arial" w:hAnsi="Arial" w:cs="Arial"/>
          </w:rPr>
          <w:t xml:space="preserve"> </w:t>
        </w:r>
        <w:proofErr w:type="spellStart"/>
        <w:r w:rsidRPr="00792DD1">
          <w:rPr>
            <w:rStyle w:val="Hyperlink"/>
            <w:rFonts w:ascii="Arial" w:hAnsi="Arial" w:cs="Arial"/>
          </w:rPr>
          <w:t>Europe</w:t>
        </w:r>
        <w:proofErr w:type="spellEnd"/>
      </w:hyperlink>
      <w:r w:rsidRPr="00792DD1">
        <w:rPr>
          <w:rFonts w:ascii="Arial" w:hAnsi="Arial" w:cs="Arial"/>
        </w:rPr>
        <w:t>)?</w:t>
      </w:r>
    </w:p>
    <w:p w14:paraId="0BEC4733" w14:textId="77777777" w:rsidR="00191801" w:rsidRPr="00547721" w:rsidRDefault="00191801" w:rsidP="00191801">
      <w:pPr>
        <w:pStyle w:val="ListParagraph"/>
        <w:numPr>
          <w:ilvl w:val="0"/>
          <w:numId w:val="5"/>
        </w:numPr>
        <w:tabs>
          <w:tab w:val="left" w:pos="993"/>
        </w:tabs>
        <w:ind w:left="426" w:firstLine="0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547721">
        <w:rPr>
          <w:rFonts w:ascii="Arial" w:eastAsia="Calibri" w:hAnsi="Arial" w:cs="Arial"/>
          <w:bCs/>
          <w:kern w:val="2"/>
          <w14:ligatures w14:val="standardContextual"/>
        </w:rPr>
        <w:t>ar įrang</w:t>
      </w:r>
      <w:r>
        <w:rPr>
          <w:rFonts w:ascii="Arial" w:eastAsia="Calibri" w:hAnsi="Arial" w:cs="Arial"/>
          <w:bCs/>
          <w:kern w:val="2"/>
          <w14:ligatures w14:val="standardContextual"/>
        </w:rPr>
        <w:t>os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 xml:space="preserve"> </w:t>
      </w:r>
      <w:r w:rsidRPr="00792DD1">
        <w:rPr>
          <w:rFonts w:ascii="Arial" w:eastAsia="Calibri" w:hAnsi="Arial" w:cs="Arial"/>
          <w:bCs/>
          <w:kern w:val="2"/>
          <w14:ligatures w14:val="standardContextual"/>
        </w:rPr>
        <w:t>tiekėjai turi notifikuotų įstaigų išduotus CE ženklinimo sertifikatus, kuriuos galės pateikti pasiūlymo pateikimo metu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>?</w:t>
      </w:r>
    </w:p>
    <w:p w14:paraId="02743165" w14:textId="77777777" w:rsidR="00191801" w:rsidRPr="00547721" w:rsidRDefault="00191801" w:rsidP="00191801">
      <w:pPr>
        <w:pStyle w:val="ListParagraph"/>
        <w:numPr>
          <w:ilvl w:val="0"/>
          <w:numId w:val="5"/>
        </w:numPr>
        <w:tabs>
          <w:tab w:val="left" w:pos="993"/>
        </w:tabs>
        <w:ind w:left="426" w:firstLine="0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 w:rsidRPr="00792DD1">
        <w:rPr>
          <w:rFonts w:ascii="Arial" w:eastAsia="Calibri" w:hAnsi="Arial" w:cs="Arial"/>
          <w:bCs/>
          <w:kern w:val="2"/>
          <w14:ligatures w14:val="standardContextual"/>
        </w:rPr>
        <w:t xml:space="preserve">ar 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pirkimo laimėjimo atveju </w:t>
      </w:r>
      <w:r w:rsidRPr="00792DD1">
        <w:rPr>
          <w:rFonts w:ascii="Arial" w:eastAsia="Calibri" w:hAnsi="Arial" w:cs="Arial"/>
          <w:bCs/>
          <w:kern w:val="2"/>
          <w14:ligatures w14:val="standardContextual"/>
        </w:rPr>
        <w:t>sistema bus gaminama ir CE ženklinimo sertifikatai galės būti pateikti tik su sistema sutarties vykdymo metu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>?</w:t>
      </w:r>
    </w:p>
    <w:p w14:paraId="3E979634" w14:textId="77777777" w:rsidR="00191801" w:rsidRPr="00792DD1" w:rsidRDefault="00191801" w:rsidP="00191801">
      <w:pPr>
        <w:pStyle w:val="ListParagraph"/>
        <w:numPr>
          <w:ilvl w:val="0"/>
          <w:numId w:val="5"/>
        </w:numPr>
        <w:tabs>
          <w:tab w:val="left" w:pos="993"/>
        </w:tabs>
        <w:ind w:left="426" w:firstLine="0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t xml:space="preserve">pagal poreikį, 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>nurody</w:t>
      </w:r>
      <w:r>
        <w:rPr>
          <w:rFonts w:ascii="Arial" w:eastAsia="Calibri" w:hAnsi="Arial" w:cs="Arial"/>
          <w:bCs/>
          <w:kern w:val="2"/>
          <w14:ligatures w14:val="standardContextual"/>
        </w:rPr>
        <w:t>kite</w:t>
      </w:r>
      <w:r w:rsidRPr="00792DD1">
        <w:rPr>
          <w:rFonts w:ascii="Arial" w:eastAsia="Calibri" w:hAnsi="Arial" w:cs="Arial"/>
          <w:bCs/>
          <w:kern w:val="2"/>
          <w14:ligatures w14:val="standardContextual"/>
        </w:rPr>
        <w:t xml:space="preserve"> kitas 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svarbias </w:t>
      </w:r>
      <w:r w:rsidRPr="00792DD1">
        <w:rPr>
          <w:rFonts w:ascii="Arial" w:eastAsia="Calibri" w:hAnsi="Arial" w:cs="Arial"/>
          <w:bCs/>
          <w:kern w:val="2"/>
          <w14:ligatures w14:val="standardContextual"/>
        </w:rPr>
        <w:t xml:space="preserve">aplinkybes, turinčias įtakos </w:t>
      </w:r>
      <w:r w:rsidRPr="00547721">
        <w:rPr>
          <w:rFonts w:ascii="Arial" w:eastAsia="Calibri" w:hAnsi="Arial" w:cs="Arial"/>
          <w:bCs/>
          <w:kern w:val="2"/>
          <w14:ligatures w14:val="standardContextual"/>
        </w:rPr>
        <w:t>CE ženklinimo</w:t>
      </w:r>
      <w:r w:rsidRPr="00792DD1">
        <w:rPr>
          <w:rFonts w:ascii="Arial" w:eastAsia="Calibri" w:hAnsi="Arial" w:cs="Arial"/>
          <w:bCs/>
          <w:kern w:val="2"/>
          <w14:ligatures w14:val="standardContextual"/>
        </w:rPr>
        <w:t xml:space="preserve"> reikalavimų vykdymui.</w:t>
      </w:r>
    </w:p>
    <w:p w14:paraId="58E72012" w14:textId="77777777" w:rsidR="00DE3ADB" w:rsidRDefault="00DE3ADB" w:rsidP="00191801">
      <w:pPr>
        <w:tabs>
          <w:tab w:val="left" w:pos="993"/>
        </w:tabs>
        <w:ind w:left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</w:p>
    <w:p w14:paraId="0E50DA89" w14:textId="77777777" w:rsidR="00DE3ADB" w:rsidRDefault="00DE3ADB" w:rsidP="00191801">
      <w:pPr>
        <w:tabs>
          <w:tab w:val="left" w:pos="993"/>
        </w:tabs>
        <w:ind w:left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</w:p>
    <w:p w14:paraId="586A30AB" w14:textId="35C62A48" w:rsidR="00191801" w:rsidRPr="00917A60" w:rsidRDefault="00191801" w:rsidP="00191801">
      <w:pPr>
        <w:tabs>
          <w:tab w:val="left" w:pos="993"/>
        </w:tabs>
        <w:ind w:left="426"/>
        <w:jc w:val="both"/>
        <w:rPr>
          <w:rFonts w:ascii="Arial" w:eastAsia="Calibri" w:hAnsi="Arial" w:cs="Arial"/>
          <w:bCs/>
          <w:kern w:val="2"/>
          <w14:ligatures w14:val="standardContextual"/>
        </w:rPr>
      </w:pPr>
      <w:r>
        <w:rPr>
          <w:rFonts w:ascii="Arial" w:eastAsia="Calibri" w:hAnsi="Arial" w:cs="Arial"/>
          <w:bCs/>
          <w:kern w:val="2"/>
          <w14:ligatures w14:val="standardContextual"/>
        </w:rPr>
        <w:lastRenderedPageBreak/>
        <w:t>Taip pat t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eikiame apibendrintą informaciją apie </w:t>
      </w:r>
      <w:r>
        <w:rPr>
          <w:rFonts w:ascii="Arial" w:eastAsia="Calibri" w:hAnsi="Arial" w:cs="Arial"/>
          <w:bCs/>
          <w:kern w:val="2"/>
          <w14:ligatures w14:val="standardContextual"/>
        </w:rPr>
        <w:t>r</w:t>
      </w:r>
      <w:r w:rsidRPr="00917A60">
        <w:rPr>
          <w:rFonts w:ascii="Arial" w:eastAsia="Calibri" w:hAnsi="Arial" w:cs="Arial"/>
          <w:bCs/>
          <w:kern w:val="2"/>
          <w14:ligatures w14:val="standardContextual"/>
        </w:rPr>
        <w:t xml:space="preserve">inkos konsultacijos </w:t>
      </w:r>
      <w:r>
        <w:rPr>
          <w:rFonts w:ascii="Arial" w:eastAsia="Calibri" w:hAnsi="Arial" w:cs="Arial"/>
          <w:bCs/>
          <w:kern w:val="2"/>
          <w14:ligatures w14:val="standardContextual"/>
        </w:rPr>
        <w:t xml:space="preserve">metu gautus klausimus / pastebėjimus. Jei turite dar papildomų pastebėjimų dėl pateikiamų atsakymų, maloniai prašome juos pateikti raštu </w:t>
      </w:r>
      <w:r w:rsidRPr="00250CEF">
        <w:rPr>
          <w:rFonts w:ascii="Arial" w:eastAsia="Calibri" w:hAnsi="Arial" w:cs="Arial"/>
          <w:bCs/>
          <w:kern w:val="2"/>
          <w14:ligatures w14:val="standardContextual"/>
        </w:rPr>
        <w:t xml:space="preserve">ne vėliau kaip per </w:t>
      </w:r>
      <w:r w:rsidR="00A822F9">
        <w:rPr>
          <w:rFonts w:ascii="Arial" w:eastAsia="Calibri" w:hAnsi="Arial" w:cs="Arial"/>
          <w:bCs/>
          <w:kern w:val="2"/>
          <w14:ligatures w14:val="standardContextual"/>
        </w:rPr>
        <w:t>3</w:t>
      </w:r>
      <w:r w:rsidRPr="00250CEF">
        <w:rPr>
          <w:rFonts w:ascii="Arial" w:eastAsia="Calibri" w:hAnsi="Arial" w:cs="Arial"/>
          <w:bCs/>
          <w:kern w:val="2"/>
          <w14:ligatures w14:val="standardContextual"/>
        </w:rPr>
        <w:t xml:space="preserve"> darbo dienas nuo šio pranešimo išsiuntimo</w:t>
      </w:r>
      <w:r>
        <w:rPr>
          <w:rFonts w:ascii="Arial" w:eastAsia="Calibri" w:hAnsi="Arial" w:cs="Arial"/>
          <w:bCs/>
          <w:kern w:val="2"/>
          <w14:ligatures w14:val="standardContextual"/>
        </w:rPr>
        <w:t>.</w:t>
      </w:r>
    </w:p>
    <w:tbl>
      <w:tblPr>
        <w:tblStyle w:val="TableGrid"/>
        <w:tblW w:w="15304" w:type="dxa"/>
        <w:jc w:val="center"/>
        <w:tblLook w:val="04A0" w:firstRow="1" w:lastRow="0" w:firstColumn="1" w:lastColumn="0" w:noHBand="0" w:noVBand="1"/>
      </w:tblPr>
      <w:tblGrid>
        <w:gridCol w:w="7225"/>
        <w:gridCol w:w="8079"/>
      </w:tblGrid>
      <w:tr w:rsidR="00DB56AA" w:rsidRPr="0086412E" w14:paraId="72BE4AFF" w14:textId="77777777" w:rsidTr="004B1BB4">
        <w:trPr>
          <w:jc w:val="center"/>
        </w:trPr>
        <w:tc>
          <w:tcPr>
            <w:tcW w:w="7225" w:type="dxa"/>
            <w:shd w:val="clear" w:color="auto" w:fill="D9D9D9" w:themeFill="background1" w:themeFillShade="D9"/>
          </w:tcPr>
          <w:p w14:paraId="50C4800D" w14:textId="7C176F26" w:rsidR="00DB56AA" w:rsidRPr="0086412E" w:rsidRDefault="000C74DC" w:rsidP="00F60712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86412E">
              <w:rPr>
                <w:rFonts w:ascii="Arial" w:hAnsi="Arial" w:cs="Arial"/>
                <w:b/>
                <w:bCs/>
              </w:rPr>
              <w:t>P</w:t>
            </w:r>
            <w:r w:rsidR="00DB56AA" w:rsidRPr="0086412E">
              <w:rPr>
                <w:rFonts w:ascii="Arial" w:hAnsi="Arial" w:cs="Arial"/>
                <w:b/>
                <w:bCs/>
              </w:rPr>
              <w:t>astabos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32AEB0B8" w14:textId="27001321" w:rsidR="00DB56AA" w:rsidRPr="0086412E" w:rsidRDefault="00DB56AA" w:rsidP="00F27C7D">
            <w:pPr>
              <w:spacing w:after="120"/>
              <w:jc w:val="center"/>
              <w:rPr>
                <w:rFonts w:ascii="Arial" w:hAnsi="Arial" w:cs="Arial"/>
                <w:b/>
                <w:bCs/>
              </w:rPr>
            </w:pPr>
            <w:r w:rsidRPr="0086412E">
              <w:rPr>
                <w:rFonts w:ascii="Arial" w:hAnsi="Arial" w:cs="Arial"/>
                <w:b/>
                <w:bCs/>
              </w:rPr>
              <w:t>Apibendrinimas</w:t>
            </w:r>
          </w:p>
        </w:tc>
      </w:tr>
      <w:tr w:rsidR="00DB56AA" w:rsidRPr="0086412E" w14:paraId="068909F2" w14:textId="5327BB2E" w:rsidTr="004B1BB4">
        <w:trPr>
          <w:jc w:val="center"/>
        </w:trPr>
        <w:tc>
          <w:tcPr>
            <w:tcW w:w="7225" w:type="dxa"/>
          </w:tcPr>
          <w:p w14:paraId="13148223" w14:textId="52E0BF10" w:rsidR="00DB56AA" w:rsidRPr="0086412E" w:rsidRDefault="004858A8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Bendrosios pastabos </w:t>
            </w:r>
          </w:p>
        </w:tc>
        <w:tc>
          <w:tcPr>
            <w:tcW w:w="8079" w:type="dxa"/>
          </w:tcPr>
          <w:p w14:paraId="3644A622" w14:textId="497AB901" w:rsidR="00DB56AA" w:rsidRPr="0086412E" w:rsidRDefault="000C74DC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Dėkojame už siūlymus, juos įvertinsime ruošdamiesi pirkimui</w:t>
            </w:r>
            <w:r w:rsidR="004B61C3" w:rsidRPr="0086412E">
              <w:rPr>
                <w:rFonts w:ascii="Arial" w:hAnsi="Arial" w:cs="Arial"/>
              </w:rPr>
              <w:t>.</w:t>
            </w:r>
          </w:p>
        </w:tc>
      </w:tr>
      <w:tr w:rsidR="00DB56AA" w:rsidRPr="0086412E" w14:paraId="3AD1BCA4" w14:textId="73C7AAF9" w:rsidTr="004B1BB4">
        <w:trPr>
          <w:jc w:val="center"/>
        </w:trPr>
        <w:tc>
          <w:tcPr>
            <w:tcW w:w="7225" w:type="dxa"/>
            <w:shd w:val="clear" w:color="auto" w:fill="D9D9D9" w:themeFill="background1" w:themeFillShade="D9"/>
          </w:tcPr>
          <w:p w14:paraId="7741B555" w14:textId="7BF8DE8F" w:rsidR="00DB56AA" w:rsidRPr="0086412E" w:rsidRDefault="00517C40" w:rsidP="00F60712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86412E">
              <w:rPr>
                <w:rFonts w:ascii="Arial" w:hAnsi="Arial" w:cs="Arial"/>
                <w:b/>
                <w:bCs/>
              </w:rPr>
              <w:t>Techninės s</w:t>
            </w:r>
            <w:r w:rsidR="00DB56AA" w:rsidRPr="0086412E">
              <w:rPr>
                <w:rFonts w:ascii="Arial" w:hAnsi="Arial" w:cs="Arial"/>
                <w:b/>
                <w:bCs/>
              </w:rPr>
              <w:t>pecifikacijo</w:t>
            </w:r>
            <w:r w:rsidR="004E5B7F" w:rsidRPr="0086412E">
              <w:rPr>
                <w:rFonts w:ascii="Arial" w:hAnsi="Arial" w:cs="Arial"/>
                <w:b/>
                <w:bCs/>
              </w:rPr>
              <w:t>s</w:t>
            </w:r>
            <w:r w:rsidRPr="0086412E">
              <w:rPr>
                <w:rFonts w:ascii="Arial" w:hAnsi="Arial" w:cs="Arial"/>
                <w:b/>
                <w:bCs/>
              </w:rPr>
              <w:t xml:space="preserve"> </w:t>
            </w:r>
            <w:r w:rsidR="00402C8D" w:rsidRPr="0086412E">
              <w:rPr>
                <w:rFonts w:ascii="Arial" w:hAnsi="Arial" w:cs="Arial"/>
                <w:b/>
                <w:bCs/>
              </w:rPr>
              <w:t xml:space="preserve"> </w:t>
            </w:r>
            <w:r w:rsidRPr="0086412E">
              <w:rPr>
                <w:rFonts w:ascii="Arial" w:hAnsi="Arial" w:cs="Arial"/>
                <w:b/>
                <w:bCs/>
              </w:rPr>
              <w:t>reikalavimai</w:t>
            </w:r>
          </w:p>
        </w:tc>
        <w:tc>
          <w:tcPr>
            <w:tcW w:w="8079" w:type="dxa"/>
            <w:shd w:val="clear" w:color="auto" w:fill="D9D9D9" w:themeFill="background1" w:themeFillShade="D9"/>
          </w:tcPr>
          <w:p w14:paraId="4DF70147" w14:textId="17988E2A" w:rsidR="00DB56AA" w:rsidRPr="0086412E" w:rsidRDefault="00DB56AA" w:rsidP="008867EF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DB56AA" w:rsidRPr="0086412E" w14:paraId="67CC55E0" w14:textId="20FD5BC1" w:rsidTr="004B1BB4">
        <w:trPr>
          <w:jc w:val="center"/>
        </w:trPr>
        <w:tc>
          <w:tcPr>
            <w:tcW w:w="7225" w:type="dxa"/>
          </w:tcPr>
          <w:p w14:paraId="08AD943F" w14:textId="17BC4850" w:rsidR="00DB56AA" w:rsidRPr="0086412E" w:rsidRDefault="00F60712" w:rsidP="00F60712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pacing w:after="120"/>
              <w:ind w:left="0" w:firstLine="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 </w:t>
            </w:r>
            <w:r w:rsidR="00457CAE" w:rsidRPr="0086412E">
              <w:rPr>
                <w:rFonts w:ascii="Arial" w:hAnsi="Arial" w:cs="Arial"/>
              </w:rPr>
              <w:t>1-ame punkte pageidaujama: „</w:t>
            </w:r>
            <w:proofErr w:type="spellStart"/>
            <w:r w:rsidR="00457CAE" w:rsidRPr="0086412E">
              <w:rPr>
                <w:rFonts w:ascii="Arial" w:hAnsi="Arial" w:cs="Arial"/>
              </w:rPr>
              <w:t>Kvarterinis</w:t>
            </w:r>
            <w:proofErr w:type="spellEnd"/>
            <w:r w:rsidR="00457CAE" w:rsidRPr="0086412E">
              <w:rPr>
                <w:rFonts w:ascii="Arial" w:hAnsi="Arial" w:cs="Arial"/>
              </w:rPr>
              <w:t xml:space="preserve"> siurblys galintis tiekti 4 tirpiklius atskirai“. Dažniausiai siurblio parametrai apibūdinami, ne kiek atskirai tirpiklių gali teikti, o kiek tirpiklių vienu metu gali maišyti. Klausimas: Ar šioje vietoje reikia, kad sistema galėtų tiekti 4 tirpiklius ir juos visus gebėtų maišyti vienu metu, ar sistema turi gebėti tiekti 4 tirpiklius, bet maišyti bent 2 tepiklius vienu metu?</w:t>
            </w:r>
          </w:p>
        </w:tc>
        <w:tc>
          <w:tcPr>
            <w:tcW w:w="8079" w:type="dxa"/>
          </w:tcPr>
          <w:p w14:paraId="32B5AC44" w14:textId="013E2C26" w:rsidR="00DB56AA" w:rsidRPr="0086412E" w:rsidRDefault="00F03632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 </w:t>
            </w:r>
            <w:r w:rsidR="000B017D" w:rsidRPr="0086412E">
              <w:rPr>
                <w:rFonts w:ascii="Arial" w:hAnsi="Arial" w:cs="Arial"/>
              </w:rPr>
              <w:t xml:space="preserve">Patikslintas reikalavimas - </w:t>
            </w:r>
            <w:r w:rsidR="00866FF1" w:rsidRPr="0086412E">
              <w:rPr>
                <w:rFonts w:ascii="Arial" w:hAnsi="Arial" w:cs="Arial"/>
              </w:rPr>
              <w:t xml:space="preserve"> </w:t>
            </w:r>
            <w:r w:rsidR="00E66039" w:rsidRPr="0086412E">
              <w:rPr>
                <w:rFonts w:ascii="Arial" w:hAnsi="Arial" w:cs="Arial"/>
              </w:rPr>
              <w:t>„</w:t>
            </w:r>
            <w:r w:rsidR="004E3CE9" w:rsidRPr="0086412E">
              <w:rPr>
                <w:rFonts w:ascii="Arial" w:hAnsi="Arial" w:cs="Arial"/>
              </w:rPr>
              <w:t>Sistema turi tiekti 4 tirpiklius ir juos visus gebėti maišyti vienu metu</w:t>
            </w:r>
            <w:r w:rsidR="00E66039" w:rsidRPr="0086412E">
              <w:rPr>
                <w:rFonts w:ascii="Arial" w:hAnsi="Arial" w:cs="Arial"/>
              </w:rPr>
              <w:t>“</w:t>
            </w:r>
            <w:r w:rsidR="00654123" w:rsidRPr="0086412E">
              <w:rPr>
                <w:rFonts w:ascii="Arial" w:hAnsi="Arial" w:cs="Arial"/>
              </w:rPr>
              <w:t xml:space="preserve">, </w:t>
            </w:r>
            <w:r w:rsidR="00866FF1" w:rsidRPr="0086412E">
              <w:rPr>
                <w:rFonts w:ascii="Arial" w:hAnsi="Arial" w:cs="Arial"/>
              </w:rPr>
              <w:t xml:space="preserve">detaliau </w:t>
            </w:r>
            <w:r w:rsidR="00654123" w:rsidRPr="0086412E">
              <w:rPr>
                <w:rFonts w:ascii="Arial" w:hAnsi="Arial" w:cs="Arial"/>
              </w:rPr>
              <w:t xml:space="preserve">prašome </w:t>
            </w:r>
            <w:r w:rsidR="00402C8D" w:rsidRPr="0086412E">
              <w:rPr>
                <w:rFonts w:ascii="Arial" w:hAnsi="Arial" w:cs="Arial"/>
              </w:rPr>
              <w:t>žiūrėti pridedam</w:t>
            </w:r>
            <w:r w:rsidR="001267D5" w:rsidRPr="0086412E">
              <w:rPr>
                <w:rFonts w:ascii="Arial" w:hAnsi="Arial" w:cs="Arial"/>
              </w:rPr>
              <w:t>ą techninę specifikaciją (toliau - TS)</w:t>
            </w:r>
            <w:r w:rsidR="00402C8D" w:rsidRPr="0086412E">
              <w:rPr>
                <w:rFonts w:ascii="Arial" w:hAnsi="Arial" w:cs="Arial"/>
              </w:rPr>
              <w:t>.</w:t>
            </w:r>
          </w:p>
        </w:tc>
      </w:tr>
      <w:tr w:rsidR="00DB56AA" w:rsidRPr="0086412E" w14:paraId="656112BF" w14:textId="7E9E8C88" w:rsidTr="004B1BB4">
        <w:trPr>
          <w:jc w:val="center"/>
        </w:trPr>
        <w:tc>
          <w:tcPr>
            <w:tcW w:w="7225" w:type="dxa"/>
          </w:tcPr>
          <w:p w14:paraId="2A58BC8F" w14:textId="67266E5A" w:rsidR="00DB56AA" w:rsidRPr="0086412E" w:rsidRDefault="00F45142" w:rsidP="00F60712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after="120"/>
              <w:ind w:left="0" w:firstLine="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2-ame punkte pageidaujame: „Tėkmės greičio tikslumas – ne mažesnis nei ±0.1 %“. Ar šioje vietoje nėra įsivėlusi klaida ir pageidavimas ne turėtų būti ±1 %“? Rekomenduojama pakeisti reikalavimą bent į ±0.5 %, kas nesumažins sistemos techninių galimybių, bet išplėstų konkurenciją.</w:t>
            </w:r>
          </w:p>
        </w:tc>
        <w:tc>
          <w:tcPr>
            <w:tcW w:w="8079" w:type="dxa"/>
          </w:tcPr>
          <w:p w14:paraId="3B0666BE" w14:textId="3D642E07" w:rsidR="0051293F" w:rsidRPr="00DE3ADB" w:rsidRDefault="0051293F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</w:p>
          <w:p w14:paraId="238249D3" w14:textId="7B268A8E" w:rsidR="006B611F" w:rsidRPr="00DE3ADB" w:rsidRDefault="006B611F" w:rsidP="006B611F">
            <w:pPr>
              <w:pStyle w:val="ListParagraph"/>
              <w:spacing w:after="120"/>
              <w:ind w:left="252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>Pat</w:t>
            </w:r>
            <w:r w:rsidR="00B743FD" w:rsidRPr="00DE3ADB">
              <w:rPr>
                <w:rFonts w:ascii="Arial" w:hAnsi="Arial" w:cs="Arial"/>
              </w:rPr>
              <w:t>ikslintas</w:t>
            </w:r>
            <w:r w:rsidRPr="00DE3ADB">
              <w:rPr>
                <w:rFonts w:ascii="Arial" w:hAnsi="Arial" w:cs="Arial"/>
              </w:rPr>
              <w:t xml:space="preserve"> reikalavimas – „Tėkmės greičio tikslumas </w:t>
            </w:r>
            <w:r w:rsidRPr="00DE3ADB">
              <w:rPr>
                <w:rFonts w:ascii="Arial" w:eastAsia="Times New Roman" w:hAnsi="Arial" w:cs="Arial"/>
                <w:lang w:val="en-US"/>
              </w:rPr>
              <w:t>–</w:t>
            </w:r>
            <w:r w:rsidRPr="00DE3ADB">
              <w:rPr>
                <w:rFonts w:ascii="Arial" w:hAnsi="Arial" w:cs="Arial"/>
              </w:rPr>
              <w:t xml:space="preserve"> ne mažesnis nei ±0.5 %“</w:t>
            </w:r>
            <w:r w:rsidR="00B743FD" w:rsidRPr="00DE3ADB">
              <w:rPr>
                <w:rFonts w:ascii="Arial" w:hAnsi="Arial" w:cs="Arial"/>
              </w:rPr>
              <w:t>, detaliau prašome žiūrėti pridedamą TS.</w:t>
            </w:r>
          </w:p>
        </w:tc>
      </w:tr>
      <w:tr w:rsidR="000F7A00" w:rsidRPr="0086412E" w14:paraId="68851C5F" w14:textId="77777777" w:rsidTr="004B1BB4">
        <w:trPr>
          <w:jc w:val="center"/>
        </w:trPr>
        <w:tc>
          <w:tcPr>
            <w:tcW w:w="7225" w:type="dxa"/>
          </w:tcPr>
          <w:p w14:paraId="6D85C968" w14:textId="5E869DFD" w:rsidR="000F7A00" w:rsidRPr="0086412E" w:rsidRDefault="00F45142" w:rsidP="00F60712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spacing w:after="120"/>
              <w:ind w:left="0" w:firstLine="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5-tame punkte pageidaujama: „Ne mažiau kaip 4 bandinių laikikliai, kiekvienas talpinantis bent 50 buteliukų (≤ 1,5 ml talpos)“. Ar būtų tinkama jei siūlomas mėginių laikiklis vienu metu talpintų 2 laikiklius, po 50 buteliukų?</w:t>
            </w:r>
          </w:p>
        </w:tc>
        <w:tc>
          <w:tcPr>
            <w:tcW w:w="8079" w:type="dxa"/>
          </w:tcPr>
          <w:p w14:paraId="408C7C30" w14:textId="1369C347" w:rsidR="000F7A00" w:rsidRPr="00DE3ADB" w:rsidRDefault="008A5E49" w:rsidP="008A5E49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Techninėje specifikacijoje numatytas reikalavimas – „ne mažiau kaip 4 bandinių laikikliai, kiekvienas talpinantis bent 50 buteliukų (≤ 1,5 ml talpos)“ – yra esminis ir grindžiamas mokslinių tyrimų poreikiais. Šis reikalavimas užtikrina eksperimentų lankstumą, mėginių grupavimo galimybes bei paralelinių tyrimų vykdymą. Rinkoje yra ne viena sistema, kuri gali užtikrinti šio reikalavimo funkcionalumą. </w:t>
            </w:r>
          </w:p>
        </w:tc>
      </w:tr>
      <w:tr w:rsidR="00790887" w:rsidRPr="0086412E" w14:paraId="3865AB7D" w14:textId="77777777" w:rsidTr="004B1BB4">
        <w:trPr>
          <w:jc w:val="center"/>
        </w:trPr>
        <w:tc>
          <w:tcPr>
            <w:tcW w:w="7225" w:type="dxa"/>
          </w:tcPr>
          <w:p w14:paraId="437ACE02" w14:textId="400C063C" w:rsidR="00790887" w:rsidRPr="0086412E" w:rsidRDefault="004B1BB4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4. </w:t>
            </w:r>
            <w:r w:rsidR="00B11A9B" w:rsidRPr="0086412E">
              <w:rPr>
                <w:rFonts w:ascii="Arial" w:hAnsi="Arial" w:cs="Arial"/>
              </w:rPr>
              <w:t xml:space="preserve">7-ame punkte pageidaujamas slėgio diapazonas: „Ne mažesnis kaip 1000 bar ar daugiau, esant tėkmės greičiui mažesniam nei 5 ml/min“. Kadangi visoje TS nėra detaliai aprašyta kokie tyrimai bus vykdomi su sistema ar kokios analitinės kolonėlės bus naudojamos rekomenduotume keisti šį punktą: Ne mažiau 800 bar – </w:t>
            </w:r>
            <w:proofErr w:type="spellStart"/>
            <w:r w:rsidR="00B11A9B" w:rsidRPr="0086412E">
              <w:rPr>
                <w:rFonts w:ascii="Arial" w:hAnsi="Arial" w:cs="Arial"/>
              </w:rPr>
              <w:t>srauten</w:t>
            </w:r>
            <w:proofErr w:type="spellEnd"/>
            <w:r w:rsidR="00B11A9B" w:rsidRPr="0086412E">
              <w:rPr>
                <w:rFonts w:ascii="Arial" w:hAnsi="Arial" w:cs="Arial"/>
              </w:rPr>
              <w:t xml:space="preserve"> nuo 0 iki 2 </w:t>
            </w:r>
            <w:proofErr w:type="spellStart"/>
            <w:r w:rsidR="00B11A9B" w:rsidRPr="0086412E">
              <w:rPr>
                <w:rFonts w:ascii="Arial" w:hAnsi="Arial" w:cs="Arial"/>
              </w:rPr>
              <w:t>mL</w:t>
            </w:r>
            <w:proofErr w:type="spellEnd"/>
            <w:r w:rsidR="00B11A9B" w:rsidRPr="0086412E">
              <w:rPr>
                <w:rFonts w:ascii="Arial" w:hAnsi="Arial" w:cs="Arial"/>
              </w:rPr>
              <w:t xml:space="preserve">/min, ir ne mažiau 400 bar – sraute nuo 2 iki 8 </w:t>
            </w:r>
            <w:proofErr w:type="spellStart"/>
            <w:r w:rsidR="00B11A9B" w:rsidRPr="0086412E">
              <w:rPr>
                <w:rFonts w:ascii="Arial" w:hAnsi="Arial" w:cs="Arial"/>
              </w:rPr>
              <w:t>mL</w:t>
            </w:r>
            <w:proofErr w:type="spellEnd"/>
            <w:r w:rsidR="00B11A9B" w:rsidRPr="0086412E">
              <w:rPr>
                <w:rFonts w:ascii="Arial" w:hAnsi="Arial" w:cs="Arial"/>
              </w:rPr>
              <w:t>/min. Taip bus užtikrintas slėgis visame pageidaujamame intervale pažymėtame 2 -ame punkte.</w:t>
            </w:r>
          </w:p>
        </w:tc>
        <w:tc>
          <w:tcPr>
            <w:tcW w:w="8079" w:type="dxa"/>
          </w:tcPr>
          <w:p w14:paraId="593DF17A" w14:textId="11ADF174" w:rsidR="00790887" w:rsidRPr="00DE3ADB" w:rsidRDefault="000B017D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Patikslintas reikalavimas - </w:t>
            </w:r>
            <w:r w:rsidR="00E543FA" w:rsidRPr="00DE3ADB">
              <w:rPr>
                <w:rFonts w:ascii="Arial" w:hAnsi="Arial" w:cs="Arial"/>
              </w:rPr>
              <w:t>„</w:t>
            </w:r>
            <w:r w:rsidR="005C6EF8" w:rsidRPr="00DE3ADB">
              <w:rPr>
                <w:rFonts w:ascii="Arial" w:hAnsi="Arial" w:cs="Arial"/>
              </w:rPr>
              <w:t xml:space="preserve">Ne mažesnis kaip 1000 bar ar daugiau sraute nuo 0 iki 2 </w:t>
            </w:r>
            <w:proofErr w:type="spellStart"/>
            <w:r w:rsidR="005C6EF8" w:rsidRPr="00DE3ADB">
              <w:rPr>
                <w:rFonts w:ascii="Arial" w:hAnsi="Arial" w:cs="Arial"/>
              </w:rPr>
              <w:t>mL</w:t>
            </w:r>
            <w:proofErr w:type="spellEnd"/>
            <w:r w:rsidR="005C6EF8" w:rsidRPr="00DE3ADB">
              <w:rPr>
                <w:rFonts w:ascii="Arial" w:hAnsi="Arial" w:cs="Arial"/>
              </w:rPr>
              <w:t xml:space="preserve">/min, ir ne mažiau 400 bar – sraute nuo 2 iki 5 </w:t>
            </w:r>
            <w:proofErr w:type="spellStart"/>
            <w:r w:rsidR="005C6EF8" w:rsidRPr="00DE3ADB">
              <w:rPr>
                <w:rFonts w:ascii="Arial" w:hAnsi="Arial" w:cs="Arial"/>
              </w:rPr>
              <w:t>mL</w:t>
            </w:r>
            <w:proofErr w:type="spellEnd"/>
            <w:r w:rsidR="005C6EF8" w:rsidRPr="00DE3ADB">
              <w:rPr>
                <w:rFonts w:ascii="Arial" w:hAnsi="Arial" w:cs="Arial"/>
              </w:rPr>
              <w:t>/min</w:t>
            </w:r>
            <w:r w:rsidR="00041ED6" w:rsidRPr="00DE3ADB">
              <w:rPr>
                <w:rFonts w:ascii="Arial" w:hAnsi="Arial" w:cs="Arial"/>
              </w:rPr>
              <w:t xml:space="preserve">“, </w:t>
            </w:r>
            <w:r w:rsidR="009F4381" w:rsidRPr="00DE3ADB">
              <w:rPr>
                <w:rFonts w:ascii="Arial" w:hAnsi="Arial" w:cs="Arial"/>
              </w:rPr>
              <w:t>detaliau prašome žiūrėti pridedamą TS.</w:t>
            </w:r>
          </w:p>
        </w:tc>
      </w:tr>
      <w:tr w:rsidR="00F45142" w:rsidRPr="0086412E" w14:paraId="75AC94AE" w14:textId="77777777" w:rsidTr="004B1BB4">
        <w:trPr>
          <w:jc w:val="center"/>
        </w:trPr>
        <w:tc>
          <w:tcPr>
            <w:tcW w:w="7225" w:type="dxa"/>
          </w:tcPr>
          <w:p w14:paraId="312B8676" w14:textId="35056F77" w:rsidR="009103F6" w:rsidRPr="0086412E" w:rsidRDefault="009103F6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5. 9-tame punkte pageidaujama:</w:t>
            </w:r>
            <w:r w:rsidR="00F60712" w:rsidRPr="0086412E">
              <w:rPr>
                <w:rFonts w:ascii="Arial" w:hAnsi="Arial" w:cs="Arial"/>
              </w:rPr>
              <w:t xml:space="preserve"> </w:t>
            </w:r>
            <w:r w:rsidRPr="0086412E">
              <w:rPr>
                <w:rFonts w:ascii="Arial" w:hAnsi="Arial" w:cs="Arial"/>
              </w:rPr>
              <w:t xml:space="preserve">„PDA detektoriaus </w:t>
            </w:r>
            <w:proofErr w:type="spellStart"/>
            <w:r w:rsidRPr="0086412E">
              <w:rPr>
                <w:rFonts w:ascii="Arial" w:hAnsi="Arial" w:cs="Arial"/>
              </w:rPr>
              <w:t>linijiškumas</w:t>
            </w:r>
            <w:proofErr w:type="spellEnd"/>
            <w:r w:rsidRPr="0086412E">
              <w:rPr>
                <w:rFonts w:ascii="Arial" w:hAnsi="Arial" w:cs="Arial"/>
              </w:rPr>
              <w:t xml:space="preserve"> – ne mažesnis nei &lt;5% ties 2.2 AU; PDA detektoriaus palaikomas duomenų surinkimo greitis – privalo palaikyti spartų</w:t>
            </w:r>
            <w:r w:rsidR="00F60712" w:rsidRPr="0086412E">
              <w:rPr>
                <w:rFonts w:ascii="Arial" w:hAnsi="Arial" w:cs="Arial"/>
              </w:rPr>
              <w:t xml:space="preserve"> </w:t>
            </w:r>
            <w:r w:rsidRPr="0086412E">
              <w:rPr>
                <w:rFonts w:ascii="Arial" w:hAnsi="Arial" w:cs="Arial"/>
              </w:rPr>
              <w:t>≤ 250 Hz duomenų surinkimą įskaitant 3D duomenis“.</w:t>
            </w:r>
          </w:p>
          <w:p w14:paraId="3EDD3BF1" w14:textId="67631709" w:rsidR="00F45142" w:rsidRPr="0086412E" w:rsidRDefault="009103F6" w:rsidP="00F60712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86412E">
              <w:rPr>
                <w:rFonts w:ascii="Arial" w:hAnsi="Arial" w:cs="Arial"/>
              </w:rPr>
              <w:lastRenderedPageBreak/>
              <w:t>Linijiškumo</w:t>
            </w:r>
            <w:proofErr w:type="spellEnd"/>
            <w:r w:rsidRPr="0086412E">
              <w:rPr>
                <w:rFonts w:ascii="Arial" w:hAnsi="Arial" w:cs="Arial"/>
              </w:rPr>
              <w:t xml:space="preserve"> parametro aprašymas kelia klausimų dėl tikslingumo, pats </w:t>
            </w:r>
            <w:proofErr w:type="spellStart"/>
            <w:r w:rsidRPr="0086412E">
              <w:rPr>
                <w:rFonts w:ascii="Arial" w:hAnsi="Arial" w:cs="Arial"/>
              </w:rPr>
              <w:t>linijiškumas</w:t>
            </w:r>
            <w:proofErr w:type="spellEnd"/>
            <w:r w:rsidRPr="0086412E">
              <w:rPr>
                <w:rFonts w:ascii="Arial" w:hAnsi="Arial" w:cs="Arial"/>
              </w:rPr>
              <w:t xml:space="preserve"> yra parametras apibūdinantis, kokiame intervale sistema geba matuoti nepraskiesto mėginio koncentraciją, neaišku dėl ko pašomas „ne mažesnis nei</w:t>
            </w:r>
            <w:r w:rsidR="00F60712" w:rsidRPr="0086412E">
              <w:rPr>
                <w:rFonts w:ascii="Arial" w:hAnsi="Arial" w:cs="Arial"/>
              </w:rPr>
              <w:t xml:space="preserve"> </w:t>
            </w:r>
            <w:r w:rsidRPr="0086412E">
              <w:rPr>
                <w:rFonts w:ascii="Arial" w:hAnsi="Arial" w:cs="Arial"/>
              </w:rPr>
              <w:t xml:space="preserve">&lt;5%” neapibrėžtumas, kai pats parametrus reikalauja nurodyti intervalą. Taip pat klausimas dėl 250 Hz </w:t>
            </w:r>
            <w:proofErr w:type="spellStart"/>
            <w:r w:rsidRPr="0086412E">
              <w:rPr>
                <w:rFonts w:ascii="Arial" w:hAnsi="Arial" w:cs="Arial"/>
              </w:rPr>
              <w:t>parto</w:t>
            </w:r>
            <w:proofErr w:type="spellEnd"/>
            <w:r w:rsidRPr="0086412E">
              <w:rPr>
                <w:rFonts w:ascii="Arial" w:hAnsi="Arial" w:cs="Arial"/>
              </w:rPr>
              <w:t xml:space="preserve"> surinkimo, kad reikalingas toks greitis, jei norime pasiekti jautrumą, geriau pasirinkti matavimo celę su ilgesniu optiniu keliu, nei kelti surinkimo </w:t>
            </w:r>
            <w:proofErr w:type="spellStart"/>
            <w:r w:rsidRPr="0086412E">
              <w:rPr>
                <w:rFonts w:ascii="Arial" w:hAnsi="Arial" w:cs="Arial"/>
              </w:rPr>
              <w:t>gritį</w:t>
            </w:r>
            <w:proofErr w:type="spellEnd"/>
            <w:r w:rsidRPr="0086412E">
              <w:rPr>
                <w:rFonts w:ascii="Arial" w:hAnsi="Arial" w:cs="Arial"/>
              </w:rPr>
              <w:t xml:space="preserve">, </w:t>
            </w:r>
            <w:proofErr w:type="spellStart"/>
            <w:r w:rsidRPr="0086412E">
              <w:rPr>
                <w:rFonts w:ascii="Arial" w:hAnsi="Arial" w:cs="Arial"/>
              </w:rPr>
              <w:t>kuio</w:t>
            </w:r>
            <w:proofErr w:type="spellEnd"/>
            <w:r w:rsidRPr="0086412E">
              <w:rPr>
                <w:rFonts w:ascii="Arial" w:hAnsi="Arial" w:cs="Arial"/>
              </w:rPr>
              <w:t xml:space="preserve"> </w:t>
            </w:r>
            <w:proofErr w:type="spellStart"/>
            <w:r w:rsidRPr="0086412E">
              <w:rPr>
                <w:rFonts w:ascii="Arial" w:hAnsi="Arial" w:cs="Arial"/>
              </w:rPr>
              <w:t>įraka</w:t>
            </w:r>
            <w:proofErr w:type="spellEnd"/>
            <w:r w:rsidRPr="0086412E">
              <w:rPr>
                <w:rFonts w:ascii="Arial" w:hAnsi="Arial" w:cs="Arial"/>
              </w:rPr>
              <w:t xml:space="preserve"> virš 100 Hz labai stipriai sumažėja. </w:t>
            </w:r>
            <w:proofErr w:type="spellStart"/>
            <w:r w:rsidRPr="0086412E">
              <w:rPr>
                <w:rFonts w:ascii="Arial" w:hAnsi="Arial" w:cs="Arial"/>
              </w:rPr>
              <w:t>Rekomdnuojame</w:t>
            </w:r>
            <w:proofErr w:type="spellEnd"/>
            <w:r w:rsidRPr="0086412E">
              <w:rPr>
                <w:rFonts w:ascii="Arial" w:hAnsi="Arial" w:cs="Arial"/>
              </w:rPr>
              <w:t xml:space="preserve"> kaisti parametrą: PDA detektoriaus </w:t>
            </w:r>
            <w:proofErr w:type="spellStart"/>
            <w:r w:rsidRPr="0086412E">
              <w:rPr>
                <w:rFonts w:ascii="Arial" w:hAnsi="Arial" w:cs="Arial"/>
              </w:rPr>
              <w:t>linijiškumas</w:t>
            </w:r>
            <w:proofErr w:type="spellEnd"/>
            <w:r w:rsidRPr="0086412E">
              <w:rPr>
                <w:rFonts w:ascii="Arial" w:hAnsi="Arial" w:cs="Arial"/>
              </w:rPr>
              <w:t xml:space="preserve"> – ne mažesnis nei</w:t>
            </w:r>
            <w:r w:rsidR="00F60712" w:rsidRPr="0086412E">
              <w:rPr>
                <w:rFonts w:ascii="Arial" w:hAnsi="Arial" w:cs="Arial"/>
              </w:rPr>
              <w:t xml:space="preserve"> </w:t>
            </w:r>
            <w:r w:rsidRPr="0086412E">
              <w:rPr>
                <w:rFonts w:ascii="Arial" w:hAnsi="Arial" w:cs="Arial"/>
              </w:rPr>
              <w:t>2.2 AU; PDA detektoriaus palaikomas duomenų surinkimo greitis – privalo palaikyti spartų</w:t>
            </w:r>
            <w:r w:rsidR="00F60712" w:rsidRPr="0086412E">
              <w:rPr>
                <w:rFonts w:ascii="Arial" w:hAnsi="Arial" w:cs="Arial"/>
              </w:rPr>
              <w:t xml:space="preserve"> </w:t>
            </w:r>
            <w:r w:rsidRPr="0086412E">
              <w:rPr>
                <w:rFonts w:ascii="Arial" w:hAnsi="Arial" w:cs="Arial"/>
              </w:rPr>
              <w:t xml:space="preserve">≤ 100 Hz duomenų surinkimą įskaitant 3D duomenis, galimybė keisti pratekėjimo celės optinį kelią iš standartinio 10 mm į ne </w:t>
            </w:r>
            <w:proofErr w:type="spellStart"/>
            <w:r w:rsidRPr="0086412E">
              <w:rPr>
                <w:rFonts w:ascii="Arial" w:hAnsi="Arial" w:cs="Arial"/>
              </w:rPr>
              <w:t>mažensį</w:t>
            </w:r>
            <w:proofErr w:type="spellEnd"/>
            <w:r w:rsidRPr="0086412E">
              <w:rPr>
                <w:rFonts w:ascii="Arial" w:hAnsi="Arial" w:cs="Arial"/>
              </w:rPr>
              <w:t xml:space="preserve"> nei 50 mm jautresniam matavimui.</w:t>
            </w:r>
          </w:p>
        </w:tc>
        <w:tc>
          <w:tcPr>
            <w:tcW w:w="8079" w:type="dxa"/>
          </w:tcPr>
          <w:p w14:paraId="4851656B" w14:textId="1BE2CE9E" w:rsidR="00F45142" w:rsidRPr="00DE3ADB" w:rsidRDefault="000B017D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lastRenderedPageBreak/>
              <w:t>Patikslintas reikalavimas -</w:t>
            </w:r>
            <w:r w:rsidR="0035059B" w:rsidRPr="00DE3ADB">
              <w:rPr>
                <w:rFonts w:ascii="Arial" w:hAnsi="Arial" w:cs="Arial"/>
              </w:rPr>
              <w:t xml:space="preserve"> </w:t>
            </w:r>
            <w:r w:rsidR="00276A7A" w:rsidRPr="00DE3ADB">
              <w:rPr>
                <w:rFonts w:ascii="Arial" w:hAnsi="Arial" w:cs="Arial"/>
              </w:rPr>
              <w:t>„</w:t>
            </w:r>
            <w:r w:rsidR="007D1D0B" w:rsidRPr="00DE3ADB">
              <w:rPr>
                <w:rFonts w:ascii="Arial" w:hAnsi="Arial" w:cs="Arial"/>
              </w:rPr>
              <w:t>P</w:t>
            </w:r>
            <w:r w:rsidR="006E1AE8" w:rsidRPr="00DE3ADB">
              <w:rPr>
                <w:rFonts w:ascii="Arial" w:hAnsi="Arial" w:cs="Arial"/>
              </w:rPr>
              <w:t xml:space="preserve">DA detektorius: Bangos ilgių intervalas ne mažesnis kaip 190–800 </w:t>
            </w:r>
            <w:proofErr w:type="spellStart"/>
            <w:r w:rsidR="006E1AE8" w:rsidRPr="00DE3ADB">
              <w:rPr>
                <w:rFonts w:ascii="Arial" w:hAnsi="Arial" w:cs="Arial"/>
              </w:rPr>
              <w:t>nm</w:t>
            </w:r>
            <w:proofErr w:type="spellEnd"/>
            <w:r w:rsidR="006E1AE8" w:rsidRPr="00DE3ADB">
              <w:rPr>
                <w:rFonts w:ascii="Arial" w:hAnsi="Arial" w:cs="Arial"/>
              </w:rPr>
              <w:t xml:space="preserve">; Vienalaikis </w:t>
            </w:r>
            <w:proofErr w:type="spellStart"/>
            <w:r w:rsidR="006E1AE8" w:rsidRPr="00DE3ADB">
              <w:rPr>
                <w:rFonts w:ascii="Arial" w:hAnsi="Arial" w:cs="Arial"/>
              </w:rPr>
              <w:t>detektavimas</w:t>
            </w:r>
            <w:proofErr w:type="spellEnd"/>
            <w:r w:rsidR="006E1AE8" w:rsidRPr="00DE3ADB">
              <w:rPr>
                <w:rFonts w:ascii="Arial" w:hAnsi="Arial" w:cs="Arial"/>
              </w:rPr>
              <w:t xml:space="preserve"> bent keturiais skirtingais bangos ilgiais; </w:t>
            </w:r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PDA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detektoriaus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linijiškumas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– ne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mažesnis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nei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&lt;5% ties 2.5 AU; </w:t>
            </w:r>
            <w:r w:rsidR="006E1AE8" w:rsidRPr="00DE3ADB">
              <w:rPr>
                <w:rFonts w:ascii="Arial" w:hAnsi="Arial" w:cs="Arial"/>
              </w:rPr>
              <w:t xml:space="preserve">PDA detektoriaus palaikomas duomenų surinkimo greitis </w:t>
            </w:r>
            <w:r w:rsidR="00041ED6" w:rsidRPr="00DE3ADB">
              <w:rPr>
                <w:rFonts w:ascii="Arial" w:hAnsi="Arial" w:cs="Arial"/>
              </w:rPr>
              <w:t xml:space="preserve">TS patikslinama sekančiai: </w:t>
            </w:r>
            <w:r w:rsidR="006E1AE8" w:rsidRPr="00DE3ADB">
              <w:rPr>
                <w:rFonts w:ascii="Arial" w:hAnsi="Arial" w:cs="Arial"/>
              </w:rPr>
              <w:t xml:space="preserve">– privalo palaikyti spartų ≤ 100 Hz duomenų surinkimą įskaitant 3D duomenis b) Fluorescencijos detektorius: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turi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turėti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du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fotodaugiklius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(PMT),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lastRenderedPageBreak/>
              <w:t>skirtus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dvigubo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PMT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veikimo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režimui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.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Taip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užtikrinant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išplėstą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bangos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ilgių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diapazoną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iki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900 nm,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neprarandant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jautrumo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standartiniame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bangos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ilgių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diapazone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arba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pasiūlyti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ne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prastesnį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technologinį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6E1AE8" w:rsidRPr="00DE3ADB">
              <w:rPr>
                <w:rFonts w:ascii="Arial" w:eastAsia="Times New Roman" w:hAnsi="Arial" w:cs="Arial"/>
                <w:lang w:val="en-US"/>
              </w:rPr>
              <w:t>sprendimą</w:t>
            </w:r>
            <w:proofErr w:type="spellEnd"/>
            <w:r w:rsidR="006E1AE8" w:rsidRPr="00DE3ADB">
              <w:rPr>
                <w:rFonts w:ascii="Arial" w:eastAsia="Times New Roman" w:hAnsi="Arial" w:cs="Arial"/>
                <w:lang w:val="en-US"/>
              </w:rPr>
              <w:t xml:space="preserve">. </w:t>
            </w:r>
            <w:r w:rsidR="006E1AE8" w:rsidRPr="00DE3ADB">
              <w:rPr>
                <w:rFonts w:ascii="Arial" w:hAnsi="Arial" w:cs="Arial"/>
              </w:rPr>
              <w:t xml:space="preserve">Sužadinimo/emisijos bangos ilgių perjungimo laikas – turi būti ne ilgesnis nei 250 </w:t>
            </w:r>
            <w:proofErr w:type="spellStart"/>
            <w:r w:rsidR="006E1AE8" w:rsidRPr="00DE3ADB">
              <w:rPr>
                <w:rFonts w:ascii="Arial" w:hAnsi="Arial" w:cs="Arial"/>
              </w:rPr>
              <w:t>ms</w:t>
            </w:r>
            <w:proofErr w:type="spellEnd"/>
            <w:r w:rsidR="00041ED6" w:rsidRPr="00DE3ADB">
              <w:rPr>
                <w:rFonts w:ascii="Arial" w:hAnsi="Arial" w:cs="Arial"/>
              </w:rPr>
              <w:t xml:space="preserve">“, </w:t>
            </w:r>
            <w:r w:rsidR="009F4381" w:rsidRPr="00DE3ADB">
              <w:rPr>
                <w:rFonts w:ascii="Arial" w:hAnsi="Arial" w:cs="Arial"/>
              </w:rPr>
              <w:t>detaliau prašome žiūrėti pridedamą TS.</w:t>
            </w:r>
          </w:p>
        </w:tc>
      </w:tr>
      <w:tr w:rsidR="00F45142" w:rsidRPr="0086412E" w14:paraId="45155C3F" w14:textId="77777777" w:rsidTr="004B1BB4">
        <w:trPr>
          <w:jc w:val="center"/>
        </w:trPr>
        <w:tc>
          <w:tcPr>
            <w:tcW w:w="7225" w:type="dxa"/>
          </w:tcPr>
          <w:p w14:paraId="67D740BC" w14:textId="414BE3E1" w:rsidR="00F45142" w:rsidRPr="0086412E" w:rsidRDefault="009103F6" w:rsidP="00F60712">
            <w:pPr>
              <w:pStyle w:val="TableParagraph"/>
              <w:spacing w:line="252" w:lineRule="exact"/>
              <w:ind w:left="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lastRenderedPageBreak/>
              <w:t xml:space="preserve">6. </w:t>
            </w:r>
            <w:r w:rsidR="00932C43" w:rsidRPr="0086412E">
              <w:rPr>
                <w:rFonts w:ascii="Arial" w:hAnsi="Arial" w:cs="Arial"/>
              </w:rPr>
              <w:t>10-tame</w:t>
            </w:r>
            <w:r w:rsidR="00932C43" w:rsidRPr="0086412E">
              <w:rPr>
                <w:rFonts w:ascii="Arial" w:hAnsi="Arial" w:cs="Arial"/>
                <w:spacing w:val="-2"/>
              </w:rPr>
              <w:t xml:space="preserve"> </w:t>
            </w:r>
            <w:r w:rsidR="00932C43" w:rsidRPr="0086412E">
              <w:rPr>
                <w:rFonts w:ascii="Arial" w:hAnsi="Arial" w:cs="Arial"/>
              </w:rPr>
              <w:t>punkte</w:t>
            </w:r>
            <w:r w:rsidR="00932C43" w:rsidRPr="0086412E">
              <w:rPr>
                <w:rFonts w:ascii="Arial" w:hAnsi="Arial" w:cs="Arial"/>
                <w:spacing w:val="-4"/>
              </w:rPr>
              <w:t xml:space="preserve"> </w:t>
            </w:r>
            <w:r w:rsidR="00932C43" w:rsidRPr="0086412E">
              <w:rPr>
                <w:rFonts w:ascii="Arial" w:hAnsi="Arial" w:cs="Arial"/>
                <w:spacing w:val="-2"/>
              </w:rPr>
              <w:t>pageidaujama:</w:t>
            </w:r>
            <w:r w:rsidR="00F60712" w:rsidRPr="0086412E">
              <w:rPr>
                <w:rFonts w:ascii="Arial" w:hAnsi="Arial" w:cs="Arial"/>
                <w:spacing w:val="-2"/>
              </w:rPr>
              <w:t xml:space="preserve"> </w:t>
            </w:r>
            <w:r w:rsidR="00932C43" w:rsidRPr="0086412E">
              <w:rPr>
                <w:rFonts w:ascii="Arial" w:hAnsi="Arial" w:cs="Arial"/>
              </w:rPr>
              <w:t xml:space="preserve">„Galimybė </w:t>
            </w:r>
            <w:proofErr w:type="spellStart"/>
            <w:r w:rsidR="00932C43" w:rsidRPr="0086412E">
              <w:rPr>
                <w:rFonts w:ascii="Arial" w:hAnsi="Arial" w:cs="Arial"/>
              </w:rPr>
              <w:t>termostatuoti</w:t>
            </w:r>
            <w:proofErr w:type="spellEnd"/>
            <w:r w:rsidR="00932C43" w:rsidRPr="0086412E">
              <w:rPr>
                <w:rFonts w:ascii="Arial" w:hAnsi="Arial" w:cs="Arial"/>
              </w:rPr>
              <w:t xml:space="preserve"> </w:t>
            </w:r>
            <w:r w:rsidR="00932C43" w:rsidRPr="0086412E">
              <w:rPr>
                <w:rFonts w:ascii="Arial" w:hAnsi="Arial" w:cs="Arial"/>
                <w:spacing w:val="-2"/>
              </w:rPr>
              <w:t>kolonėles</w:t>
            </w:r>
            <w:r w:rsidR="00932C43" w:rsidRPr="0086412E">
              <w:rPr>
                <w:rFonts w:ascii="Arial" w:hAnsi="Arial" w:cs="Arial"/>
                <w:spacing w:val="-5"/>
              </w:rPr>
              <w:t xml:space="preserve"> </w:t>
            </w:r>
            <w:r w:rsidR="00932C43" w:rsidRPr="0086412E">
              <w:rPr>
                <w:rFonts w:ascii="Arial" w:hAnsi="Arial" w:cs="Arial"/>
                <w:spacing w:val="-2"/>
              </w:rPr>
              <w:t xml:space="preserve">temperatūros </w:t>
            </w:r>
            <w:r w:rsidR="00932C43" w:rsidRPr="0086412E">
              <w:rPr>
                <w:rFonts w:ascii="Arial" w:hAnsi="Arial" w:cs="Arial"/>
              </w:rPr>
              <w:t xml:space="preserve">diapazone nuo 10 iki 120 °C“. </w:t>
            </w:r>
            <w:r w:rsidR="00932C43" w:rsidRPr="0086412E">
              <w:rPr>
                <w:rFonts w:ascii="Arial" w:hAnsi="Arial" w:cs="Arial"/>
                <w:spacing w:val="-8"/>
              </w:rPr>
              <w:t>Dėl</w:t>
            </w:r>
            <w:r w:rsidR="00932C43" w:rsidRPr="0086412E">
              <w:rPr>
                <w:rFonts w:ascii="Arial" w:hAnsi="Arial" w:cs="Arial"/>
                <w:spacing w:val="-4"/>
              </w:rPr>
              <w:t xml:space="preserve"> </w:t>
            </w:r>
            <w:r w:rsidR="00932C43" w:rsidRPr="0086412E">
              <w:rPr>
                <w:rFonts w:ascii="Arial" w:hAnsi="Arial" w:cs="Arial"/>
                <w:spacing w:val="-8"/>
              </w:rPr>
              <w:t>temperatūros</w:t>
            </w:r>
            <w:r w:rsidR="00932C43" w:rsidRPr="0086412E">
              <w:rPr>
                <w:rFonts w:ascii="Arial" w:hAnsi="Arial" w:cs="Arial"/>
                <w:spacing w:val="-3"/>
              </w:rPr>
              <w:t xml:space="preserve"> </w:t>
            </w:r>
            <w:r w:rsidR="00932C43" w:rsidRPr="0086412E">
              <w:rPr>
                <w:rFonts w:ascii="Arial" w:hAnsi="Arial" w:cs="Arial"/>
                <w:spacing w:val="-8"/>
              </w:rPr>
              <w:t>intervalo</w:t>
            </w:r>
            <w:r w:rsidR="00932C43" w:rsidRPr="0086412E">
              <w:rPr>
                <w:rFonts w:ascii="Arial" w:hAnsi="Arial" w:cs="Arial"/>
                <w:spacing w:val="-3"/>
              </w:rPr>
              <w:t xml:space="preserve"> </w:t>
            </w:r>
            <w:r w:rsidR="00932C43" w:rsidRPr="0086412E">
              <w:rPr>
                <w:rFonts w:ascii="Arial" w:hAnsi="Arial" w:cs="Arial"/>
                <w:spacing w:val="-8"/>
              </w:rPr>
              <w:t xml:space="preserve">kyla </w:t>
            </w:r>
            <w:r w:rsidR="00932C43" w:rsidRPr="0086412E">
              <w:rPr>
                <w:rFonts w:ascii="Arial" w:hAnsi="Arial" w:cs="Arial"/>
              </w:rPr>
              <w:t>klausimų su kokiomis analitinėmis kolonomis bus dirbama jei reikalaujamas toks intervalas? Dažniausiai naudojamas intervalas yra nuo 10 iki 80 °C, nes analitinės kolonėlės retai kada gali</w:t>
            </w:r>
            <w:r w:rsidR="00F60712" w:rsidRPr="0086412E">
              <w:rPr>
                <w:rFonts w:ascii="Arial" w:hAnsi="Arial" w:cs="Arial"/>
              </w:rPr>
              <w:t xml:space="preserve"> </w:t>
            </w:r>
            <w:r w:rsidR="00932C43" w:rsidRPr="0086412E">
              <w:rPr>
                <w:rFonts w:ascii="Arial" w:hAnsi="Arial" w:cs="Arial"/>
              </w:rPr>
              <w:t xml:space="preserve">palaikyti aukštesnę temperatūrą. </w:t>
            </w:r>
            <w:r w:rsidR="00031229" w:rsidRPr="0086412E">
              <w:rPr>
                <w:rFonts w:ascii="Arial" w:hAnsi="Arial" w:cs="Arial"/>
              </w:rPr>
              <w:t xml:space="preserve">Rekomenduojame keisti parametrą: Galimybė </w:t>
            </w:r>
            <w:proofErr w:type="spellStart"/>
            <w:r w:rsidR="00031229" w:rsidRPr="0086412E">
              <w:rPr>
                <w:rFonts w:ascii="Arial" w:hAnsi="Arial" w:cs="Arial"/>
              </w:rPr>
              <w:t>termostatuoti</w:t>
            </w:r>
            <w:proofErr w:type="spellEnd"/>
            <w:r w:rsidR="00031229" w:rsidRPr="0086412E">
              <w:rPr>
                <w:rFonts w:ascii="Arial" w:hAnsi="Arial" w:cs="Arial"/>
              </w:rPr>
              <w:t xml:space="preserve"> kolonėles temperatūros diapazone nuo 10 iki 80 °C. Tai nesusiaurins tyrimų galimybių, bet padidins konkurenciją.</w:t>
            </w:r>
          </w:p>
        </w:tc>
        <w:tc>
          <w:tcPr>
            <w:tcW w:w="8079" w:type="dxa"/>
          </w:tcPr>
          <w:p w14:paraId="47DB59EB" w14:textId="5108F0FC" w:rsidR="00F45142" w:rsidRPr="00DE3ADB" w:rsidRDefault="000B017D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Patikslintas reikalavimas - </w:t>
            </w:r>
            <w:r w:rsidR="00276A7A" w:rsidRPr="00DE3ADB">
              <w:rPr>
                <w:rFonts w:ascii="Arial" w:hAnsi="Arial" w:cs="Arial"/>
              </w:rPr>
              <w:t>„</w:t>
            </w:r>
            <w:r w:rsidR="00D25136" w:rsidRPr="00DE3ADB">
              <w:rPr>
                <w:rFonts w:ascii="Arial" w:hAnsi="Arial" w:cs="Arial"/>
              </w:rPr>
              <w:t xml:space="preserve">Galimybė </w:t>
            </w:r>
            <w:proofErr w:type="spellStart"/>
            <w:r w:rsidR="00D25136" w:rsidRPr="00DE3ADB">
              <w:rPr>
                <w:rFonts w:ascii="Arial" w:hAnsi="Arial" w:cs="Arial"/>
              </w:rPr>
              <w:t>termostatuoti</w:t>
            </w:r>
            <w:proofErr w:type="spellEnd"/>
            <w:r w:rsidR="00D25136" w:rsidRPr="00DE3ADB">
              <w:rPr>
                <w:rFonts w:ascii="Arial" w:hAnsi="Arial" w:cs="Arial"/>
              </w:rPr>
              <w:t xml:space="preserve"> kolonėles temperatūros diapazone nuo 10 iki 100 °C.</w:t>
            </w:r>
            <w:r w:rsidR="00276A7A" w:rsidRPr="00DE3ADB">
              <w:rPr>
                <w:rFonts w:ascii="Arial" w:hAnsi="Arial" w:cs="Arial"/>
              </w:rPr>
              <w:t xml:space="preserve">“, </w:t>
            </w:r>
            <w:r w:rsidR="009F4381" w:rsidRPr="00DE3ADB">
              <w:rPr>
                <w:rFonts w:ascii="Arial" w:hAnsi="Arial" w:cs="Arial"/>
              </w:rPr>
              <w:t>detaliau prašome žiūrėti pridedamą TS.</w:t>
            </w:r>
          </w:p>
        </w:tc>
      </w:tr>
      <w:tr w:rsidR="00F45142" w:rsidRPr="0086412E" w14:paraId="1ACE7A98" w14:textId="77777777" w:rsidTr="004B1BB4">
        <w:trPr>
          <w:jc w:val="center"/>
        </w:trPr>
        <w:tc>
          <w:tcPr>
            <w:tcW w:w="7225" w:type="dxa"/>
          </w:tcPr>
          <w:p w14:paraId="18CA5A76" w14:textId="711D0EA3" w:rsidR="009103F6" w:rsidRPr="0086412E" w:rsidRDefault="00031229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7. </w:t>
            </w:r>
            <w:r w:rsidR="00F60712" w:rsidRPr="0086412E">
              <w:rPr>
                <w:rFonts w:ascii="Arial" w:hAnsi="Arial" w:cs="Arial"/>
              </w:rPr>
              <w:t xml:space="preserve">11-tame punkte pageidaujama: „Programinė įranga turi būti suderinama su </w:t>
            </w:r>
            <w:proofErr w:type="spellStart"/>
            <w:r w:rsidR="00F60712" w:rsidRPr="0086412E">
              <w:rPr>
                <w:rFonts w:ascii="Arial" w:hAnsi="Arial" w:cs="Arial"/>
              </w:rPr>
              <w:t>Chromeleon</w:t>
            </w:r>
            <w:proofErr w:type="spellEnd"/>
            <w:r w:rsidR="00F60712" w:rsidRPr="0086412E">
              <w:rPr>
                <w:rFonts w:ascii="Arial" w:hAnsi="Arial" w:cs="Arial"/>
              </w:rPr>
              <w:t xml:space="preserve"> 6.5 failais (nuskaityti išvesties duomenų failus).“ Ar bus tinkama sistema suderinama su </w:t>
            </w:r>
            <w:proofErr w:type="spellStart"/>
            <w:r w:rsidR="00F60712" w:rsidRPr="0086412E">
              <w:rPr>
                <w:rFonts w:ascii="Arial" w:hAnsi="Arial" w:cs="Arial"/>
              </w:rPr>
              <w:t>Chromelion</w:t>
            </w:r>
            <w:proofErr w:type="spellEnd"/>
            <w:r w:rsidR="00F60712" w:rsidRPr="0086412E">
              <w:rPr>
                <w:rFonts w:ascii="Arial" w:hAnsi="Arial" w:cs="Arial"/>
              </w:rPr>
              <w:t xml:space="preserve"> 7.2 programine įranga?</w:t>
            </w:r>
          </w:p>
          <w:p w14:paraId="774EBFAF" w14:textId="5D67DA72" w:rsidR="00F45142" w:rsidRPr="0086412E" w:rsidRDefault="00F45142" w:rsidP="00F60712">
            <w:pPr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8079" w:type="dxa"/>
          </w:tcPr>
          <w:p w14:paraId="49D0014D" w14:textId="24FB74E2" w:rsidR="00126637" w:rsidRPr="00DE3ADB" w:rsidRDefault="000B017D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Patikslintas reikalavimas - </w:t>
            </w:r>
            <w:r w:rsidR="00276A7A" w:rsidRPr="00DE3ADB">
              <w:rPr>
                <w:rFonts w:ascii="Arial" w:hAnsi="Arial" w:cs="Arial"/>
              </w:rPr>
              <w:t>„</w:t>
            </w:r>
            <w:r w:rsidR="00126637" w:rsidRPr="00DE3ADB">
              <w:rPr>
                <w:rFonts w:ascii="Arial" w:hAnsi="Arial" w:cs="Arial"/>
              </w:rPr>
              <w:t>Licencijos bent vienam instrumentui ir vienam klientui (su nuotolinio valdymo galimybe), įskaitant spektrinę analizę, ataskaitų kūrimą ir frakcijų rinkimą.</w:t>
            </w:r>
          </w:p>
          <w:p w14:paraId="231C96B6" w14:textId="79577A28" w:rsidR="00F45142" w:rsidRPr="00DE3ADB" w:rsidRDefault="00126637" w:rsidP="00E005F7">
            <w:pPr>
              <w:pStyle w:val="ListParagraph"/>
              <w:spacing w:after="120"/>
              <w:ind w:left="252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Programinė įranga turi būti suderinama su </w:t>
            </w:r>
            <w:proofErr w:type="spellStart"/>
            <w:r w:rsidRPr="00DE3ADB">
              <w:rPr>
                <w:rFonts w:ascii="Arial" w:hAnsi="Arial" w:cs="Arial"/>
              </w:rPr>
              <w:t>Chromeleon</w:t>
            </w:r>
            <w:proofErr w:type="spellEnd"/>
            <w:r w:rsidRPr="00DE3ADB">
              <w:rPr>
                <w:rFonts w:ascii="Arial" w:hAnsi="Arial" w:cs="Arial"/>
              </w:rPr>
              <w:t xml:space="preserve"> 6.5 failais (nuskaityti išvesties duomenų failus) arba turi būti įgyvendintas sprendimas visų istorinių </w:t>
            </w:r>
            <w:proofErr w:type="spellStart"/>
            <w:r w:rsidRPr="00DE3ADB">
              <w:rPr>
                <w:rFonts w:ascii="Arial" w:hAnsi="Arial" w:cs="Arial"/>
              </w:rPr>
              <w:t>Chromeleon</w:t>
            </w:r>
            <w:proofErr w:type="spellEnd"/>
            <w:r w:rsidRPr="00DE3ADB">
              <w:rPr>
                <w:rFonts w:ascii="Arial" w:hAnsi="Arial" w:cs="Arial"/>
              </w:rPr>
              <w:t xml:space="preserve"> 6.5 </w:t>
            </w:r>
            <w:proofErr w:type="spellStart"/>
            <w:r w:rsidRPr="00DE3ADB">
              <w:rPr>
                <w:rFonts w:ascii="Arial" w:hAnsi="Arial" w:cs="Arial"/>
              </w:rPr>
              <w:t>chromatogramų</w:t>
            </w:r>
            <w:proofErr w:type="spellEnd"/>
            <w:r w:rsidRPr="00DE3ADB">
              <w:rPr>
                <w:rFonts w:ascii="Arial" w:hAnsi="Arial" w:cs="Arial"/>
              </w:rPr>
              <w:t xml:space="preserve"> duomenų perkėlimui ir analizavimui analogiškoje platformoje</w:t>
            </w:r>
            <w:r w:rsidR="00276A7A" w:rsidRPr="00DE3ADB">
              <w:rPr>
                <w:rFonts w:ascii="Arial" w:hAnsi="Arial" w:cs="Arial"/>
              </w:rPr>
              <w:t xml:space="preserve">“, </w:t>
            </w:r>
            <w:r w:rsidR="000B017D" w:rsidRPr="00DE3ADB">
              <w:rPr>
                <w:rFonts w:ascii="Arial" w:hAnsi="Arial" w:cs="Arial"/>
              </w:rPr>
              <w:t>detaliau prašome žiūrėti pridedamą TS.</w:t>
            </w:r>
          </w:p>
        </w:tc>
      </w:tr>
      <w:tr w:rsidR="002E2706" w:rsidRPr="0086412E" w14:paraId="601678C2" w14:textId="77777777" w:rsidTr="004B1BB4">
        <w:trPr>
          <w:jc w:val="center"/>
        </w:trPr>
        <w:tc>
          <w:tcPr>
            <w:tcW w:w="7225" w:type="dxa"/>
          </w:tcPr>
          <w:p w14:paraId="458F5699" w14:textId="1ADDDF0A" w:rsidR="002E2706" w:rsidRPr="0086412E" w:rsidRDefault="007E6A2A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8. </w:t>
            </w:r>
            <w:r w:rsidR="0036665B" w:rsidRPr="0086412E">
              <w:rPr>
                <w:rFonts w:ascii="Arial" w:hAnsi="Arial" w:cs="Arial"/>
              </w:rPr>
              <w:t>Siūlome papildomai įtraukti reikalavimą tiekėjui turėti gamintojo apmokytą serviso inžinierių, kuris apmokytas remontuoti ir prižiūrėti siūlomą įrangą. Tokiu būdų suteikiamos serviso paslaugos būtų ženkliai pigesnės ir greičiau suteikiamos.</w:t>
            </w:r>
          </w:p>
        </w:tc>
        <w:tc>
          <w:tcPr>
            <w:tcW w:w="8079" w:type="dxa"/>
          </w:tcPr>
          <w:p w14:paraId="26FA0174" w14:textId="4FA1C1F4" w:rsidR="004F4218" w:rsidRPr="00DE3ADB" w:rsidRDefault="00FF1B57" w:rsidP="00753EB1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Patikslintas reikalavimas - </w:t>
            </w:r>
            <w:r w:rsidR="00A077EB" w:rsidRPr="00DE3ADB">
              <w:rPr>
                <w:rFonts w:ascii="Arial" w:hAnsi="Arial" w:cs="Arial"/>
              </w:rPr>
              <w:t xml:space="preserve">„Garantiniu laikotarpiu tiekėjas turi turėti gamintojo ar jo atstovo sertifikuotą serviso inžinierių, kuris apmokytas remontuoti ir prižiūrėti siūlomą įrangą“, </w:t>
            </w:r>
            <w:r w:rsidRPr="00DE3ADB">
              <w:rPr>
                <w:rFonts w:ascii="Arial" w:hAnsi="Arial" w:cs="Arial"/>
              </w:rPr>
              <w:t>detaliau prašome žiūrėti pridedamą TS.</w:t>
            </w:r>
          </w:p>
        </w:tc>
      </w:tr>
      <w:tr w:rsidR="007E6A2A" w:rsidRPr="0086412E" w14:paraId="59CCAABD" w14:textId="77777777" w:rsidTr="004B1BB4">
        <w:trPr>
          <w:jc w:val="center"/>
        </w:trPr>
        <w:tc>
          <w:tcPr>
            <w:tcW w:w="7225" w:type="dxa"/>
          </w:tcPr>
          <w:p w14:paraId="2CCDD88F" w14:textId="17EB1D87" w:rsidR="007E6A2A" w:rsidRPr="0086412E" w:rsidRDefault="007E6A2A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9. Skirtas tinkamam 4 fazių sumaišymui (maišytuvo tūris arba </w:t>
            </w:r>
            <w:proofErr w:type="spellStart"/>
            <w:r w:rsidRPr="0086412E">
              <w:rPr>
                <w:rFonts w:ascii="Arial" w:hAnsi="Arial" w:cs="Arial"/>
              </w:rPr>
              <w:t>delay</w:t>
            </w:r>
            <w:proofErr w:type="spellEnd"/>
            <w:r w:rsidRPr="0086412E">
              <w:rPr>
                <w:rFonts w:ascii="Arial" w:hAnsi="Arial" w:cs="Arial"/>
              </w:rPr>
              <w:t xml:space="preserve"> </w:t>
            </w:r>
            <w:proofErr w:type="spellStart"/>
            <w:r w:rsidRPr="0086412E">
              <w:rPr>
                <w:rFonts w:ascii="Arial" w:hAnsi="Arial" w:cs="Arial"/>
              </w:rPr>
              <w:t>volume</w:t>
            </w:r>
            <w:proofErr w:type="spellEnd"/>
            <w:r w:rsidRPr="0086412E">
              <w:rPr>
                <w:rFonts w:ascii="Arial" w:hAnsi="Arial" w:cs="Arial"/>
              </w:rPr>
              <w:t xml:space="preserve"> 350 </w:t>
            </w:r>
            <w:proofErr w:type="spellStart"/>
            <w:r w:rsidRPr="0086412E">
              <w:rPr>
                <w:rFonts w:ascii="Arial" w:hAnsi="Arial" w:cs="Arial"/>
              </w:rPr>
              <w:t>μl</w:t>
            </w:r>
            <w:proofErr w:type="spellEnd"/>
            <w:r w:rsidRPr="0086412E">
              <w:rPr>
                <w:rFonts w:ascii="Arial" w:hAnsi="Arial" w:cs="Arial"/>
              </w:rPr>
              <w:t xml:space="preserve">). pH diapazonas – 1 – 12.5. </w:t>
            </w:r>
            <w:proofErr w:type="spellStart"/>
            <w:r w:rsidRPr="0086412E">
              <w:rPr>
                <w:rFonts w:ascii="Arial" w:hAnsi="Arial" w:cs="Arial"/>
              </w:rPr>
              <w:t>Eliuentų</w:t>
            </w:r>
            <w:proofErr w:type="spellEnd"/>
            <w:r w:rsidRPr="0086412E">
              <w:rPr>
                <w:rFonts w:ascii="Arial" w:hAnsi="Arial" w:cs="Arial"/>
              </w:rPr>
              <w:t xml:space="preserve"> maišymo koncentracijos  tikslumas – 0,4% visoje skalėje.</w:t>
            </w:r>
          </w:p>
        </w:tc>
        <w:tc>
          <w:tcPr>
            <w:tcW w:w="8079" w:type="dxa"/>
          </w:tcPr>
          <w:p w14:paraId="5DA72FD0" w14:textId="77777777" w:rsidR="007E6A2A" w:rsidRPr="00DE3ADB" w:rsidRDefault="006B611F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 xml:space="preserve">Maišytuvo reikalavimas nekeičiamas: „Skirtas tinkamam 4 fazių sumaišymui (maišytuvo tūris ne mažesnis kaip 400 </w:t>
            </w:r>
            <w:proofErr w:type="spellStart"/>
            <w:r w:rsidRPr="00DE3ADB">
              <w:rPr>
                <w:rFonts w:ascii="Arial" w:hAnsi="Arial" w:cs="Arial"/>
              </w:rPr>
              <w:t>μl</w:t>
            </w:r>
            <w:proofErr w:type="spellEnd"/>
            <w:r w:rsidRPr="00DE3ADB">
              <w:rPr>
                <w:rFonts w:ascii="Arial" w:hAnsi="Arial" w:cs="Arial"/>
              </w:rPr>
              <w:t xml:space="preserve">). pH diapazonas – ne mažesnis kaip 2–12.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Eliuentų</w:t>
            </w:r>
            <w:proofErr w:type="spellEnd"/>
            <w:r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maišymo</w:t>
            </w:r>
            <w:proofErr w:type="spellEnd"/>
            <w:r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DE3ADB">
              <w:rPr>
                <w:rFonts w:ascii="Arial" w:eastAsia="Times New Roman" w:hAnsi="Arial" w:cs="Arial"/>
                <w:lang w:val="en-US"/>
              </w:rPr>
              <w:t>koncentracijos</w:t>
            </w:r>
            <w:proofErr w:type="spellEnd"/>
            <w:r w:rsidRPr="00DE3ADB">
              <w:rPr>
                <w:rFonts w:ascii="Arial" w:eastAsia="Times New Roman" w:hAnsi="Arial" w:cs="Arial"/>
                <w:lang w:val="en-US"/>
              </w:rPr>
              <w:t xml:space="preserve"> 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tikslumas</w:t>
            </w:r>
            <w:proofErr w:type="spellEnd"/>
            <w:proofErr w:type="gramEnd"/>
            <w:r w:rsidRPr="00DE3ADB">
              <w:rPr>
                <w:rFonts w:ascii="Arial" w:eastAsia="Times New Roman" w:hAnsi="Arial" w:cs="Arial"/>
                <w:lang w:val="en-US"/>
              </w:rPr>
              <w:t xml:space="preserve"> – ne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mažesnis</w:t>
            </w:r>
            <w:proofErr w:type="spellEnd"/>
            <w:r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nei</w:t>
            </w:r>
            <w:proofErr w:type="spellEnd"/>
            <w:r w:rsidRPr="00DE3ADB">
              <w:rPr>
                <w:rFonts w:ascii="Arial" w:eastAsia="Times New Roman" w:hAnsi="Arial" w:cs="Arial"/>
                <w:lang w:val="en-US"/>
              </w:rPr>
              <w:t xml:space="preserve"> ± 0,5%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visoje</w:t>
            </w:r>
            <w:proofErr w:type="spellEnd"/>
            <w:r w:rsidRPr="00DE3ADB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DE3ADB">
              <w:rPr>
                <w:rFonts w:ascii="Arial" w:eastAsia="Times New Roman" w:hAnsi="Arial" w:cs="Arial"/>
                <w:lang w:val="en-US"/>
              </w:rPr>
              <w:t>skalėje</w:t>
            </w:r>
            <w:proofErr w:type="spellEnd"/>
            <w:r w:rsidRPr="00DE3ADB">
              <w:rPr>
                <w:rFonts w:ascii="Arial" w:hAnsi="Arial" w:cs="Arial"/>
              </w:rPr>
              <w:t>“.</w:t>
            </w:r>
          </w:p>
          <w:p w14:paraId="6FF9B61F" w14:textId="3954C0A9" w:rsidR="006B611F" w:rsidRPr="00DE3ADB" w:rsidRDefault="006B611F" w:rsidP="006B611F">
            <w:pPr>
              <w:pStyle w:val="ListParagraph"/>
              <w:spacing w:after="120"/>
              <w:ind w:left="252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>Rinkoje yra ne viena sistema, kuri gali užtikrinti šio reikalavimo funkcionalumą.</w:t>
            </w:r>
          </w:p>
        </w:tc>
      </w:tr>
      <w:tr w:rsidR="002E2706" w:rsidRPr="0086412E" w14:paraId="0475879C" w14:textId="77777777" w:rsidTr="004B1BB4">
        <w:trPr>
          <w:jc w:val="center"/>
        </w:trPr>
        <w:tc>
          <w:tcPr>
            <w:tcW w:w="7225" w:type="dxa"/>
          </w:tcPr>
          <w:p w14:paraId="5D14A1E8" w14:textId="1590B799" w:rsidR="001878EC" w:rsidRPr="0086412E" w:rsidRDefault="007E6A2A" w:rsidP="001878EC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lastRenderedPageBreak/>
              <w:t xml:space="preserve">10. </w:t>
            </w:r>
            <w:r w:rsidR="00946AF1" w:rsidRPr="0086412E">
              <w:rPr>
                <w:rFonts w:ascii="Arial" w:hAnsi="Arial" w:cs="Arial"/>
              </w:rPr>
              <w:t xml:space="preserve">Tėkmės greitis. </w:t>
            </w:r>
            <w:r w:rsidR="001878EC" w:rsidRPr="0086412E">
              <w:rPr>
                <w:rFonts w:ascii="Arial" w:hAnsi="Arial" w:cs="Arial"/>
              </w:rPr>
              <w:t>Palaikomas 0,001 – 5 ml/min intervale su 0,001 ml/min reguliavimo intervalais. Tėkmės greičio tikslumas – 1 %. Tėkmės greičio preciziškumas – 0.01 min SD (standartinis nuokrypis).</w:t>
            </w:r>
          </w:p>
          <w:p w14:paraId="2ED49950" w14:textId="00D20D09" w:rsidR="002E2706" w:rsidRPr="0086412E" w:rsidRDefault="001878EC" w:rsidP="001878EC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Siūlomo srauto intervalas pilnai pakankamas analitinei chromatografijai, ypatingai dirbant su aukšto slėgio analizėmis. Siūlome reikalavimą susiaurinti iki 0,001–5ml/min.</w:t>
            </w:r>
          </w:p>
        </w:tc>
        <w:tc>
          <w:tcPr>
            <w:tcW w:w="8079" w:type="dxa"/>
          </w:tcPr>
          <w:p w14:paraId="2D0A6FF3" w14:textId="0A08D576" w:rsidR="002E2706" w:rsidRPr="00DE3ADB" w:rsidRDefault="00FF1B57" w:rsidP="006B611F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>Patikslintas reikalavimas – „</w:t>
            </w:r>
            <w:r w:rsidR="0073055D" w:rsidRPr="00DE3ADB">
              <w:rPr>
                <w:rFonts w:ascii="Arial" w:hAnsi="Arial" w:cs="Arial"/>
              </w:rPr>
              <w:t>Palaikomas ne mažesniame nei 0,001–58ml/min intervale su 0,001 ml/min reguliavimo intervalais. Tėkmės greičio tikslumas – ne mažesnis nei ±0.5 %. Tėkmės greičio preciziškumas – ne didesnis nei ˂ 0,05% RSD (santykinis standartinis nuokrypis), arba 0.01 min SD (standartinis nuokrypis)</w:t>
            </w:r>
            <w:r w:rsidRPr="00DE3ADB">
              <w:rPr>
                <w:rFonts w:ascii="Arial" w:hAnsi="Arial" w:cs="Arial"/>
              </w:rPr>
              <w:t>“, detaliau prašome žiūrėti pridedamą TS.</w:t>
            </w:r>
          </w:p>
        </w:tc>
      </w:tr>
      <w:tr w:rsidR="002E2706" w:rsidRPr="0086412E" w14:paraId="22E6CA26" w14:textId="77777777" w:rsidTr="004B1BB4">
        <w:trPr>
          <w:jc w:val="center"/>
        </w:trPr>
        <w:tc>
          <w:tcPr>
            <w:tcW w:w="7225" w:type="dxa"/>
          </w:tcPr>
          <w:p w14:paraId="08F92919" w14:textId="1E61038F" w:rsidR="00BC4C52" w:rsidRPr="0086412E" w:rsidRDefault="00305CA4" w:rsidP="00305CA4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11.</w:t>
            </w:r>
            <w:r w:rsidR="00520274" w:rsidRPr="0086412E">
              <w:rPr>
                <w:rFonts w:ascii="Arial" w:hAnsi="Arial" w:cs="Arial"/>
              </w:rPr>
              <w:t xml:space="preserve"> Bandinių </w:t>
            </w:r>
            <w:proofErr w:type="spellStart"/>
            <w:r w:rsidR="00520274" w:rsidRPr="0086412E">
              <w:rPr>
                <w:rFonts w:ascii="Arial" w:hAnsi="Arial" w:cs="Arial"/>
              </w:rPr>
              <w:t>injektorius</w:t>
            </w:r>
            <w:proofErr w:type="spellEnd"/>
            <w:r w:rsidR="00520274" w:rsidRPr="0086412E">
              <w:rPr>
                <w:rFonts w:ascii="Arial" w:hAnsi="Arial" w:cs="Arial"/>
              </w:rPr>
              <w:t>.</w:t>
            </w:r>
          </w:p>
          <w:p w14:paraId="1CC66CD7" w14:textId="16064105" w:rsidR="00305CA4" w:rsidRPr="0086412E" w:rsidRDefault="00305CA4" w:rsidP="00305CA4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 a)</w:t>
            </w:r>
            <w:r w:rsidRPr="0086412E">
              <w:rPr>
                <w:rFonts w:ascii="Arial" w:hAnsi="Arial" w:cs="Arial"/>
              </w:rPr>
              <w:tab/>
              <w:t>Injekcijos tikslumas nespecifikuojamas.</w:t>
            </w:r>
          </w:p>
          <w:p w14:paraId="034A384B" w14:textId="77777777" w:rsidR="00305CA4" w:rsidRPr="0086412E" w:rsidRDefault="00305CA4" w:rsidP="00305CA4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b)</w:t>
            </w:r>
            <w:r w:rsidRPr="0086412E">
              <w:rPr>
                <w:rFonts w:ascii="Arial" w:hAnsi="Arial" w:cs="Arial"/>
              </w:rPr>
              <w:tab/>
              <w:t xml:space="preserve">Yra galimybė reguliuoti </w:t>
            </w:r>
            <w:proofErr w:type="spellStart"/>
            <w:r w:rsidRPr="0086412E">
              <w:rPr>
                <w:rFonts w:ascii="Arial" w:hAnsi="Arial" w:cs="Arial"/>
              </w:rPr>
              <w:t>injektuojamą</w:t>
            </w:r>
            <w:proofErr w:type="spellEnd"/>
            <w:r w:rsidRPr="0086412E">
              <w:rPr>
                <w:rFonts w:ascii="Arial" w:hAnsi="Arial" w:cs="Arial"/>
              </w:rPr>
              <w:t xml:space="preserve"> tūrį 0,1–100 </w:t>
            </w:r>
            <w:proofErr w:type="spellStart"/>
            <w:r w:rsidRPr="0086412E">
              <w:rPr>
                <w:rFonts w:ascii="Arial" w:hAnsi="Arial" w:cs="Arial"/>
              </w:rPr>
              <w:t>μl</w:t>
            </w:r>
            <w:proofErr w:type="spellEnd"/>
            <w:r w:rsidRPr="0086412E">
              <w:rPr>
                <w:rFonts w:ascii="Arial" w:hAnsi="Arial" w:cs="Arial"/>
              </w:rPr>
              <w:t xml:space="preserve"> diapazone;</w:t>
            </w:r>
          </w:p>
          <w:p w14:paraId="515E53F6" w14:textId="77777777" w:rsidR="00305CA4" w:rsidRPr="0086412E" w:rsidRDefault="00305CA4" w:rsidP="00305CA4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c)</w:t>
            </w:r>
            <w:r w:rsidRPr="0086412E">
              <w:rPr>
                <w:rFonts w:ascii="Arial" w:hAnsi="Arial" w:cs="Arial"/>
              </w:rPr>
              <w:tab/>
              <w:t>Mėginių aušinimas: reguliuojamas nuo 4 iki 40 ºC temperatūrų diapazone.</w:t>
            </w:r>
          </w:p>
          <w:p w14:paraId="158DC537" w14:textId="50D55DBB" w:rsidR="002E2706" w:rsidRPr="0086412E" w:rsidRDefault="00305CA4" w:rsidP="00305CA4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Injekcijos tikslumas nespecifikuojamas gamintojo, tačiau aktualesnis parametras yra injekcijos preciziškumas, kadangi tikslus absoliutus injekcijos tūris nėra tiek svarbus kiek injekcijos tūrio </w:t>
            </w:r>
            <w:proofErr w:type="spellStart"/>
            <w:r w:rsidRPr="0086412E">
              <w:rPr>
                <w:rFonts w:ascii="Arial" w:hAnsi="Arial" w:cs="Arial"/>
              </w:rPr>
              <w:t>atsikartojamumas</w:t>
            </w:r>
            <w:proofErr w:type="spellEnd"/>
            <w:r w:rsidRPr="0086412E">
              <w:rPr>
                <w:rFonts w:ascii="Arial" w:hAnsi="Arial" w:cs="Arial"/>
              </w:rPr>
              <w:t xml:space="preserve"> tarp analizių. Siūlytume injekcijos tikslumo parametrą pakeisti injekcijos preciziškumu, ką specifikuoja visi tokios įrangos gamintojai.</w:t>
            </w:r>
          </w:p>
        </w:tc>
        <w:tc>
          <w:tcPr>
            <w:tcW w:w="8079" w:type="dxa"/>
          </w:tcPr>
          <w:p w14:paraId="1F2D791F" w14:textId="77777777" w:rsidR="0040093C" w:rsidRPr="00DE3ADB" w:rsidRDefault="0040093C" w:rsidP="0040093C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>Injekcijos tikslumas yra svarbus rodiklis, kuris tiesiogiai veikia eksperimentinių rezultatų patikimumą, ypač vykdant tikslius ir pakartojamus tyrimus, kuriems reikalinga itin tiksliai dozuota mėginių dozė.</w:t>
            </w:r>
          </w:p>
          <w:p w14:paraId="4351BC86" w14:textId="1D7EA931" w:rsidR="0040093C" w:rsidRPr="00DE3ADB" w:rsidRDefault="0040093C" w:rsidP="0040093C">
            <w:pPr>
              <w:pStyle w:val="ListParagraph"/>
              <w:spacing w:after="120"/>
              <w:ind w:left="252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>Perkama sistema orientuota į galimybes, vykdant mokslinę veiklą, pasinaudoti pažangiausių technologijų teikiamais privalumais, todėl ir perkamo objekto parametrai turi atitikti kokybiškos ir pažangios tokio tipo įrangos savybes.</w:t>
            </w:r>
          </w:p>
          <w:p w14:paraId="7AD39ACE" w14:textId="155364CA" w:rsidR="002E2706" w:rsidRPr="00DE3ADB" w:rsidRDefault="002E2706" w:rsidP="0040093C">
            <w:pPr>
              <w:pStyle w:val="ListParagraph"/>
              <w:spacing w:after="120"/>
              <w:ind w:left="252"/>
              <w:jc w:val="both"/>
              <w:rPr>
                <w:rFonts w:ascii="Arial" w:hAnsi="Arial" w:cs="Arial"/>
              </w:rPr>
            </w:pPr>
          </w:p>
        </w:tc>
      </w:tr>
      <w:tr w:rsidR="002E2706" w:rsidRPr="0086412E" w14:paraId="4F3B9F3D" w14:textId="77777777" w:rsidTr="004B1BB4">
        <w:trPr>
          <w:jc w:val="center"/>
        </w:trPr>
        <w:tc>
          <w:tcPr>
            <w:tcW w:w="7225" w:type="dxa"/>
          </w:tcPr>
          <w:p w14:paraId="4BCA2DAE" w14:textId="77777777" w:rsidR="00BF00F9" w:rsidRPr="0086412E" w:rsidRDefault="00305CA4" w:rsidP="00BF00F9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12. </w:t>
            </w:r>
            <w:r w:rsidR="00BC4C52" w:rsidRPr="0086412E">
              <w:rPr>
                <w:rFonts w:ascii="Arial" w:hAnsi="Arial" w:cs="Arial"/>
              </w:rPr>
              <w:t>Automatinis mėgintuvėlių tipo atpažinimas</w:t>
            </w:r>
            <w:r w:rsidR="00520274" w:rsidRPr="0086412E">
              <w:rPr>
                <w:rFonts w:ascii="Arial" w:hAnsi="Arial" w:cs="Arial"/>
              </w:rPr>
              <w:t xml:space="preserve">. </w:t>
            </w:r>
          </w:p>
          <w:p w14:paraId="55CF1422" w14:textId="0C70506D" w:rsidR="00BF00F9" w:rsidRPr="0086412E" w:rsidRDefault="00BF00F9" w:rsidP="00BF00F9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a)</w:t>
            </w:r>
            <w:r w:rsidRPr="0086412E">
              <w:rPr>
                <w:rFonts w:ascii="Arial" w:hAnsi="Arial" w:cs="Arial"/>
              </w:rPr>
              <w:tab/>
              <w:t>Injekcijos tikslumas nespecifikuojamas.</w:t>
            </w:r>
          </w:p>
          <w:p w14:paraId="04444DB9" w14:textId="77777777" w:rsidR="00BF00F9" w:rsidRPr="0086412E" w:rsidRDefault="00BF00F9" w:rsidP="00BF00F9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b)</w:t>
            </w:r>
            <w:r w:rsidRPr="0086412E">
              <w:rPr>
                <w:rFonts w:ascii="Arial" w:hAnsi="Arial" w:cs="Arial"/>
              </w:rPr>
              <w:tab/>
              <w:t xml:space="preserve">Yra galimybė reguliuoti </w:t>
            </w:r>
            <w:proofErr w:type="spellStart"/>
            <w:r w:rsidRPr="0086412E">
              <w:rPr>
                <w:rFonts w:ascii="Arial" w:hAnsi="Arial" w:cs="Arial"/>
              </w:rPr>
              <w:t>injektuojamą</w:t>
            </w:r>
            <w:proofErr w:type="spellEnd"/>
            <w:r w:rsidRPr="0086412E">
              <w:rPr>
                <w:rFonts w:ascii="Arial" w:hAnsi="Arial" w:cs="Arial"/>
              </w:rPr>
              <w:t xml:space="preserve"> tūrį 0,1–100 </w:t>
            </w:r>
            <w:proofErr w:type="spellStart"/>
            <w:r w:rsidRPr="0086412E">
              <w:rPr>
                <w:rFonts w:ascii="Arial" w:hAnsi="Arial" w:cs="Arial"/>
              </w:rPr>
              <w:t>μl</w:t>
            </w:r>
            <w:proofErr w:type="spellEnd"/>
            <w:r w:rsidRPr="0086412E">
              <w:rPr>
                <w:rFonts w:ascii="Arial" w:hAnsi="Arial" w:cs="Arial"/>
              </w:rPr>
              <w:t xml:space="preserve"> diapazone;</w:t>
            </w:r>
          </w:p>
          <w:p w14:paraId="4B665EDD" w14:textId="77777777" w:rsidR="00BF00F9" w:rsidRPr="0086412E" w:rsidRDefault="00BF00F9" w:rsidP="00BF00F9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c)</w:t>
            </w:r>
            <w:r w:rsidRPr="0086412E">
              <w:rPr>
                <w:rFonts w:ascii="Arial" w:hAnsi="Arial" w:cs="Arial"/>
              </w:rPr>
              <w:tab/>
              <w:t>Mėginių aušinimas: reguliuojamas nuo 4 iki 40 ºC temperatūrų diapazone.</w:t>
            </w:r>
          </w:p>
          <w:p w14:paraId="31522804" w14:textId="77777777" w:rsidR="00BF00F9" w:rsidRPr="0086412E" w:rsidRDefault="00BF00F9" w:rsidP="00BF00F9">
            <w:pPr>
              <w:spacing w:after="120"/>
              <w:jc w:val="both"/>
              <w:rPr>
                <w:rFonts w:ascii="Arial" w:hAnsi="Arial" w:cs="Arial"/>
              </w:rPr>
            </w:pPr>
          </w:p>
          <w:p w14:paraId="5A16B808" w14:textId="37D5F23A" w:rsidR="002E2706" w:rsidRPr="0086412E" w:rsidRDefault="00BF00F9" w:rsidP="00BF00F9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Injekcijos tikslumas nespecifikuojamas gamintojo, tačiau aktualesnis parametras yra injekcijos preciziškumas, kadangi tikslus absoliutus injekcijos tūris nėra tiek svarbus kiek injekcijos tūrio </w:t>
            </w:r>
            <w:proofErr w:type="spellStart"/>
            <w:r w:rsidRPr="0086412E">
              <w:rPr>
                <w:rFonts w:ascii="Arial" w:hAnsi="Arial" w:cs="Arial"/>
              </w:rPr>
              <w:t>atsikartojamumas</w:t>
            </w:r>
            <w:proofErr w:type="spellEnd"/>
            <w:r w:rsidRPr="0086412E">
              <w:rPr>
                <w:rFonts w:ascii="Arial" w:hAnsi="Arial" w:cs="Arial"/>
              </w:rPr>
              <w:t xml:space="preserve"> tarp analizių. Siūlytume injekcijos tikslumo parametrą pakeisti injekcijos preciziškumu, ką specifikuoja visi tokios įrangos gamintojai.</w:t>
            </w:r>
          </w:p>
        </w:tc>
        <w:tc>
          <w:tcPr>
            <w:tcW w:w="8079" w:type="dxa"/>
          </w:tcPr>
          <w:p w14:paraId="349EE81E" w14:textId="26C36DED" w:rsidR="002E2706" w:rsidRPr="00DE3ADB" w:rsidRDefault="00B743FD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t xml:space="preserve"> </w:t>
            </w:r>
            <w:proofErr w:type="spellStart"/>
            <w:r w:rsidRPr="00DE3ADB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DE3A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E3ADB">
              <w:rPr>
                <w:rFonts w:ascii="Arial" w:hAnsi="Arial" w:cs="Arial"/>
                <w:lang w:val="en-US"/>
              </w:rPr>
              <w:t>žiūrėti</w:t>
            </w:r>
            <w:proofErr w:type="spellEnd"/>
            <w:r w:rsidRPr="00DE3AD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E3ADB">
              <w:rPr>
                <w:rFonts w:ascii="Arial" w:hAnsi="Arial" w:cs="Arial"/>
                <w:lang w:val="en-US"/>
              </w:rPr>
              <w:t>atsakymą</w:t>
            </w:r>
            <w:proofErr w:type="spellEnd"/>
            <w:r w:rsidRPr="00DE3ADB">
              <w:rPr>
                <w:rFonts w:ascii="Arial" w:hAnsi="Arial" w:cs="Arial"/>
                <w:lang w:val="en-US"/>
              </w:rPr>
              <w:t xml:space="preserve"> Nr. 11.</w:t>
            </w:r>
          </w:p>
        </w:tc>
      </w:tr>
      <w:tr w:rsidR="002E2706" w:rsidRPr="0086412E" w14:paraId="171355DA" w14:textId="77777777" w:rsidTr="004B1BB4">
        <w:trPr>
          <w:jc w:val="center"/>
        </w:trPr>
        <w:tc>
          <w:tcPr>
            <w:tcW w:w="7225" w:type="dxa"/>
          </w:tcPr>
          <w:p w14:paraId="535797CB" w14:textId="77777777" w:rsidR="002E0566" w:rsidRPr="0086412E" w:rsidRDefault="00BF00F9" w:rsidP="002E0566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13. </w:t>
            </w:r>
            <w:r w:rsidR="00F474CD" w:rsidRPr="0086412E">
              <w:rPr>
                <w:rFonts w:ascii="Arial" w:hAnsi="Arial" w:cs="Arial"/>
              </w:rPr>
              <w:t xml:space="preserve">Slėgio diapazonas. </w:t>
            </w:r>
            <w:r w:rsidR="002E0566" w:rsidRPr="0086412E">
              <w:rPr>
                <w:rFonts w:ascii="Arial" w:hAnsi="Arial" w:cs="Arial"/>
              </w:rPr>
              <w:t>Palaikomas slėgis iki 1300 bar esant tėkmės greičiui iki 2 ml/min ir palaikomas slėgis iki 800 bar esant tėkmės greičiui iki 5 ml/min.</w:t>
            </w:r>
          </w:p>
          <w:p w14:paraId="0DBBC33D" w14:textId="2A23231D" w:rsidR="002E2706" w:rsidRPr="0086412E" w:rsidRDefault="002E0566" w:rsidP="002E0566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lastRenderedPageBreak/>
              <w:t>Siūlome reikalavimą pakoreguoti atsižvelgiant į pastabas aukščiau. Tokiu būdų galime pasiūlyti aukštesnį slėgį palaikančią sistemą, kas yra svarbiau pikų rezoliucijai ir atskyrimui, nei platesnis srauto diapazonas.</w:t>
            </w:r>
          </w:p>
        </w:tc>
        <w:tc>
          <w:tcPr>
            <w:tcW w:w="8079" w:type="dxa"/>
          </w:tcPr>
          <w:p w14:paraId="773DC09E" w14:textId="06985ED1" w:rsidR="002E2706" w:rsidRPr="00DE3ADB" w:rsidRDefault="00CA2967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lastRenderedPageBreak/>
              <w:t>Prašome žiūrėti atsakymą Nr. 4.</w:t>
            </w:r>
          </w:p>
        </w:tc>
      </w:tr>
      <w:tr w:rsidR="002E2706" w:rsidRPr="0086412E" w14:paraId="7E2259F8" w14:textId="77777777" w:rsidTr="004B1BB4">
        <w:trPr>
          <w:jc w:val="center"/>
        </w:trPr>
        <w:tc>
          <w:tcPr>
            <w:tcW w:w="7225" w:type="dxa"/>
          </w:tcPr>
          <w:p w14:paraId="511417A9" w14:textId="77777777" w:rsidR="00A31238" w:rsidRPr="0086412E" w:rsidRDefault="002E0566" w:rsidP="00A31238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14. </w:t>
            </w:r>
            <w:r w:rsidR="00D61386" w:rsidRPr="0086412E">
              <w:rPr>
                <w:rFonts w:ascii="Arial" w:hAnsi="Arial" w:cs="Arial"/>
              </w:rPr>
              <w:t xml:space="preserve">Detektoriai. </w:t>
            </w:r>
            <w:r w:rsidR="00A31238" w:rsidRPr="0086412E">
              <w:rPr>
                <w:rFonts w:ascii="Arial" w:hAnsi="Arial" w:cs="Arial"/>
              </w:rPr>
              <w:t xml:space="preserve">a) PDA detektorius: Bangos ilgių intervalas 190 - 950 </w:t>
            </w:r>
            <w:proofErr w:type="spellStart"/>
            <w:r w:rsidR="00A31238" w:rsidRPr="0086412E">
              <w:rPr>
                <w:rFonts w:ascii="Arial" w:hAnsi="Arial" w:cs="Arial"/>
              </w:rPr>
              <w:t>nm</w:t>
            </w:r>
            <w:proofErr w:type="spellEnd"/>
            <w:r w:rsidR="00A31238" w:rsidRPr="0086412E">
              <w:rPr>
                <w:rFonts w:ascii="Arial" w:hAnsi="Arial" w:cs="Arial"/>
              </w:rPr>
              <w:t xml:space="preserve">; Vienalaikis </w:t>
            </w:r>
            <w:proofErr w:type="spellStart"/>
            <w:r w:rsidR="00A31238" w:rsidRPr="0086412E">
              <w:rPr>
                <w:rFonts w:ascii="Arial" w:hAnsi="Arial" w:cs="Arial"/>
              </w:rPr>
              <w:t>detektavimas</w:t>
            </w:r>
            <w:proofErr w:type="spellEnd"/>
            <w:r w:rsidR="00A31238" w:rsidRPr="0086412E">
              <w:rPr>
                <w:rFonts w:ascii="Arial" w:hAnsi="Arial" w:cs="Arial"/>
              </w:rPr>
              <w:t xml:space="preserve"> 8 skirtingais bangos ilgiais; PDA detektoriaus </w:t>
            </w:r>
            <w:proofErr w:type="spellStart"/>
            <w:r w:rsidR="00A31238" w:rsidRPr="0086412E">
              <w:rPr>
                <w:rFonts w:ascii="Arial" w:hAnsi="Arial" w:cs="Arial"/>
              </w:rPr>
              <w:t>linijiškumas</w:t>
            </w:r>
            <w:proofErr w:type="spellEnd"/>
            <w:r w:rsidR="00A31238" w:rsidRPr="0086412E">
              <w:rPr>
                <w:rFonts w:ascii="Arial" w:hAnsi="Arial" w:cs="Arial"/>
              </w:rPr>
              <w:t xml:space="preserve"> – ne mažesnis nei &lt;5% ties 2 AU; PDA detektoriaus palaikomas duomenų surinkimo greitis – 120 Hz įskaitant 3D duomenis.</w:t>
            </w:r>
          </w:p>
          <w:p w14:paraId="0ADC93A0" w14:textId="77777777" w:rsidR="00A31238" w:rsidRPr="0086412E" w:rsidRDefault="00A31238" w:rsidP="00A31238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Reikalaujamas 250 Hz duomenų surinkimas yra perteklinis, kadangi jis būtų naudojamas kai piko plotas būtų 0,004 sekundės. Toks taikymas realybėje nepasitaiko, todėl specifikacija ribojanti konkurenciją.</w:t>
            </w:r>
          </w:p>
          <w:p w14:paraId="7822AF5C" w14:textId="77777777" w:rsidR="00A31238" w:rsidRPr="0086412E" w:rsidRDefault="00A31238" w:rsidP="00A31238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b) Fluorescencijos detektorius: siūlomas lygiavertis sprendimas, kai PMT galima reguliuoti kiekvienam pikui atskirai nustatant pagal piko išėjimo laiką. </w:t>
            </w:r>
          </w:p>
          <w:p w14:paraId="6E2F8BC4" w14:textId="20A0ED95" w:rsidR="00A31238" w:rsidRPr="0086412E" w:rsidRDefault="00A31238" w:rsidP="00A31238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Aprašytas reikalavimas</w:t>
            </w:r>
            <w:r w:rsidR="00652085" w:rsidRPr="0086412E">
              <w:rPr>
                <w:rFonts w:ascii="Arial" w:hAnsi="Arial" w:cs="Arial"/>
              </w:rPr>
              <w:t xml:space="preserve"> </w:t>
            </w:r>
            <w:r w:rsidRPr="0086412E">
              <w:rPr>
                <w:rFonts w:ascii="Arial" w:hAnsi="Arial" w:cs="Arial"/>
              </w:rPr>
              <w:t xml:space="preserve">turėti du </w:t>
            </w:r>
            <w:proofErr w:type="spellStart"/>
            <w:r w:rsidRPr="0086412E">
              <w:rPr>
                <w:rFonts w:ascii="Arial" w:hAnsi="Arial" w:cs="Arial"/>
              </w:rPr>
              <w:t>fotodaugiklius</w:t>
            </w:r>
            <w:proofErr w:type="spellEnd"/>
            <w:r w:rsidRPr="0086412E">
              <w:rPr>
                <w:rFonts w:ascii="Arial" w:hAnsi="Arial" w:cs="Arial"/>
              </w:rPr>
              <w:t xml:space="preserve"> (PMT) labai specifiškai apibūdina prietaiso technologiją, bet ne reikalingą jo funkciją, todėl prašome papildyti reikalavimą leidžiant siūlyti lygiaverčius sprendimus.</w:t>
            </w:r>
          </w:p>
          <w:p w14:paraId="4C2A331D" w14:textId="158B2DBC" w:rsidR="002E2706" w:rsidRPr="0086412E" w:rsidRDefault="00A31238" w:rsidP="00A31238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Taip užtikrinant išplėstą bangos ilgių diapazoną iki 900 </w:t>
            </w:r>
            <w:proofErr w:type="spellStart"/>
            <w:r w:rsidRPr="0086412E">
              <w:rPr>
                <w:rFonts w:ascii="Arial" w:hAnsi="Arial" w:cs="Arial"/>
              </w:rPr>
              <w:t>nm</w:t>
            </w:r>
            <w:proofErr w:type="spellEnd"/>
            <w:r w:rsidRPr="0086412E">
              <w:rPr>
                <w:rFonts w:ascii="Arial" w:hAnsi="Arial" w:cs="Arial"/>
              </w:rPr>
              <w:t>, neprarandant jautrumo standartiniame bangos ilgių diapazone.</w:t>
            </w:r>
          </w:p>
        </w:tc>
        <w:tc>
          <w:tcPr>
            <w:tcW w:w="8079" w:type="dxa"/>
          </w:tcPr>
          <w:p w14:paraId="09F7AFDD" w14:textId="3464E5D5" w:rsidR="002E2706" w:rsidRPr="00DE3ADB" w:rsidRDefault="00CA2967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DE3ADB">
              <w:rPr>
                <w:rFonts w:ascii="Arial" w:hAnsi="Arial" w:cs="Arial"/>
              </w:rPr>
              <w:t>Prašome žiūrėti atsakymą Nr. 5.</w:t>
            </w:r>
          </w:p>
        </w:tc>
      </w:tr>
      <w:tr w:rsidR="002E2706" w:rsidRPr="0086412E" w14:paraId="31CF6F6A" w14:textId="77777777" w:rsidTr="004B1BB4">
        <w:trPr>
          <w:jc w:val="center"/>
        </w:trPr>
        <w:tc>
          <w:tcPr>
            <w:tcW w:w="7225" w:type="dxa"/>
          </w:tcPr>
          <w:p w14:paraId="01632DF5" w14:textId="59E8B554" w:rsidR="002E2706" w:rsidRPr="0086412E" w:rsidRDefault="00652085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15. </w:t>
            </w:r>
            <w:r w:rsidR="00E31FF0" w:rsidRPr="0086412E">
              <w:rPr>
                <w:rFonts w:ascii="Arial" w:hAnsi="Arial" w:cs="Arial"/>
              </w:rPr>
              <w:t xml:space="preserve">Galimybė </w:t>
            </w:r>
            <w:proofErr w:type="spellStart"/>
            <w:r w:rsidR="00E31FF0" w:rsidRPr="0086412E">
              <w:rPr>
                <w:rFonts w:ascii="Arial" w:hAnsi="Arial" w:cs="Arial"/>
              </w:rPr>
              <w:t>termostatuoti</w:t>
            </w:r>
            <w:proofErr w:type="spellEnd"/>
            <w:r w:rsidR="00E31FF0" w:rsidRPr="0086412E">
              <w:rPr>
                <w:rFonts w:ascii="Arial" w:hAnsi="Arial" w:cs="Arial"/>
              </w:rPr>
              <w:t xml:space="preserve"> kolonėles temperatūros diapazone nuo 10 iki 120 °C. </w:t>
            </w:r>
            <w:r w:rsidR="00170F74" w:rsidRPr="0086412E">
              <w:rPr>
                <w:rFonts w:ascii="Arial" w:hAnsi="Arial" w:cs="Arial"/>
              </w:rPr>
              <w:t xml:space="preserve">Įvardintą </w:t>
            </w:r>
            <w:proofErr w:type="spellStart"/>
            <w:r w:rsidR="00170F74" w:rsidRPr="0086412E">
              <w:rPr>
                <w:rFonts w:ascii="Arial" w:hAnsi="Arial" w:cs="Arial"/>
              </w:rPr>
              <w:t>termostatavimo</w:t>
            </w:r>
            <w:proofErr w:type="spellEnd"/>
            <w:r w:rsidR="00170F74" w:rsidRPr="0086412E">
              <w:rPr>
                <w:rFonts w:ascii="Arial" w:hAnsi="Arial" w:cs="Arial"/>
              </w:rPr>
              <w:t xml:space="preserve"> diapazoną gali išpildyti tik viena gamintojas -</w:t>
            </w:r>
            <w:proofErr w:type="spellStart"/>
            <w:r w:rsidR="00170F74" w:rsidRPr="0086412E">
              <w:rPr>
                <w:rFonts w:ascii="Arial" w:hAnsi="Arial" w:cs="Arial"/>
              </w:rPr>
              <w:t>Thermofisher</w:t>
            </w:r>
            <w:proofErr w:type="spellEnd"/>
            <w:r w:rsidR="00170F74" w:rsidRPr="0086412E">
              <w:rPr>
                <w:rFonts w:ascii="Arial" w:hAnsi="Arial" w:cs="Arial"/>
              </w:rPr>
              <w:t xml:space="preserve"> </w:t>
            </w:r>
            <w:proofErr w:type="spellStart"/>
            <w:r w:rsidR="00170F74" w:rsidRPr="0086412E">
              <w:rPr>
                <w:rFonts w:ascii="Arial" w:hAnsi="Arial" w:cs="Arial"/>
              </w:rPr>
              <w:t>Scientific</w:t>
            </w:r>
            <w:proofErr w:type="spellEnd"/>
            <w:r w:rsidR="00170F74" w:rsidRPr="0086412E">
              <w:rPr>
                <w:rFonts w:ascii="Arial" w:hAnsi="Arial" w:cs="Arial"/>
              </w:rPr>
              <w:t>. Reikalavimas ribojantis konkurenciją.</w:t>
            </w:r>
          </w:p>
        </w:tc>
        <w:tc>
          <w:tcPr>
            <w:tcW w:w="8079" w:type="dxa"/>
          </w:tcPr>
          <w:p w14:paraId="54E6B58B" w14:textId="4653A2CF" w:rsidR="002E2706" w:rsidRPr="0086412E" w:rsidRDefault="00D10865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>Prašome žiūrėti atsakymą Nr. 6.</w:t>
            </w:r>
          </w:p>
        </w:tc>
      </w:tr>
      <w:tr w:rsidR="002E2706" w:rsidRPr="0086412E" w14:paraId="7F6A93DF" w14:textId="77777777" w:rsidTr="004B1BB4">
        <w:trPr>
          <w:jc w:val="center"/>
        </w:trPr>
        <w:tc>
          <w:tcPr>
            <w:tcW w:w="7225" w:type="dxa"/>
          </w:tcPr>
          <w:p w14:paraId="157931D5" w14:textId="244F8196" w:rsidR="002E2706" w:rsidRPr="0086412E" w:rsidRDefault="00170F74" w:rsidP="00F60712">
            <w:p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16. </w:t>
            </w:r>
            <w:r w:rsidR="0063261F" w:rsidRPr="0086412E">
              <w:rPr>
                <w:rFonts w:ascii="Arial" w:hAnsi="Arial" w:cs="Arial"/>
              </w:rPr>
              <w:t xml:space="preserve">Programinė įranga. </w:t>
            </w:r>
            <w:r w:rsidR="001360A8" w:rsidRPr="0086412E">
              <w:rPr>
                <w:rFonts w:ascii="Arial" w:hAnsi="Arial" w:cs="Arial"/>
              </w:rPr>
              <w:t xml:space="preserve">Tiekėjui nėra aiški priežastis dėl būtinybės palaikyti </w:t>
            </w:r>
            <w:proofErr w:type="spellStart"/>
            <w:r w:rsidR="001360A8" w:rsidRPr="0086412E">
              <w:rPr>
                <w:rFonts w:ascii="Arial" w:hAnsi="Arial" w:cs="Arial"/>
              </w:rPr>
              <w:t>Chromeleon</w:t>
            </w:r>
            <w:proofErr w:type="spellEnd"/>
            <w:r w:rsidR="001360A8" w:rsidRPr="0086412E">
              <w:rPr>
                <w:rFonts w:ascii="Arial" w:hAnsi="Arial" w:cs="Arial"/>
              </w:rPr>
              <w:t xml:space="preserve"> 6.5 versijos duomenų failus. Tai gali būti išpildoma naudojant kompiuterį, su kuriuo šie failai buvo surinkti. Be to, reikalavimą gali atitikti tik vienas tiekėjas, </w:t>
            </w:r>
            <w:proofErr w:type="spellStart"/>
            <w:r w:rsidR="001360A8" w:rsidRPr="0086412E">
              <w:rPr>
                <w:rFonts w:ascii="Arial" w:hAnsi="Arial" w:cs="Arial"/>
              </w:rPr>
              <w:t>Labochema</w:t>
            </w:r>
            <w:proofErr w:type="spellEnd"/>
            <w:r w:rsidR="001360A8" w:rsidRPr="0086412E">
              <w:rPr>
                <w:rFonts w:ascii="Arial" w:hAnsi="Arial" w:cs="Arial"/>
              </w:rPr>
              <w:t xml:space="preserve">, kuris teikia </w:t>
            </w:r>
            <w:proofErr w:type="spellStart"/>
            <w:r w:rsidR="001360A8" w:rsidRPr="0086412E">
              <w:rPr>
                <w:rFonts w:ascii="Arial" w:hAnsi="Arial" w:cs="Arial"/>
              </w:rPr>
              <w:t>Thermofisher</w:t>
            </w:r>
            <w:proofErr w:type="spellEnd"/>
            <w:r w:rsidR="001360A8" w:rsidRPr="0086412E">
              <w:rPr>
                <w:rFonts w:ascii="Arial" w:hAnsi="Arial" w:cs="Arial"/>
              </w:rPr>
              <w:t xml:space="preserve"> </w:t>
            </w:r>
            <w:proofErr w:type="spellStart"/>
            <w:r w:rsidR="001360A8" w:rsidRPr="0086412E">
              <w:rPr>
                <w:rFonts w:ascii="Arial" w:hAnsi="Arial" w:cs="Arial"/>
              </w:rPr>
              <w:t>Scientific</w:t>
            </w:r>
            <w:proofErr w:type="spellEnd"/>
            <w:r w:rsidR="001360A8" w:rsidRPr="0086412E">
              <w:rPr>
                <w:rFonts w:ascii="Arial" w:hAnsi="Arial" w:cs="Arial"/>
              </w:rPr>
              <w:t xml:space="preserve"> gamintojo produktus.</w:t>
            </w:r>
          </w:p>
        </w:tc>
        <w:tc>
          <w:tcPr>
            <w:tcW w:w="8079" w:type="dxa"/>
          </w:tcPr>
          <w:p w14:paraId="6579742B" w14:textId="30D5A049" w:rsidR="002E2706" w:rsidRPr="0086412E" w:rsidRDefault="00E005F7" w:rsidP="00F03632">
            <w:pPr>
              <w:pStyle w:val="ListParagraph"/>
              <w:numPr>
                <w:ilvl w:val="0"/>
                <w:numId w:val="6"/>
              </w:numPr>
              <w:spacing w:after="120"/>
              <w:jc w:val="both"/>
              <w:rPr>
                <w:rFonts w:ascii="Arial" w:hAnsi="Arial" w:cs="Arial"/>
              </w:rPr>
            </w:pPr>
            <w:r w:rsidRPr="0086412E">
              <w:rPr>
                <w:rFonts w:ascii="Arial" w:hAnsi="Arial" w:cs="Arial"/>
              </w:rPr>
              <w:t xml:space="preserve">Prašome žiūrėti atsakymą </w:t>
            </w:r>
            <w:r w:rsidR="00D10865" w:rsidRPr="0086412E">
              <w:rPr>
                <w:rFonts w:ascii="Arial" w:hAnsi="Arial" w:cs="Arial"/>
              </w:rPr>
              <w:t>N</w:t>
            </w:r>
            <w:r w:rsidRPr="0086412E">
              <w:rPr>
                <w:rFonts w:ascii="Arial" w:hAnsi="Arial" w:cs="Arial"/>
              </w:rPr>
              <w:t>r. 7.</w:t>
            </w:r>
          </w:p>
        </w:tc>
      </w:tr>
    </w:tbl>
    <w:p w14:paraId="5AA0D7DD" w14:textId="77777777" w:rsidR="00EF794A" w:rsidRPr="0086412E" w:rsidRDefault="00EF794A" w:rsidP="0086412E">
      <w:pPr>
        <w:jc w:val="both"/>
        <w:rPr>
          <w:rFonts w:ascii="Arial" w:hAnsi="Arial" w:cs="Arial"/>
        </w:rPr>
      </w:pPr>
    </w:p>
    <w:p w14:paraId="6E309C7D" w14:textId="42192B59" w:rsidR="00DE3ADB" w:rsidRDefault="0086412E" w:rsidP="0086412E">
      <w:pPr>
        <w:jc w:val="both"/>
        <w:rPr>
          <w:rFonts w:ascii="Arial" w:hAnsi="Arial" w:cs="Arial"/>
        </w:rPr>
      </w:pPr>
      <w:r w:rsidRPr="0086412E">
        <w:rPr>
          <w:rFonts w:ascii="Arial" w:hAnsi="Arial" w:cs="Arial"/>
        </w:rPr>
        <w:t xml:space="preserve">Pažymime, kad Perkančioji organizacija, skelbdama numatomą pirkimą, neįsipareigoja atsižvelgti į visus rinkos konsultacijos metu pateiktus tiekėjų siūlymus, pastabas, įžvalgas. </w:t>
      </w:r>
    </w:p>
    <w:p w14:paraId="788AD804" w14:textId="792B0208" w:rsidR="00113EAF" w:rsidRPr="0086412E" w:rsidRDefault="0086412E" w:rsidP="00460C46">
      <w:pPr>
        <w:jc w:val="both"/>
        <w:rPr>
          <w:rFonts w:ascii="Arial" w:hAnsi="Arial" w:cs="Arial"/>
        </w:rPr>
      </w:pPr>
      <w:r w:rsidRPr="0086412E">
        <w:rPr>
          <w:rFonts w:ascii="Arial" w:hAnsi="Arial" w:cs="Arial"/>
        </w:rPr>
        <w:t>Taip pat informuojame, kad detalūs reikalavimai bus paskelbti kartu su numatomo pirkimo dokumentais, prašome sekti aktualią informaciją Centrinėje viešųjų pirkimų informacinėje sistemoje ir dalyvauti pirkime.</w:t>
      </w:r>
    </w:p>
    <w:sectPr w:rsidR="00113EAF" w:rsidRPr="0086412E" w:rsidSect="00191801">
      <w:footerReference w:type="default" r:id="rId16"/>
      <w:pgSz w:w="16838" w:h="11906" w:orient="landscape"/>
      <w:pgMar w:top="720" w:right="720" w:bottom="720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BBC1" w14:textId="77777777" w:rsidR="00D21B79" w:rsidRDefault="00D21B79" w:rsidP="00AC6BF8">
      <w:pPr>
        <w:spacing w:after="0" w:line="240" w:lineRule="auto"/>
      </w:pPr>
      <w:r>
        <w:separator/>
      </w:r>
    </w:p>
  </w:endnote>
  <w:endnote w:type="continuationSeparator" w:id="0">
    <w:p w14:paraId="1A7C5331" w14:textId="77777777" w:rsidR="00D21B79" w:rsidRDefault="00D21B79" w:rsidP="00AC6BF8">
      <w:pPr>
        <w:spacing w:after="0" w:line="240" w:lineRule="auto"/>
      </w:pPr>
      <w:r>
        <w:continuationSeparator/>
      </w:r>
    </w:p>
  </w:endnote>
  <w:endnote w:type="continuationNotice" w:id="1">
    <w:p w14:paraId="6E69AE01" w14:textId="77777777" w:rsidR="00D21B79" w:rsidRDefault="00D21B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8531319"/>
      <w:docPartObj>
        <w:docPartGallery w:val="Page Numbers (Bottom of Page)"/>
        <w:docPartUnique/>
      </w:docPartObj>
    </w:sdtPr>
    <w:sdtEndPr/>
    <w:sdtContent>
      <w:p w14:paraId="4DB1FA7D" w14:textId="13CBB337" w:rsidR="00AC6BF8" w:rsidRDefault="00AC6BF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E8A">
          <w:rPr>
            <w:noProof/>
          </w:rPr>
          <w:t>1</w:t>
        </w:r>
        <w:r>
          <w:fldChar w:fldCharType="end"/>
        </w:r>
      </w:p>
    </w:sdtContent>
  </w:sdt>
  <w:p w14:paraId="46460743" w14:textId="77777777" w:rsidR="00AC6BF8" w:rsidRDefault="00AC6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A444" w14:textId="77777777" w:rsidR="00D21B79" w:rsidRDefault="00D21B79" w:rsidP="00AC6BF8">
      <w:pPr>
        <w:spacing w:after="0" w:line="240" w:lineRule="auto"/>
      </w:pPr>
      <w:r>
        <w:separator/>
      </w:r>
    </w:p>
  </w:footnote>
  <w:footnote w:type="continuationSeparator" w:id="0">
    <w:p w14:paraId="721E40FD" w14:textId="77777777" w:rsidR="00D21B79" w:rsidRDefault="00D21B79" w:rsidP="00AC6BF8">
      <w:pPr>
        <w:spacing w:after="0" w:line="240" w:lineRule="auto"/>
      </w:pPr>
      <w:r>
        <w:continuationSeparator/>
      </w:r>
    </w:p>
  </w:footnote>
  <w:footnote w:type="continuationNotice" w:id="1">
    <w:p w14:paraId="362D7BAC" w14:textId="77777777" w:rsidR="00D21B79" w:rsidRDefault="00D21B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5553"/>
    <w:multiLevelType w:val="hybridMultilevel"/>
    <w:tmpl w:val="5C20AA5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B42E3"/>
    <w:multiLevelType w:val="hybridMultilevel"/>
    <w:tmpl w:val="626E7B26"/>
    <w:lvl w:ilvl="0" w:tplc="4F62BB00">
      <w:start w:val="1"/>
      <w:numFmt w:val="decimal"/>
      <w:lvlText w:val="%1."/>
      <w:lvlJc w:val="left"/>
      <w:pPr>
        <w:ind w:left="252" w:hanging="360"/>
      </w:pPr>
      <w:rPr>
        <w:rFonts w:ascii="Arial" w:hAnsi="Arial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5AB5"/>
    <w:multiLevelType w:val="hybridMultilevel"/>
    <w:tmpl w:val="3E4A095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D200C"/>
    <w:multiLevelType w:val="hybridMultilevel"/>
    <w:tmpl w:val="9C48052A"/>
    <w:lvl w:ilvl="0" w:tplc="12CA1F2E">
      <w:start w:val="1"/>
      <w:numFmt w:val="decimal"/>
      <w:lvlText w:val="%1."/>
      <w:lvlJc w:val="left"/>
      <w:pPr>
        <w:ind w:left="252" w:hanging="360"/>
      </w:pPr>
      <w:rPr>
        <w:rFonts w:asciiTheme="minorHAnsi" w:hAnsiTheme="minorHAns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972" w:hanging="360"/>
      </w:pPr>
    </w:lvl>
    <w:lvl w:ilvl="2" w:tplc="0427001B" w:tentative="1">
      <w:start w:val="1"/>
      <w:numFmt w:val="lowerRoman"/>
      <w:lvlText w:val="%3."/>
      <w:lvlJc w:val="right"/>
      <w:pPr>
        <w:ind w:left="1692" w:hanging="180"/>
      </w:pPr>
    </w:lvl>
    <w:lvl w:ilvl="3" w:tplc="0427000F" w:tentative="1">
      <w:start w:val="1"/>
      <w:numFmt w:val="decimal"/>
      <w:lvlText w:val="%4."/>
      <w:lvlJc w:val="left"/>
      <w:pPr>
        <w:ind w:left="2412" w:hanging="360"/>
      </w:pPr>
    </w:lvl>
    <w:lvl w:ilvl="4" w:tplc="04270019" w:tentative="1">
      <w:start w:val="1"/>
      <w:numFmt w:val="lowerLetter"/>
      <w:lvlText w:val="%5."/>
      <w:lvlJc w:val="left"/>
      <w:pPr>
        <w:ind w:left="3132" w:hanging="360"/>
      </w:pPr>
    </w:lvl>
    <w:lvl w:ilvl="5" w:tplc="0427001B" w:tentative="1">
      <w:start w:val="1"/>
      <w:numFmt w:val="lowerRoman"/>
      <w:lvlText w:val="%6."/>
      <w:lvlJc w:val="right"/>
      <w:pPr>
        <w:ind w:left="3852" w:hanging="180"/>
      </w:pPr>
    </w:lvl>
    <w:lvl w:ilvl="6" w:tplc="0427000F" w:tentative="1">
      <w:start w:val="1"/>
      <w:numFmt w:val="decimal"/>
      <w:lvlText w:val="%7."/>
      <w:lvlJc w:val="left"/>
      <w:pPr>
        <w:ind w:left="4572" w:hanging="360"/>
      </w:pPr>
    </w:lvl>
    <w:lvl w:ilvl="7" w:tplc="04270019" w:tentative="1">
      <w:start w:val="1"/>
      <w:numFmt w:val="lowerLetter"/>
      <w:lvlText w:val="%8."/>
      <w:lvlJc w:val="left"/>
      <w:pPr>
        <w:ind w:left="5292" w:hanging="360"/>
      </w:pPr>
    </w:lvl>
    <w:lvl w:ilvl="8" w:tplc="0427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65291A45"/>
    <w:multiLevelType w:val="multilevel"/>
    <w:tmpl w:val="064A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70984B5C"/>
    <w:multiLevelType w:val="hybridMultilevel"/>
    <w:tmpl w:val="9FE47A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EAE"/>
    <w:rsid w:val="00002053"/>
    <w:rsid w:val="00010E08"/>
    <w:rsid w:val="000128B8"/>
    <w:rsid w:val="000202C5"/>
    <w:rsid w:val="00022182"/>
    <w:rsid w:val="00024700"/>
    <w:rsid w:val="00031229"/>
    <w:rsid w:val="000351DF"/>
    <w:rsid w:val="00035A0A"/>
    <w:rsid w:val="00040E99"/>
    <w:rsid w:val="00041ED6"/>
    <w:rsid w:val="000442B5"/>
    <w:rsid w:val="00044AEB"/>
    <w:rsid w:val="0005391E"/>
    <w:rsid w:val="00071CF9"/>
    <w:rsid w:val="00082858"/>
    <w:rsid w:val="00086FFF"/>
    <w:rsid w:val="00091921"/>
    <w:rsid w:val="000A57ED"/>
    <w:rsid w:val="000B017D"/>
    <w:rsid w:val="000B053B"/>
    <w:rsid w:val="000B09DC"/>
    <w:rsid w:val="000B1913"/>
    <w:rsid w:val="000C4430"/>
    <w:rsid w:val="000C51AA"/>
    <w:rsid w:val="000C5F5D"/>
    <w:rsid w:val="000C74DC"/>
    <w:rsid w:val="000E0FD1"/>
    <w:rsid w:val="000F7A00"/>
    <w:rsid w:val="00105FA1"/>
    <w:rsid w:val="00106468"/>
    <w:rsid w:val="00111BED"/>
    <w:rsid w:val="00113EAF"/>
    <w:rsid w:val="001261A1"/>
    <w:rsid w:val="00126637"/>
    <w:rsid w:val="001267D5"/>
    <w:rsid w:val="00134ED7"/>
    <w:rsid w:val="001360A8"/>
    <w:rsid w:val="00151286"/>
    <w:rsid w:val="00163F4D"/>
    <w:rsid w:val="001656FB"/>
    <w:rsid w:val="001704BC"/>
    <w:rsid w:val="00170F74"/>
    <w:rsid w:val="00176882"/>
    <w:rsid w:val="001878EC"/>
    <w:rsid w:val="00190587"/>
    <w:rsid w:val="00191801"/>
    <w:rsid w:val="00192289"/>
    <w:rsid w:val="00195411"/>
    <w:rsid w:val="001B1428"/>
    <w:rsid w:val="001B33BF"/>
    <w:rsid w:val="001C17CC"/>
    <w:rsid w:val="001C7F50"/>
    <w:rsid w:val="00200B34"/>
    <w:rsid w:val="00212902"/>
    <w:rsid w:val="0022488E"/>
    <w:rsid w:val="0023481E"/>
    <w:rsid w:val="00237830"/>
    <w:rsid w:val="00240409"/>
    <w:rsid w:val="00246843"/>
    <w:rsid w:val="00252E09"/>
    <w:rsid w:val="00255013"/>
    <w:rsid w:val="0025658C"/>
    <w:rsid w:val="00274D97"/>
    <w:rsid w:val="00276600"/>
    <w:rsid w:val="00276A7A"/>
    <w:rsid w:val="002866FE"/>
    <w:rsid w:val="002968D7"/>
    <w:rsid w:val="002B0A52"/>
    <w:rsid w:val="002B73D4"/>
    <w:rsid w:val="002C3DCE"/>
    <w:rsid w:val="002D770A"/>
    <w:rsid w:val="002E011A"/>
    <w:rsid w:val="002E0566"/>
    <w:rsid w:val="002E2706"/>
    <w:rsid w:val="002F5998"/>
    <w:rsid w:val="0030092C"/>
    <w:rsid w:val="003020CE"/>
    <w:rsid w:val="00305CA4"/>
    <w:rsid w:val="0031320B"/>
    <w:rsid w:val="003135C1"/>
    <w:rsid w:val="00320208"/>
    <w:rsid w:val="00320DFE"/>
    <w:rsid w:val="00341AA9"/>
    <w:rsid w:val="00343BE5"/>
    <w:rsid w:val="00347C99"/>
    <w:rsid w:val="0035059B"/>
    <w:rsid w:val="003521A2"/>
    <w:rsid w:val="00352745"/>
    <w:rsid w:val="00352B70"/>
    <w:rsid w:val="00364940"/>
    <w:rsid w:val="0036665B"/>
    <w:rsid w:val="003670AD"/>
    <w:rsid w:val="00367B11"/>
    <w:rsid w:val="00371F13"/>
    <w:rsid w:val="0037269A"/>
    <w:rsid w:val="00373B95"/>
    <w:rsid w:val="00376361"/>
    <w:rsid w:val="00381563"/>
    <w:rsid w:val="00394C48"/>
    <w:rsid w:val="003B3BC1"/>
    <w:rsid w:val="003D091A"/>
    <w:rsid w:val="003E6AB7"/>
    <w:rsid w:val="0040093C"/>
    <w:rsid w:val="004021A4"/>
    <w:rsid w:val="00402C8D"/>
    <w:rsid w:val="0041351B"/>
    <w:rsid w:val="004209E7"/>
    <w:rsid w:val="0042134B"/>
    <w:rsid w:val="00431328"/>
    <w:rsid w:val="00433483"/>
    <w:rsid w:val="00437554"/>
    <w:rsid w:val="004458ED"/>
    <w:rsid w:val="00450B7E"/>
    <w:rsid w:val="0045585C"/>
    <w:rsid w:val="004571A1"/>
    <w:rsid w:val="00457CAE"/>
    <w:rsid w:val="00460C46"/>
    <w:rsid w:val="004640D0"/>
    <w:rsid w:val="004700A3"/>
    <w:rsid w:val="004858A8"/>
    <w:rsid w:val="004871BA"/>
    <w:rsid w:val="00491E83"/>
    <w:rsid w:val="004A3029"/>
    <w:rsid w:val="004B1BB4"/>
    <w:rsid w:val="004B61C3"/>
    <w:rsid w:val="004C5545"/>
    <w:rsid w:val="004D29C1"/>
    <w:rsid w:val="004D771A"/>
    <w:rsid w:val="004E3CE9"/>
    <w:rsid w:val="004E4950"/>
    <w:rsid w:val="004E5B7F"/>
    <w:rsid w:val="004F4218"/>
    <w:rsid w:val="004F463D"/>
    <w:rsid w:val="004F5696"/>
    <w:rsid w:val="004F7759"/>
    <w:rsid w:val="00502E5D"/>
    <w:rsid w:val="00506396"/>
    <w:rsid w:val="00512190"/>
    <w:rsid w:val="0051293F"/>
    <w:rsid w:val="00517C40"/>
    <w:rsid w:val="00520274"/>
    <w:rsid w:val="00534D89"/>
    <w:rsid w:val="00544539"/>
    <w:rsid w:val="0056254B"/>
    <w:rsid w:val="005724B3"/>
    <w:rsid w:val="00572A5E"/>
    <w:rsid w:val="00594737"/>
    <w:rsid w:val="005A43C9"/>
    <w:rsid w:val="005B0639"/>
    <w:rsid w:val="005B53AB"/>
    <w:rsid w:val="005C6EF8"/>
    <w:rsid w:val="005D3C3E"/>
    <w:rsid w:val="005D48A3"/>
    <w:rsid w:val="005D5A58"/>
    <w:rsid w:val="005E0B4C"/>
    <w:rsid w:val="005E2BF3"/>
    <w:rsid w:val="005E4DF8"/>
    <w:rsid w:val="005F194A"/>
    <w:rsid w:val="005F1B70"/>
    <w:rsid w:val="005F1C6D"/>
    <w:rsid w:val="005F3FBE"/>
    <w:rsid w:val="005F6739"/>
    <w:rsid w:val="00602090"/>
    <w:rsid w:val="00606A92"/>
    <w:rsid w:val="00624438"/>
    <w:rsid w:val="0063261F"/>
    <w:rsid w:val="006468CD"/>
    <w:rsid w:val="0065041B"/>
    <w:rsid w:val="00652085"/>
    <w:rsid w:val="00653A03"/>
    <w:rsid w:val="00654123"/>
    <w:rsid w:val="00665D8B"/>
    <w:rsid w:val="006B611F"/>
    <w:rsid w:val="006C00F5"/>
    <w:rsid w:val="006C3D27"/>
    <w:rsid w:val="006C590B"/>
    <w:rsid w:val="006C5EAE"/>
    <w:rsid w:val="006C7458"/>
    <w:rsid w:val="006E0F1F"/>
    <w:rsid w:val="006E1AE8"/>
    <w:rsid w:val="006E5109"/>
    <w:rsid w:val="006F0BD8"/>
    <w:rsid w:val="006F4577"/>
    <w:rsid w:val="00704331"/>
    <w:rsid w:val="00707DDB"/>
    <w:rsid w:val="0071225C"/>
    <w:rsid w:val="00723538"/>
    <w:rsid w:val="0073055D"/>
    <w:rsid w:val="007411A2"/>
    <w:rsid w:val="00753EB1"/>
    <w:rsid w:val="00764BB6"/>
    <w:rsid w:val="00765E8A"/>
    <w:rsid w:val="00783429"/>
    <w:rsid w:val="00783D8A"/>
    <w:rsid w:val="00784EBC"/>
    <w:rsid w:val="00787969"/>
    <w:rsid w:val="00790887"/>
    <w:rsid w:val="00797EBE"/>
    <w:rsid w:val="007A0917"/>
    <w:rsid w:val="007A4BCA"/>
    <w:rsid w:val="007B084B"/>
    <w:rsid w:val="007B1492"/>
    <w:rsid w:val="007B25E3"/>
    <w:rsid w:val="007B7382"/>
    <w:rsid w:val="007C5C64"/>
    <w:rsid w:val="007D1D0B"/>
    <w:rsid w:val="007D5A21"/>
    <w:rsid w:val="007E0C20"/>
    <w:rsid w:val="007E1A6A"/>
    <w:rsid w:val="007E419A"/>
    <w:rsid w:val="007E47A3"/>
    <w:rsid w:val="007E6A2A"/>
    <w:rsid w:val="007F000E"/>
    <w:rsid w:val="007F2F78"/>
    <w:rsid w:val="007F44B1"/>
    <w:rsid w:val="00803E75"/>
    <w:rsid w:val="00805819"/>
    <w:rsid w:val="00806472"/>
    <w:rsid w:val="00813782"/>
    <w:rsid w:val="00835BB0"/>
    <w:rsid w:val="00844DD0"/>
    <w:rsid w:val="00856BE9"/>
    <w:rsid w:val="00856FF8"/>
    <w:rsid w:val="00861148"/>
    <w:rsid w:val="0086412E"/>
    <w:rsid w:val="00866FF1"/>
    <w:rsid w:val="00881157"/>
    <w:rsid w:val="00882788"/>
    <w:rsid w:val="008867EF"/>
    <w:rsid w:val="00894296"/>
    <w:rsid w:val="00895002"/>
    <w:rsid w:val="008A5E49"/>
    <w:rsid w:val="008B3424"/>
    <w:rsid w:val="008B473E"/>
    <w:rsid w:val="008B4D35"/>
    <w:rsid w:val="008D173D"/>
    <w:rsid w:val="008D475A"/>
    <w:rsid w:val="008D5BF1"/>
    <w:rsid w:val="008D7849"/>
    <w:rsid w:val="008F1E74"/>
    <w:rsid w:val="008F3C19"/>
    <w:rsid w:val="0090260E"/>
    <w:rsid w:val="00906174"/>
    <w:rsid w:val="009103F6"/>
    <w:rsid w:val="00917A60"/>
    <w:rsid w:val="00923812"/>
    <w:rsid w:val="00931036"/>
    <w:rsid w:val="00932C43"/>
    <w:rsid w:val="00934E03"/>
    <w:rsid w:val="009429A5"/>
    <w:rsid w:val="009454D1"/>
    <w:rsid w:val="00946AF1"/>
    <w:rsid w:val="00953696"/>
    <w:rsid w:val="00953CDF"/>
    <w:rsid w:val="00967099"/>
    <w:rsid w:val="009745FE"/>
    <w:rsid w:val="009833DD"/>
    <w:rsid w:val="009A4B0C"/>
    <w:rsid w:val="009B3142"/>
    <w:rsid w:val="009B62B4"/>
    <w:rsid w:val="009B7BA1"/>
    <w:rsid w:val="009C611B"/>
    <w:rsid w:val="009D1F9D"/>
    <w:rsid w:val="009D6F21"/>
    <w:rsid w:val="009F4078"/>
    <w:rsid w:val="009F4381"/>
    <w:rsid w:val="00A015CC"/>
    <w:rsid w:val="00A077EB"/>
    <w:rsid w:val="00A21CE0"/>
    <w:rsid w:val="00A279DD"/>
    <w:rsid w:val="00A31238"/>
    <w:rsid w:val="00A3123C"/>
    <w:rsid w:val="00A3708C"/>
    <w:rsid w:val="00A510DF"/>
    <w:rsid w:val="00A56FFB"/>
    <w:rsid w:val="00A676BC"/>
    <w:rsid w:val="00A73213"/>
    <w:rsid w:val="00A822F9"/>
    <w:rsid w:val="00A876A8"/>
    <w:rsid w:val="00A96093"/>
    <w:rsid w:val="00A96B6C"/>
    <w:rsid w:val="00AA1026"/>
    <w:rsid w:val="00AA2D43"/>
    <w:rsid w:val="00AB2469"/>
    <w:rsid w:val="00AB3B3D"/>
    <w:rsid w:val="00AB7669"/>
    <w:rsid w:val="00AC6BF8"/>
    <w:rsid w:val="00AD1323"/>
    <w:rsid w:val="00AF1CA8"/>
    <w:rsid w:val="00B05579"/>
    <w:rsid w:val="00B06EC8"/>
    <w:rsid w:val="00B11A9B"/>
    <w:rsid w:val="00B408DC"/>
    <w:rsid w:val="00B65478"/>
    <w:rsid w:val="00B6670B"/>
    <w:rsid w:val="00B743FD"/>
    <w:rsid w:val="00B75F4C"/>
    <w:rsid w:val="00B80E3B"/>
    <w:rsid w:val="00B8486E"/>
    <w:rsid w:val="00B8746E"/>
    <w:rsid w:val="00BA0155"/>
    <w:rsid w:val="00BA197F"/>
    <w:rsid w:val="00BA5F22"/>
    <w:rsid w:val="00BA7563"/>
    <w:rsid w:val="00BC17E3"/>
    <w:rsid w:val="00BC4471"/>
    <w:rsid w:val="00BC4C52"/>
    <w:rsid w:val="00BC6708"/>
    <w:rsid w:val="00BD2DCF"/>
    <w:rsid w:val="00BF00F9"/>
    <w:rsid w:val="00BF7003"/>
    <w:rsid w:val="00C00746"/>
    <w:rsid w:val="00C030C2"/>
    <w:rsid w:val="00C04934"/>
    <w:rsid w:val="00C10603"/>
    <w:rsid w:val="00C10841"/>
    <w:rsid w:val="00C14655"/>
    <w:rsid w:val="00C23FED"/>
    <w:rsid w:val="00C337BA"/>
    <w:rsid w:val="00C35778"/>
    <w:rsid w:val="00C46F6B"/>
    <w:rsid w:val="00C472B6"/>
    <w:rsid w:val="00C5224E"/>
    <w:rsid w:val="00C745D0"/>
    <w:rsid w:val="00C771C8"/>
    <w:rsid w:val="00C855E4"/>
    <w:rsid w:val="00C94583"/>
    <w:rsid w:val="00CA01FA"/>
    <w:rsid w:val="00CA2967"/>
    <w:rsid w:val="00CA7298"/>
    <w:rsid w:val="00CB16A8"/>
    <w:rsid w:val="00CC5777"/>
    <w:rsid w:val="00CD33DF"/>
    <w:rsid w:val="00CD422A"/>
    <w:rsid w:val="00CD7DBA"/>
    <w:rsid w:val="00CE4851"/>
    <w:rsid w:val="00D01C46"/>
    <w:rsid w:val="00D10865"/>
    <w:rsid w:val="00D12D75"/>
    <w:rsid w:val="00D1355F"/>
    <w:rsid w:val="00D21B79"/>
    <w:rsid w:val="00D25136"/>
    <w:rsid w:val="00D26301"/>
    <w:rsid w:val="00D2636D"/>
    <w:rsid w:val="00D26B07"/>
    <w:rsid w:val="00D37431"/>
    <w:rsid w:val="00D41C0B"/>
    <w:rsid w:val="00D526D6"/>
    <w:rsid w:val="00D52904"/>
    <w:rsid w:val="00D61386"/>
    <w:rsid w:val="00D67154"/>
    <w:rsid w:val="00D73214"/>
    <w:rsid w:val="00D73C02"/>
    <w:rsid w:val="00D75FB7"/>
    <w:rsid w:val="00D8652B"/>
    <w:rsid w:val="00D87AC6"/>
    <w:rsid w:val="00DB56AA"/>
    <w:rsid w:val="00DD5EEB"/>
    <w:rsid w:val="00DE0A2C"/>
    <w:rsid w:val="00DE3ADB"/>
    <w:rsid w:val="00DE6E11"/>
    <w:rsid w:val="00DF48FD"/>
    <w:rsid w:val="00DF4A69"/>
    <w:rsid w:val="00DF5B97"/>
    <w:rsid w:val="00E000F9"/>
    <w:rsid w:val="00E005F7"/>
    <w:rsid w:val="00E12551"/>
    <w:rsid w:val="00E14E76"/>
    <w:rsid w:val="00E17815"/>
    <w:rsid w:val="00E262BC"/>
    <w:rsid w:val="00E31FF0"/>
    <w:rsid w:val="00E34F13"/>
    <w:rsid w:val="00E412D2"/>
    <w:rsid w:val="00E432C3"/>
    <w:rsid w:val="00E543FA"/>
    <w:rsid w:val="00E567AA"/>
    <w:rsid w:val="00E572A3"/>
    <w:rsid w:val="00E634EE"/>
    <w:rsid w:val="00E63F4F"/>
    <w:rsid w:val="00E66039"/>
    <w:rsid w:val="00E673F8"/>
    <w:rsid w:val="00E71308"/>
    <w:rsid w:val="00E767D9"/>
    <w:rsid w:val="00E80971"/>
    <w:rsid w:val="00E82FA6"/>
    <w:rsid w:val="00E831B9"/>
    <w:rsid w:val="00E946F1"/>
    <w:rsid w:val="00EA3725"/>
    <w:rsid w:val="00EC0030"/>
    <w:rsid w:val="00EE64CF"/>
    <w:rsid w:val="00EF0C88"/>
    <w:rsid w:val="00EF794A"/>
    <w:rsid w:val="00F034A5"/>
    <w:rsid w:val="00F03632"/>
    <w:rsid w:val="00F27064"/>
    <w:rsid w:val="00F27C7D"/>
    <w:rsid w:val="00F44539"/>
    <w:rsid w:val="00F45142"/>
    <w:rsid w:val="00F474CD"/>
    <w:rsid w:val="00F50359"/>
    <w:rsid w:val="00F52D7B"/>
    <w:rsid w:val="00F54FBD"/>
    <w:rsid w:val="00F60712"/>
    <w:rsid w:val="00F637EC"/>
    <w:rsid w:val="00F657CF"/>
    <w:rsid w:val="00F8181E"/>
    <w:rsid w:val="00F83796"/>
    <w:rsid w:val="00F90D5A"/>
    <w:rsid w:val="00F94016"/>
    <w:rsid w:val="00FA4799"/>
    <w:rsid w:val="00FB6BE8"/>
    <w:rsid w:val="00FC6DDC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27E23"/>
  <w15:chartTrackingRefBased/>
  <w15:docId w15:val="{938C65F5-DACC-45D8-BD0E-BF813B7B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BF8"/>
  </w:style>
  <w:style w:type="paragraph" w:styleId="Footer">
    <w:name w:val="footer"/>
    <w:basedOn w:val="Normal"/>
    <w:link w:val="FooterChar"/>
    <w:uiPriority w:val="99"/>
    <w:unhideWhenUsed/>
    <w:rsid w:val="00AC6B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BF8"/>
  </w:style>
  <w:style w:type="character" w:styleId="CommentReference">
    <w:name w:val="annotation reference"/>
    <w:basedOn w:val="DefaultParagraphFont"/>
    <w:uiPriority w:val="99"/>
    <w:semiHidden/>
    <w:unhideWhenUsed/>
    <w:rsid w:val="00364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940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32C43"/>
    <w:pPr>
      <w:widowControl w:val="0"/>
      <w:autoSpaceDE w:val="0"/>
      <w:autoSpaceDN w:val="0"/>
      <w:spacing w:after="0" w:line="240" w:lineRule="auto"/>
      <w:ind w:left="830"/>
    </w:pPr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unhideWhenUsed/>
    <w:rsid w:val="0019180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91801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8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-lex.europa.eu/legal-content/LT/TXT/HTML/?uri=CELEX:32011L006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LT/TXT/HTML/?uri=CELEX:32009L012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LT/TXT/HTML/?uri=CELEX:32011L0065" TargetMode="External"/><Relationship Id="rId5" Type="http://schemas.openxmlformats.org/officeDocument/2006/relationships/styles" Target="styles.xml"/><Relationship Id="rId15" Type="http://schemas.openxmlformats.org/officeDocument/2006/relationships/hyperlink" Target="https://europa.eu/youreurope/business/product-requirements/labels-markings/ce-marking/index_lt.htm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LT/TXT/HTML/?uri=CELEX:32009L0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938973B5-62B2-4340-9032-71B741F78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38C928-37CC-4C9A-9C2C-8B218DE43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04C0D-2BBB-48E1-BC53-34EB21544A63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1749</Words>
  <Characters>12724</Characters>
  <Application>Microsoft Office Word</Application>
  <DocSecurity>0</DocSecurity>
  <Lines>106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Vinciūnas</dc:creator>
  <cp:keywords/>
  <dc:description/>
  <cp:lastModifiedBy>Author</cp:lastModifiedBy>
  <cp:revision>8</cp:revision>
  <dcterms:created xsi:type="dcterms:W3CDTF">2025-04-22T08:12:00Z</dcterms:created>
  <dcterms:modified xsi:type="dcterms:W3CDTF">2025-04-22T10:29:00Z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8737d808efb3bbf7900746020c360bdccbb77184ddfbabe2a9ccde81eb6dda72</vt:lpwstr>
  </property>
</Properties>
</file>