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412D48"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8D2C67"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4156E1D2" w:rsidR="000B1465" w:rsidRPr="004D1999" w:rsidRDefault="000B1465" w:rsidP="00F81415">
            <w:pPr>
              <w:pStyle w:val="Sraopastraipa"/>
              <w:spacing w:before="60" w:after="60" w:line="257" w:lineRule="auto"/>
              <w:ind w:left="0"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EDC1476" w:rsidR="000B1465" w:rsidRPr="00410A2D" w:rsidRDefault="00FF17CE" w:rsidP="00410A2D">
            <w:pPr>
              <w:autoSpaceDE w:val="0"/>
              <w:autoSpaceDN w:val="0"/>
              <w:adjustRightInd w:val="0"/>
              <w:ind w:firstLine="0"/>
              <w:rPr>
                <w:rFonts w:ascii="Arial" w:hAnsi="Arial" w:cs="Arial"/>
                <w:color w:val="000000"/>
              </w:rPr>
            </w:pPr>
            <w:r>
              <w:rPr>
                <w:rFonts w:ascii="Arial" w:hAnsi="Arial" w:cs="Arial"/>
                <w:color w:val="000000"/>
              </w:rPr>
              <w:t>Netaikoma</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29FEFCA" w:rsidR="002B0D1F" w:rsidRPr="004D1999" w:rsidRDefault="002B0D1F" w:rsidP="005E5E85">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0B1465" w:rsidRPr="004D1999" w:rsidRDefault="000B1465" w:rsidP="00E409AC">
            <w:pPr>
              <w:pBdr>
                <w:top w:val="nil"/>
                <w:left w:val="nil"/>
                <w:bottom w:val="nil"/>
                <w:right w:val="nil"/>
                <w:between w:val="nil"/>
                <w:bar w:val="nil"/>
              </w:pBdr>
              <w:ind w:firstLine="0"/>
              <w:rPr>
                <w:rFonts w:ascii="Arial" w:hAnsi="Arial" w:cs="Arial"/>
                <w:color w:val="000000"/>
              </w:rPr>
            </w:pPr>
          </w:p>
        </w:tc>
      </w:tr>
      <w:tr w:rsidR="000B1465"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4D1999" w:rsidRDefault="000B1465" w:rsidP="004E1241">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8D2C67"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4D1999" w:rsidRDefault="000B1465" w:rsidP="004E1241">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0B1465" w:rsidRPr="004D1999" w:rsidRDefault="00D16870" w:rsidP="00D16870">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4D1999" w:rsidRDefault="000B1465" w:rsidP="00D16870">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4D1999" w:rsidRDefault="000B1465" w:rsidP="00D16870">
            <w:pPr>
              <w:autoSpaceDE w:val="0"/>
              <w:autoSpaceDN w:val="0"/>
              <w:adjustRightInd w:val="0"/>
              <w:rPr>
                <w:rFonts w:ascii="Arial" w:hAnsi="Arial" w:cs="Arial"/>
                <w:color w:val="000000"/>
              </w:rPr>
            </w:pPr>
          </w:p>
        </w:tc>
      </w:tr>
      <w:tr w:rsidR="000B1465"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4D1999" w:rsidRDefault="000B1465" w:rsidP="004E1241">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731922"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731922" w:rsidRPr="004D1999" w:rsidRDefault="00731922" w:rsidP="004E1241">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25417C32" w:rsidR="00731922" w:rsidRPr="004D1999" w:rsidRDefault="00731922" w:rsidP="00507ED3">
            <w:pPr>
              <w:autoSpaceDE w:val="0"/>
              <w:autoSpaceDN w:val="0"/>
              <w:adjustRightInd w:val="0"/>
              <w:ind w:firstLine="0"/>
              <w:rPr>
                <w:rFonts w:ascii="Arial" w:hAnsi="Arial" w:cs="Arial"/>
                <w:color w:val="000000"/>
              </w:rPr>
            </w:pPr>
            <w:r w:rsidRPr="004D1999">
              <w:rPr>
                <w:rFonts w:ascii="Arial" w:hAnsi="Arial" w:cs="Arial"/>
                <w:color w:val="000000"/>
              </w:rPr>
              <w:t xml:space="preserve">Tiekėjas per </w:t>
            </w:r>
            <w:r w:rsidR="00412D48" w:rsidRPr="00412D48">
              <w:rPr>
                <w:rFonts w:ascii="Arial" w:hAnsi="Arial" w:cs="Arial"/>
                <w:color w:val="000000"/>
              </w:rPr>
              <w:t>paskutinius 3 metus iki pasiūlymo pateikimo termino pabaigos savo jėgomis yra tinkamai atlikęs melioracijos statinių naujos statybos ir/ar rekonstravimo ir/ar remonto ir/ar priežiūros darbų , kurių vertė yra ne mažesnė kaip 52000,00 Eur be PVM.</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397FBD8D" w:rsidR="00314BA9" w:rsidRPr="00314BA9" w:rsidRDefault="00731922" w:rsidP="00314BA9">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00564FEA" w:rsidRPr="00564FEA">
              <w:rPr>
                <w:rFonts w:ascii="Arial" w:eastAsia="Arial Unicode MS" w:hAnsi="Arial" w:cs="Arial"/>
                <w:i/>
                <w:iCs/>
                <w:bdr w:val="nil"/>
              </w:rPr>
              <w:t xml:space="preserve">5 </w:t>
            </w:r>
            <w:r w:rsidRPr="00564FEA">
              <w:rPr>
                <w:rFonts w:ascii="Arial" w:eastAsia="Arial Unicode MS" w:hAnsi="Arial" w:cs="Arial"/>
                <w:i/>
                <w:iCs/>
                <w:bdr w:val="nil"/>
              </w:rPr>
              <w:t>priedas</w:t>
            </w:r>
            <w:r w:rsidRPr="00564FEA">
              <w:rPr>
                <w:rFonts w:ascii="Arial" w:eastAsia="Arial Unicode MS" w:hAnsi="Arial" w:cs="Arial"/>
                <w:i/>
                <w:iCs/>
                <w:color w:val="FF0000"/>
                <w:bdr w:val="nil"/>
              </w:rPr>
              <w:t xml:space="preserve"> </w:t>
            </w:r>
            <w:r w:rsidR="00FF17CE" w:rsidRPr="00564FEA">
              <w:rPr>
                <w:rFonts w:ascii="Arial" w:eastAsia="Arial Unicode MS" w:hAnsi="Arial" w:cs="Arial"/>
                <w:i/>
                <w:iCs/>
                <w:bdr w:val="nil"/>
              </w:rPr>
              <w:t>EBVPD</w:t>
            </w:r>
            <w:r w:rsidR="004A0DD2">
              <w:rPr>
                <w:rFonts w:ascii="Arial" w:eastAsia="Arial Unicode MS" w:hAnsi="Arial" w:cs="Arial"/>
                <w:i/>
                <w:iCs/>
                <w:bdr w:val="nil"/>
              </w:rPr>
              <w:t xml:space="preserve"> </w:t>
            </w:r>
          </w:p>
          <w:p w14:paraId="61098656" w14:textId="520A93F5" w:rsidR="00731922" w:rsidRPr="004D1999" w:rsidRDefault="00731922" w:rsidP="00731922">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731922" w:rsidRPr="004D1999" w:rsidRDefault="00731922" w:rsidP="00731922">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4C82CCA" w:rsidR="009236EF" w:rsidRPr="004D1999" w:rsidRDefault="00731922" w:rsidP="009236EF">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009236EF" w:rsidRPr="004D1999">
              <w:rPr>
                <w:rFonts w:ascii="Arial" w:eastAsia="Arial Unicode MS" w:hAnsi="Arial" w:cs="Arial"/>
                <w:bCs/>
                <w:i/>
                <w:iCs/>
                <w:bdr w:val="nil"/>
              </w:rPr>
              <w:t xml:space="preserve"> </w:t>
            </w:r>
            <w:r w:rsidR="009236EF" w:rsidRPr="00564FEA">
              <w:rPr>
                <w:rFonts w:ascii="Arial" w:eastAsia="Arial Unicode MS" w:hAnsi="Arial" w:cs="Arial"/>
                <w:bCs/>
                <w:bdr w:val="nil"/>
              </w:rPr>
              <w:t>per paskutinius 5 metus atliktų darbų sąrašas (</w:t>
            </w:r>
            <w:r w:rsidR="00564FEA" w:rsidRPr="00564FEA">
              <w:rPr>
                <w:rFonts w:ascii="Arial" w:eastAsia="Arial Unicode MS" w:hAnsi="Arial" w:cs="Arial"/>
                <w:bCs/>
                <w:i/>
                <w:iCs/>
                <w:bdr w:val="nil"/>
              </w:rPr>
              <w:t>Pirkimo sąlygų priedas Nr. 9</w:t>
            </w:r>
            <w:r w:rsidR="009236EF" w:rsidRPr="00564FEA">
              <w:rPr>
                <w:rFonts w:ascii="Arial" w:eastAsia="Arial Unicode MS" w:hAnsi="Arial" w:cs="Arial"/>
                <w:bCs/>
                <w:bdr w:val="nil"/>
              </w:rPr>
              <w:t>)</w:t>
            </w:r>
          </w:p>
          <w:p w14:paraId="788757CD" w14:textId="77777777" w:rsidR="00731922" w:rsidRPr="004D1999" w:rsidRDefault="00731922" w:rsidP="00731922">
            <w:pPr>
              <w:pBdr>
                <w:top w:val="nil"/>
                <w:left w:val="nil"/>
                <w:bottom w:val="nil"/>
                <w:right w:val="nil"/>
                <w:between w:val="nil"/>
                <w:bar w:val="nil"/>
              </w:pBdr>
              <w:rPr>
                <w:rFonts w:ascii="Arial" w:eastAsia="Arial Unicode MS" w:hAnsi="Arial" w:cs="Arial"/>
                <w:bdr w:val="nil"/>
              </w:rPr>
            </w:pPr>
          </w:p>
          <w:p w14:paraId="738DEE72" w14:textId="779AB5B3" w:rsidR="00FB161B" w:rsidRPr="00FB161B" w:rsidRDefault="00731922" w:rsidP="00214FB4">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sidR="0077565D">
              <w:rPr>
                <w:rFonts w:ascii="Arial" w:eastAsiaTheme="minorHAnsi" w:hAnsi="Arial" w:cs="Arial"/>
                <w:lang w:eastAsia="en-US"/>
              </w:rPr>
              <w:t>apie tinkamai atliktus darbus</w:t>
            </w:r>
            <w:r w:rsidRPr="004D1999">
              <w:rPr>
                <w:rFonts w:ascii="Arial" w:eastAsiaTheme="minorHAnsi" w:hAnsi="Arial" w:cs="Arial"/>
                <w:lang w:eastAsia="en-US"/>
              </w:rPr>
              <w:t>.</w:t>
            </w:r>
            <w:r w:rsidR="00FB161B">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731922" w:rsidRPr="004D1999" w:rsidRDefault="00731922" w:rsidP="0073192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731922" w:rsidRPr="004D1999" w:rsidRDefault="00731922" w:rsidP="0073192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731922" w:rsidRPr="004D1999" w:rsidRDefault="00731922" w:rsidP="00731922">
            <w:pPr>
              <w:pBdr>
                <w:top w:val="nil"/>
                <w:left w:val="nil"/>
                <w:bottom w:val="nil"/>
                <w:right w:val="nil"/>
                <w:between w:val="nil"/>
                <w:bar w:val="nil"/>
              </w:pBdr>
              <w:rPr>
                <w:rFonts w:ascii="Arial" w:eastAsia="Arial Unicode MS" w:hAnsi="Arial" w:cs="Arial"/>
                <w:bdr w:val="nil"/>
              </w:rPr>
            </w:pPr>
          </w:p>
          <w:p w14:paraId="6F186371" w14:textId="77777777" w:rsidR="00731922" w:rsidRPr="004D1999" w:rsidRDefault="00731922" w:rsidP="0073192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731922" w:rsidRPr="004D1999" w:rsidRDefault="00731922" w:rsidP="00731922">
            <w:pPr>
              <w:pBdr>
                <w:top w:val="nil"/>
                <w:left w:val="nil"/>
                <w:bottom w:val="nil"/>
                <w:right w:val="nil"/>
                <w:between w:val="nil"/>
                <w:bar w:val="nil"/>
              </w:pBdr>
              <w:rPr>
                <w:rFonts w:ascii="Arial" w:eastAsia="Arial Unicode MS" w:hAnsi="Arial" w:cs="Arial"/>
                <w:bdr w:val="nil"/>
              </w:rPr>
            </w:pPr>
          </w:p>
          <w:p w14:paraId="270180D4" w14:textId="7B2C45B5" w:rsidR="00731922" w:rsidRPr="004D1999" w:rsidRDefault="00731922" w:rsidP="00731922">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27E8D55A"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w:t>
            </w:r>
            <w:r w:rsidR="004D1999" w:rsidRPr="004D1999">
              <w:rPr>
                <w:rFonts w:ascii="Arial" w:hAnsi="Arial" w:cs="Arial"/>
              </w:rPr>
              <w:lastRenderedPageBreak/>
              <w:t>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0241D78D"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w:t>
            </w:r>
            <w:r w:rsidRPr="004D1999">
              <w:rPr>
                <w:rFonts w:ascii="Arial" w:hAnsi="Arial" w:cs="Arial"/>
                <w:color w:val="000000"/>
              </w:rPr>
              <w:lastRenderedPageBreak/>
              <w:t xml:space="preserve">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2A5" w14:textId="77777777" w:rsidR="00D54149" w:rsidRDefault="00D54149" w:rsidP="00D05666">
      <w:r>
        <w:separator/>
      </w:r>
    </w:p>
  </w:endnote>
  <w:endnote w:type="continuationSeparator" w:id="0">
    <w:p w14:paraId="733D851E" w14:textId="77777777" w:rsidR="00D54149" w:rsidRDefault="00D54149" w:rsidP="00D05666">
      <w:r>
        <w:continuationSeparator/>
      </w:r>
    </w:p>
  </w:endnote>
  <w:endnote w:type="continuationNotice" w:id="1">
    <w:p w14:paraId="27015271" w14:textId="77777777" w:rsidR="00D54149" w:rsidRDefault="00D54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860" w14:textId="77777777" w:rsidR="00D54149" w:rsidRDefault="00D54149" w:rsidP="00D05666">
      <w:r>
        <w:separator/>
      </w:r>
    </w:p>
  </w:footnote>
  <w:footnote w:type="continuationSeparator" w:id="0">
    <w:p w14:paraId="14A8A79B" w14:textId="77777777" w:rsidR="00D54149" w:rsidRDefault="00D54149" w:rsidP="00D05666">
      <w:r>
        <w:continuationSeparator/>
      </w:r>
    </w:p>
  </w:footnote>
  <w:footnote w:type="continuationNotice" w:id="1">
    <w:p w14:paraId="24D39DE3" w14:textId="77777777" w:rsidR="00D54149" w:rsidRDefault="00D54149">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0B2D3D">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293509">
    <w:abstractNumId w:val="0"/>
  </w:num>
  <w:num w:numId="2" w16cid:durableId="97333149">
    <w:abstractNumId w:val="4"/>
  </w:num>
  <w:num w:numId="3" w16cid:durableId="969289028">
    <w:abstractNumId w:val="2"/>
  </w:num>
  <w:num w:numId="4" w16cid:durableId="1458136425">
    <w:abstractNumId w:val="6"/>
  </w:num>
  <w:num w:numId="5" w16cid:durableId="1655447903">
    <w:abstractNumId w:val="5"/>
  </w:num>
  <w:num w:numId="6" w16cid:durableId="1596937129">
    <w:abstractNumId w:val="3"/>
  </w:num>
  <w:num w:numId="7" w16cid:durableId="7147427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6F"/>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79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99"/>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2D48"/>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141"/>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9386F"/>
    <w:rsid w:val="001C379A"/>
    <w:rsid w:val="001E3B26"/>
    <w:rsid w:val="00295EF8"/>
    <w:rsid w:val="002C1509"/>
    <w:rsid w:val="003661A6"/>
    <w:rsid w:val="00430113"/>
    <w:rsid w:val="00460C76"/>
    <w:rsid w:val="0046126A"/>
    <w:rsid w:val="004D38E9"/>
    <w:rsid w:val="0061128F"/>
    <w:rsid w:val="00652F79"/>
    <w:rsid w:val="006D77F5"/>
    <w:rsid w:val="00731487"/>
    <w:rsid w:val="0078514A"/>
    <w:rsid w:val="007C7D73"/>
    <w:rsid w:val="007F25D7"/>
    <w:rsid w:val="00810A25"/>
    <w:rsid w:val="008D6E2A"/>
    <w:rsid w:val="00906FC8"/>
    <w:rsid w:val="00926BF1"/>
    <w:rsid w:val="009520DA"/>
    <w:rsid w:val="00975C18"/>
    <w:rsid w:val="009C5E39"/>
    <w:rsid w:val="009E6FBD"/>
    <w:rsid w:val="00A02E8E"/>
    <w:rsid w:val="00A87851"/>
    <w:rsid w:val="00AD09B5"/>
    <w:rsid w:val="00B02DFF"/>
    <w:rsid w:val="00B031BD"/>
    <w:rsid w:val="00B604DE"/>
    <w:rsid w:val="00B70DD9"/>
    <w:rsid w:val="00C64F5A"/>
    <w:rsid w:val="00CD27B6"/>
    <w:rsid w:val="00CF4CEB"/>
    <w:rsid w:val="00D1288B"/>
    <w:rsid w:val="00E464C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08091-D03E-4524-96BF-0A64110C822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4046</Words>
  <Characters>2307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95</cp:revision>
  <cp:lastPrinted>2021-11-02T20:49:00Z</cp:lastPrinted>
  <dcterms:created xsi:type="dcterms:W3CDTF">2023-05-11T10:23:00Z</dcterms:created>
  <dcterms:modified xsi:type="dcterms:W3CDTF">2025-04-09T12:30:00Z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