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5109671E" w:rsidR="000F17D6" w:rsidRPr="00A1210C" w:rsidRDefault="000F17D6" w:rsidP="000F17D6">
      <w:pPr>
        <w:jc w:val="right"/>
        <w:rPr>
          <w:rFonts w:ascii="Jost" w:hAnsi="Jost" w:hint="eastAsia"/>
          <w:sz w:val="22"/>
          <w:szCs w:val="22"/>
        </w:rPr>
      </w:pPr>
    </w:p>
    <w:p w14:paraId="058888F4" w14:textId="77777777" w:rsidR="000F17D6" w:rsidRPr="00A1210C" w:rsidRDefault="000F17D6" w:rsidP="000F17D6">
      <w:pPr>
        <w:rPr>
          <w:rFonts w:ascii="Jost" w:hAnsi="Jost" w:hint="eastAsia"/>
          <w:sz w:val="22"/>
          <w:szCs w:val="22"/>
        </w:rPr>
      </w:pPr>
    </w:p>
    <w:p w14:paraId="61FAB302" w14:textId="77777777" w:rsidR="000F17D6" w:rsidRPr="00A1210C" w:rsidRDefault="000F17D6" w:rsidP="000F17D6">
      <w:pPr>
        <w:rPr>
          <w:rFonts w:ascii="Jost" w:hAnsi="Jost" w:hint="eastAsia"/>
          <w:i/>
          <w:iCs/>
          <w:sz w:val="22"/>
          <w:szCs w:val="22"/>
        </w:rPr>
      </w:pPr>
      <w:r w:rsidRPr="00A1210C">
        <w:rPr>
          <w:rFonts w:ascii="Jost" w:hAnsi="Jost"/>
          <w:i/>
          <w:iCs/>
          <w:sz w:val="22"/>
          <w:szCs w:val="22"/>
        </w:rPr>
        <w:t>Tiekėjams</w:t>
      </w:r>
    </w:p>
    <w:p w14:paraId="69B240AC" w14:textId="77777777" w:rsidR="000F17D6" w:rsidRPr="00A1210C" w:rsidRDefault="000F17D6" w:rsidP="000F17D6">
      <w:pPr>
        <w:rPr>
          <w:rFonts w:ascii="Jost" w:hAnsi="Jost" w:hint="eastAsia"/>
          <w:i/>
          <w:iCs/>
          <w:sz w:val="22"/>
          <w:szCs w:val="22"/>
        </w:rPr>
      </w:pPr>
      <w:r w:rsidRPr="00A1210C">
        <w:rPr>
          <w:rFonts w:ascii="Jost" w:hAnsi="Jost"/>
          <w:i/>
          <w:iCs/>
          <w:sz w:val="22"/>
          <w:szCs w:val="22"/>
        </w:rPr>
        <w:t>Siunčiama CVP IS priemonėmis</w:t>
      </w:r>
    </w:p>
    <w:p w14:paraId="7667E45E" w14:textId="77777777" w:rsidR="000F17D6" w:rsidRPr="00A1210C" w:rsidRDefault="000F17D6" w:rsidP="000F17D6">
      <w:pPr>
        <w:rPr>
          <w:rFonts w:ascii="Jost" w:hAnsi="Jost" w:hint="eastAsia"/>
          <w:b/>
          <w:bCs/>
          <w:sz w:val="22"/>
          <w:szCs w:val="22"/>
        </w:rPr>
      </w:pPr>
    </w:p>
    <w:p w14:paraId="0AB0DAD8" w14:textId="77777777" w:rsidR="000F17D6" w:rsidRPr="00A1210C" w:rsidRDefault="000F17D6" w:rsidP="000F17D6">
      <w:pPr>
        <w:rPr>
          <w:rFonts w:ascii="Jost" w:hAnsi="Jost" w:hint="eastAsia"/>
          <w:b/>
          <w:bCs/>
          <w:sz w:val="22"/>
          <w:szCs w:val="22"/>
        </w:rPr>
      </w:pPr>
    </w:p>
    <w:p w14:paraId="3DC84B23" w14:textId="064DD9E7" w:rsidR="000F17D6" w:rsidRPr="00A1210C" w:rsidRDefault="000F17D6" w:rsidP="000C2477">
      <w:pPr>
        <w:jc w:val="both"/>
        <w:rPr>
          <w:rFonts w:ascii="Jost" w:hAnsi="Jost" w:hint="eastAsia"/>
          <w:b/>
          <w:bCs/>
          <w:sz w:val="22"/>
          <w:szCs w:val="22"/>
        </w:rPr>
      </w:pPr>
      <w:r w:rsidRPr="00A1210C">
        <w:rPr>
          <w:rFonts w:ascii="Jost" w:hAnsi="Jost"/>
          <w:b/>
          <w:bCs/>
          <w:sz w:val="22"/>
          <w:szCs w:val="22"/>
        </w:rPr>
        <w:t xml:space="preserve">DĖL </w:t>
      </w:r>
      <w:r w:rsidR="000C2477" w:rsidRPr="00A1210C">
        <w:rPr>
          <w:rFonts w:ascii="Jost" w:hAnsi="Jost"/>
          <w:b/>
          <w:bCs/>
          <w:sz w:val="22"/>
          <w:szCs w:val="22"/>
        </w:rPr>
        <w:t>PIRKIMO DOKUMENTŲ TIKSLINIMO SAVO INICIATYVA</w:t>
      </w:r>
    </w:p>
    <w:p w14:paraId="47F7602C" w14:textId="77777777" w:rsidR="000F17D6" w:rsidRPr="00A1210C" w:rsidRDefault="000F17D6" w:rsidP="0023122B">
      <w:pPr>
        <w:rPr>
          <w:rFonts w:ascii="Jost" w:hAnsi="Jost" w:hint="eastAsia"/>
          <w:b/>
          <w:bCs/>
          <w:sz w:val="22"/>
          <w:szCs w:val="22"/>
        </w:rPr>
      </w:pPr>
    </w:p>
    <w:p w14:paraId="7BF8E52D" w14:textId="6C4B0454" w:rsidR="00182E56" w:rsidRPr="00C43CEE" w:rsidRDefault="004724B7" w:rsidP="00182E56">
      <w:pPr>
        <w:spacing w:line="288" w:lineRule="auto"/>
        <w:ind w:firstLine="720"/>
        <w:jc w:val="both"/>
        <w:rPr>
          <w:rFonts w:ascii="Jost" w:hAnsi="Jost" w:hint="eastAsia"/>
          <w:sz w:val="22"/>
          <w:szCs w:val="22"/>
        </w:rPr>
      </w:pPr>
      <w:r w:rsidRPr="00A1210C">
        <w:rPr>
          <w:rFonts w:ascii="Jost" w:hAnsi="Jost"/>
          <w:sz w:val="22"/>
          <w:szCs w:val="22"/>
        </w:rPr>
        <w:t xml:space="preserve">Viešoji įstaiga CPO LT (toliau – CPO LT), </w:t>
      </w:r>
      <w:bookmarkStart w:id="0" w:name="_Hlk120190959"/>
      <w:r w:rsidRPr="00A1210C">
        <w:rPr>
          <w:rFonts w:ascii="Jost" w:hAnsi="Jost"/>
          <w:sz w:val="22"/>
          <w:szCs w:val="22"/>
        </w:rPr>
        <w:t xml:space="preserve">vykdydama viešąjį pirkimą </w:t>
      </w:r>
      <w:r w:rsidR="0023122B" w:rsidRPr="00A1210C">
        <w:rPr>
          <w:rFonts w:ascii="Jost" w:hAnsi="Jost"/>
          <w:sz w:val="22"/>
          <w:szCs w:val="22"/>
        </w:rPr>
        <w:t>„</w:t>
      </w:r>
      <w:r w:rsidR="00982E48" w:rsidRPr="00A1210C">
        <w:rPr>
          <w:rFonts w:ascii="Jost" w:hAnsi="Jost"/>
          <w:b/>
          <w:bCs/>
          <w:i/>
          <w:iCs/>
          <w:sz w:val="22"/>
          <w:szCs w:val="22"/>
        </w:rPr>
        <w:t>Veiklos valdymo sistemos kūrimas</w:t>
      </w:r>
      <w:r w:rsidR="00FC6AE4" w:rsidRPr="00A1210C">
        <w:rPr>
          <w:rFonts w:ascii="Jost" w:hAnsi="Jost"/>
          <w:sz w:val="22"/>
          <w:szCs w:val="22"/>
        </w:rPr>
        <w:t>“</w:t>
      </w:r>
      <w:r w:rsidR="00FC6AE4" w:rsidRPr="00A1210C">
        <w:rPr>
          <w:rFonts w:ascii="Jost" w:eastAsiaTheme="minorHAnsi" w:hAnsi="Jost"/>
          <w:sz w:val="22"/>
          <w:szCs w:val="22"/>
        </w:rPr>
        <w:t xml:space="preserve">, </w:t>
      </w:r>
      <w:r w:rsidR="00FC6AE4" w:rsidRPr="00A1210C">
        <w:rPr>
          <w:rFonts w:ascii="Jost" w:hAnsi="Jost"/>
          <w:sz w:val="22"/>
          <w:szCs w:val="22"/>
        </w:rPr>
        <w:t xml:space="preserve">atviro (supaprastinto) konkurso būdu (pirkimo ID </w:t>
      </w:r>
      <w:r w:rsidR="004D335D" w:rsidRPr="00A1210C">
        <w:rPr>
          <w:rFonts w:ascii="Jost" w:hAnsi="Jost"/>
          <w:sz w:val="22"/>
          <w:szCs w:val="22"/>
        </w:rPr>
        <w:t>1</w:t>
      </w:r>
      <w:r w:rsidR="00F313EE" w:rsidRPr="00A1210C">
        <w:rPr>
          <w:rFonts w:ascii="Jost" w:hAnsi="Jost"/>
          <w:sz w:val="22"/>
          <w:szCs w:val="22"/>
        </w:rPr>
        <w:t>732035</w:t>
      </w:r>
      <w:r w:rsidR="00FC6AE4" w:rsidRPr="00A1210C">
        <w:rPr>
          <w:rFonts w:ascii="Jost" w:hAnsi="Jost"/>
          <w:sz w:val="22"/>
          <w:szCs w:val="22"/>
        </w:rPr>
        <w:t>, toliau – Pirkimas)</w:t>
      </w:r>
      <w:r w:rsidRPr="00A1210C">
        <w:rPr>
          <w:rFonts w:ascii="Jost" w:hAnsi="Jost"/>
          <w:sz w:val="22"/>
          <w:szCs w:val="22"/>
        </w:rPr>
        <w:t xml:space="preserve">, </w:t>
      </w:r>
      <w:bookmarkEnd w:id="0"/>
      <w:r w:rsidR="00442B1B" w:rsidRPr="00A1210C">
        <w:rPr>
          <w:rFonts w:ascii="Jost" w:hAnsi="Jost"/>
          <w:sz w:val="22"/>
          <w:szCs w:val="22"/>
        </w:rPr>
        <w:t>informuoja,</w:t>
      </w:r>
      <w:r w:rsidR="00B20052" w:rsidRPr="00A1210C">
        <w:rPr>
          <w:rFonts w:ascii="Jost" w:hAnsi="Jost"/>
          <w:sz w:val="22"/>
          <w:szCs w:val="22"/>
        </w:rPr>
        <w:t xml:space="preserve"> kad</w:t>
      </w:r>
      <w:r w:rsidR="00442B1B" w:rsidRPr="00A1210C">
        <w:rPr>
          <w:rFonts w:ascii="Jost" w:hAnsi="Jost"/>
          <w:sz w:val="22"/>
          <w:szCs w:val="22"/>
        </w:rPr>
        <w:t xml:space="preserve"> vadovaudamasi </w:t>
      </w:r>
      <w:r w:rsidR="008F2BE0" w:rsidRPr="00A1210C">
        <w:rPr>
          <w:rFonts w:ascii="Jost" w:hAnsi="Jost"/>
          <w:sz w:val="22"/>
          <w:szCs w:val="22"/>
        </w:rPr>
        <w:t>LR viešųjų pirkimų įstatymo</w:t>
      </w:r>
      <w:r w:rsidR="00D81EC0" w:rsidRPr="00A1210C">
        <w:rPr>
          <w:rFonts w:ascii="Jost" w:hAnsi="Jost"/>
          <w:sz w:val="22"/>
          <w:szCs w:val="22"/>
        </w:rPr>
        <w:t xml:space="preserve"> (toliau – VPĮ)</w:t>
      </w:r>
      <w:r w:rsidR="008F2BE0" w:rsidRPr="00A1210C">
        <w:rPr>
          <w:rFonts w:ascii="Jost" w:hAnsi="Jost"/>
          <w:sz w:val="22"/>
          <w:szCs w:val="22"/>
        </w:rPr>
        <w:t xml:space="preserve"> </w:t>
      </w:r>
      <w:r w:rsidR="00442B1B" w:rsidRPr="00A1210C">
        <w:rPr>
          <w:rFonts w:ascii="Jost" w:hAnsi="Jost"/>
          <w:sz w:val="22"/>
          <w:szCs w:val="22"/>
        </w:rPr>
        <w:t xml:space="preserve">36 str. </w:t>
      </w:r>
      <w:r w:rsidR="00B20052" w:rsidRPr="00A1210C">
        <w:rPr>
          <w:rFonts w:ascii="Jost" w:hAnsi="Jost"/>
          <w:sz w:val="22"/>
          <w:szCs w:val="22"/>
        </w:rPr>
        <w:t>6</w:t>
      </w:r>
      <w:r w:rsidR="00442B1B" w:rsidRPr="00A1210C">
        <w:rPr>
          <w:rFonts w:ascii="Jost" w:hAnsi="Jost"/>
          <w:sz w:val="22"/>
          <w:szCs w:val="22"/>
        </w:rPr>
        <w:t xml:space="preserve"> d. ir Pirkimo dokumentų Bendrųjų sąlygų 5.</w:t>
      </w:r>
      <w:r w:rsidR="00B20052" w:rsidRPr="00A1210C">
        <w:rPr>
          <w:rFonts w:ascii="Jost" w:hAnsi="Jost"/>
          <w:sz w:val="22"/>
          <w:szCs w:val="22"/>
        </w:rPr>
        <w:t>4</w:t>
      </w:r>
      <w:r w:rsidR="00442B1B" w:rsidRPr="00A1210C">
        <w:rPr>
          <w:rFonts w:ascii="Jost" w:hAnsi="Jost"/>
          <w:sz w:val="22"/>
          <w:szCs w:val="22"/>
        </w:rPr>
        <w:t xml:space="preserve"> p.,</w:t>
      </w:r>
      <w:r w:rsidR="005A6BC8" w:rsidRPr="00A1210C">
        <w:rPr>
          <w:rFonts w:ascii="Jost" w:hAnsi="Jost"/>
          <w:sz w:val="22"/>
          <w:szCs w:val="22"/>
        </w:rPr>
        <w:t xml:space="preserve"> </w:t>
      </w:r>
      <w:r w:rsidR="00552A50" w:rsidRPr="003919B7">
        <w:rPr>
          <w:rFonts w:ascii="Jost" w:hAnsi="Jost"/>
          <w:b/>
          <w:bCs/>
          <w:sz w:val="22"/>
          <w:szCs w:val="22"/>
        </w:rPr>
        <w:t>tikslina</w:t>
      </w:r>
      <w:r w:rsidR="00552A50" w:rsidRPr="00A1210C">
        <w:rPr>
          <w:rFonts w:ascii="Jost" w:hAnsi="Jost"/>
          <w:sz w:val="22"/>
          <w:szCs w:val="22"/>
        </w:rPr>
        <w:t xml:space="preserve"> Pirkimo dokumentų </w:t>
      </w:r>
      <w:r w:rsidR="00F01AB0" w:rsidRPr="00A1210C">
        <w:rPr>
          <w:rFonts w:ascii="Jost" w:hAnsi="Jost"/>
          <w:sz w:val="22"/>
          <w:szCs w:val="22"/>
        </w:rPr>
        <w:t>7</w:t>
      </w:r>
      <w:r w:rsidR="00552A50" w:rsidRPr="00A1210C">
        <w:rPr>
          <w:rFonts w:ascii="Jost" w:hAnsi="Jost"/>
          <w:sz w:val="22"/>
          <w:szCs w:val="22"/>
        </w:rPr>
        <w:t xml:space="preserve"> priedo „</w:t>
      </w:r>
      <w:r w:rsidR="002272A5" w:rsidRPr="00A1210C">
        <w:rPr>
          <w:rFonts w:ascii="Jost" w:eastAsia="Times New Roman" w:hAnsi="Jost"/>
          <w:sz w:val="22"/>
          <w:szCs w:val="22"/>
          <w:bdr w:val="none" w:sz="0" w:space="0" w:color="auto"/>
          <w:lang w:eastAsia="lt-LT"/>
        </w:rPr>
        <w:t>Kokybės kriterijai ir jų vertinimas</w:t>
      </w:r>
      <w:r w:rsidR="00552A50" w:rsidRPr="00A1210C">
        <w:rPr>
          <w:rFonts w:ascii="Jost" w:hAnsi="Jost"/>
          <w:sz w:val="22"/>
          <w:szCs w:val="22"/>
        </w:rPr>
        <w:t>“ nurodyt</w:t>
      </w:r>
      <w:r w:rsidR="00B6675B" w:rsidRPr="00A1210C">
        <w:rPr>
          <w:rFonts w:ascii="Jost" w:hAnsi="Jost"/>
          <w:sz w:val="22"/>
          <w:szCs w:val="22"/>
        </w:rPr>
        <w:t>ą</w:t>
      </w:r>
      <w:r w:rsidR="00552A50" w:rsidRPr="00A1210C">
        <w:rPr>
          <w:rFonts w:ascii="Jost" w:hAnsi="Jost"/>
          <w:sz w:val="22"/>
          <w:szCs w:val="22"/>
        </w:rPr>
        <w:t xml:space="preserve"> informacij</w:t>
      </w:r>
      <w:r w:rsidR="00B6675B" w:rsidRPr="00A1210C">
        <w:rPr>
          <w:rFonts w:ascii="Jost" w:hAnsi="Jost"/>
          <w:sz w:val="22"/>
          <w:szCs w:val="22"/>
        </w:rPr>
        <w:t>ą</w:t>
      </w:r>
      <w:r w:rsidR="00F313EE" w:rsidRPr="00A1210C">
        <w:rPr>
          <w:rFonts w:ascii="Jost" w:hAnsi="Jost"/>
          <w:sz w:val="22"/>
          <w:szCs w:val="22"/>
        </w:rPr>
        <w:t xml:space="preserve"> (aktuali redakcija </w:t>
      </w:r>
      <w:r w:rsidR="00F313EE" w:rsidRPr="00C43CEE">
        <w:rPr>
          <w:rFonts w:ascii="Jost" w:hAnsi="Jost"/>
          <w:sz w:val="22"/>
          <w:szCs w:val="22"/>
        </w:rPr>
        <w:t>pridedama)</w:t>
      </w:r>
      <w:r w:rsidR="002272A5" w:rsidRPr="00C43CEE">
        <w:rPr>
          <w:rFonts w:ascii="Jost" w:hAnsi="Jost"/>
          <w:sz w:val="22"/>
          <w:szCs w:val="22"/>
        </w:rPr>
        <w:t>.</w:t>
      </w:r>
    </w:p>
    <w:p w14:paraId="3285EB5A" w14:textId="3C35C765" w:rsidR="00AE132D" w:rsidRPr="00C43CEE" w:rsidRDefault="00AE132D" w:rsidP="00AE132D">
      <w:pPr>
        <w:spacing w:line="288" w:lineRule="auto"/>
        <w:ind w:firstLine="720"/>
        <w:jc w:val="both"/>
        <w:rPr>
          <w:rFonts w:ascii="Jost" w:hAnsi="Jost" w:hint="eastAsia"/>
          <w:sz w:val="22"/>
          <w:szCs w:val="22"/>
        </w:rPr>
      </w:pPr>
      <w:r w:rsidRPr="00C43CEE">
        <w:rPr>
          <w:rFonts w:ascii="Jost" w:hAnsi="Jost"/>
          <w:sz w:val="22"/>
          <w:szCs w:val="22"/>
        </w:rPr>
        <w:t xml:space="preserve">CPO LT viešojo pirkimo komisija (toliau – Komisija), </w:t>
      </w:r>
      <w:r w:rsidR="00B06F9C" w:rsidRPr="00C43CEE">
        <w:rPr>
          <w:rFonts w:ascii="Jost" w:eastAsia="Times New Roman" w:hAnsi="Jost"/>
          <w:sz w:val="22"/>
          <w:szCs w:val="22"/>
          <w:bdr w:val="none" w:sz="0" w:space="0" w:color="auto"/>
          <w:lang w:eastAsia="lt-LT"/>
        </w:rPr>
        <w:t xml:space="preserve">atsižvelgiant į gautą pretenziją ir 7 priedo „Kokybės kriterijai ir jų vertinimas“ atliktus koregavimus </w:t>
      </w:r>
      <w:r w:rsidR="00B06F9C" w:rsidRPr="00C43CEE">
        <w:rPr>
          <w:rFonts w:ascii="Jost" w:eastAsia="Times New Roman" w:hAnsi="Jost"/>
          <w:b/>
          <w:bCs/>
          <w:sz w:val="22"/>
          <w:szCs w:val="22"/>
          <w:bdr w:val="none" w:sz="0" w:space="0" w:color="auto"/>
          <w:lang w:eastAsia="lt-LT"/>
        </w:rPr>
        <w:t>tikslina</w:t>
      </w:r>
      <w:r w:rsidR="00B06F9C" w:rsidRPr="00C43CEE">
        <w:rPr>
          <w:rFonts w:ascii="Jost" w:eastAsia="Times New Roman" w:hAnsi="Jost"/>
          <w:sz w:val="22"/>
          <w:szCs w:val="22"/>
          <w:bdr w:val="none" w:sz="0" w:space="0" w:color="auto"/>
          <w:lang w:eastAsia="lt-LT"/>
        </w:rPr>
        <w:t xml:space="preserve"> 2025-04-04 </w:t>
      </w:r>
      <w:r w:rsidR="003919B7" w:rsidRPr="00C43CEE">
        <w:rPr>
          <w:rFonts w:ascii="Jost" w:eastAsia="Times New Roman" w:hAnsi="Jost"/>
          <w:sz w:val="22"/>
          <w:szCs w:val="22"/>
          <w:bdr w:val="none" w:sz="0" w:space="0" w:color="auto"/>
          <w:lang w:eastAsia="lt-LT"/>
        </w:rPr>
        <w:t xml:space="preserve">atsakymą, </w:t>
      </w:r>
      <w:r w:rsidR="00B06F9C" w:rsidRPr="00C43CEE">
        <w:rPr>
          <w:rFonts w:ascii="Jost" w:eastAsia="Times New Roman" w:hAnsi="Jost"/>
          <w:sz w:val="22"/>
          <w:szCs w:val="22"/>
          <w:bdr w:val="none" w:sz="0" w:space="0" w:color="auto"/>
          <w:lang w:eastAsia="lt-LT"/>
        </w:rPr>
        <w:t>pateikt</w:t>
      </w:r>
      <w:r w:rsidR="001059DF" w:rsidRPr="00C43CEE">
        <w:rPr>
          <w:rFonts w:ascii="Jost" w:eastAsia="Times New Roman" w:hAnsi="Jost"/>
          <w:sz w:val="22"/>
          <w:szCs w:val="22"/>
          <w:bdr w:val="none" w:sz="0" w:space="0" w:color="auto"/>
          <w:lang w:eastAsia="lt-LT"/>
        </w:rPr>
        <w:t>ą</w:t>
      </w:r>
      <w:r w:rsidR="003919B7" w:rsidRPr="00C43CEE">
        <w:rPr>
          <w:rFonts w:ascii="Jost" w:eastAsia="Times New Roman" w:hAnsi="Jost"/>
          <w:sz w:val="22"/>
          <w:szCs w:val="22"/>
          <w:bdr w:val="none" w:sz="0" w:space="0" w:color="auto"/>
          <w:lang w:eastAsia="lt-LT"/>
        </w:rPr>
        <w:t xml:space="preserve"> į tiekėjo užduotą klausimą (</w:t>
      </w:r>
      <w:r w:rsidR="003919B7" w:rsidRPr="00C43CEE">
        <w:rPr>
          <w:rFonts w:ascii="Jost" w:hAnsi="Jost"/>
          <w:sz w:val="22"/>
          <w:szCs w:val="22"/>
        </w:rPr>
        <w:t>aktuali redakcija pridedama).</w:t>
      </w:r>
    </w:p>
    <w:p w14:paraId="64C69D1A" w14:textId="77777777" w:rsidR="00AE132D" w:rsidRPr="00C43CEE" w:rsidRDefault="00AE132D" w:rsidP="00182E56">
      <w:pPr>
        <w:spacing w:line="288" w:lineRule="auto"/>
        <w:ind w:firstLine="720"/>
        <w:jc w:val="both"/>
        <w:rPr>
          <w:rFonts w:ascii="Jost" w:hAnsi="Jost" w:hint="eastAsia"/>
          <w:sz w:val="22"/>
          <w:szCs w:val="22"/>
        </w:rPr>
      </w:pPr>
    </w:p>
    <w:tbl>
      <w:tblPr>
        <w:tblStyle w:val="Lentelstinklelis"/>
        <w:tblW w:w="9781" w:type="dxa"/>
        <w:tblInd w:w="-5" w:type="dxa"/>
        <w:tblLook w:val="04A0" w:firstRow="1" w:lastRow="0" w:firstColumn="1" w:lastColumn="0" w:noHBand="0" w:noVBand="1"/>
      </w:tblPr>
      <w:tblGrid>
        <w:gridCol w:w="9781"/>
      </w:tblGrid>
      <w:tr w:rsidR="00246A5A" w:rsidRPr="00C43CEE" w14:paraId="58939B4E" w14:textId="77777777" w:rsidTr="006667CF">
        <w:trPr>
          <w:trHeight w:val="400"/>
        </w:trPr>
        <w:tc>
          <w:tcPr>
            <w:tcW w:w="9781" w:type="dxa"/>
            <w:shd w:val="clear" w:color="auto" w:fill="DAE9F7" w:themeFill="text2" w:themeFillTint="1A"/>
          </w:tcPr>
          <w:p w14:paraId="5DE295A4" w14:textId="4F7E9509" w:rsidR="00246A5A" w:rsidRPr="00C43CEE" w:rsidRDefault="00246A5A" w:rsidP="006667CF">
            <w:pPr>
              <w:spacing w:line="276" w:lineRule="auto"/>
              <w:jc w:val="both"/>
              <w:rPr>
                <w:rFonts w:ascii="Jost" w:hAnsi="Jost" w:hint="eastAsia"/>
                <w:sz w:val="22"/>
                <w:szCs w:val="22"/>
                <w:lang w:val="lt-LT"/>
              </w:rPr>
            </w:pPr>
            <w:r w:rsidRPr="00C43CEE">
              <w:rPr>
                <w:rFonts w:ascii="Jost" w:hAnsi="Jost"/>
                <w:b/>
                <w:bCs/>
                <w:sz w:val="22"/>
                <w:szCs w:val="22"/>
                <w:lang w:val="lt-LT"/>
              </w:rPr>
              <w:t xml:space="preserve">Klausimas </w:t>
            </w:r>
            <w:r w:rsidRPr="00C43CEE">
              <w:rPr>
                <w:rFonts w:ascii="Jost" w:hAnsi="Jost"/>
                <w:sz w:val="22"/>
                <w:szCs w:val="22"/>
                <w:lang w:val="lt-LT"/>
              </w:rPr>
              <w:t>(klausimo tekstas netaisytas)</w:t>
            </w:r>
          </w:p>
        </w:tc>
      </w:tr>
      <w:tr w:rsidR="00246A5A" w:rsidRPr="00C43CEE" w14:paraId="0FD4EC7D" w14:textId="77777777" w:rsidTr="006667CF">
        <w:trPr>
          <w:trHeight w:val="400"/>
        </w:trPr>
        <w:tc>
          <w:tcPr>
            <w:tcW w:w="9781" w:type="dxa"/>
            <w:shd w:val="clear" w:color="auto" w:fill="auto"/>
          </w:tcPr>
          <w:p w14:paraId="31B9DA4D" w14:textId="77777777" w:rsidR="00246A5A" w:rsidRPr="00C43CEE" w:rsidRDefault="00246A5A" w:rsidP="006667CF">
            <w:pPr>
              <w:spacing w:line="276" w:lineRule="auto"/>
              <w:jc w:val="both"/>
              <w:rPr>
                <w:rFonts w:ascii="Jost" w:hAnsi="Jost" w:hint="eastAsia"/>
                <w:sz w:val="22"/>
                <w:szCs w:val="22"/>
                <w:lang w:val="lt-LT"/>
              </w:rPr>
            </w:pPr>
            <w:r w:rsidRPr="00C43CEE">
              <w:rPr>
                <w:rFonts w:ascii="Jost" w:hAnsi="Jost"/>
                <w:sz w:val="22"/>
                <w:szCs w:val="22"/>
                <w:lang w:val="lt-LT"/>
              </w:rPr>
              <w:t xml:space="preserve">Specialiųjų pirkimo sąlygų 7 priedo „Kokybės kriterijai ir jų vertinimas“, 2 lentelėje (Kokybinių kriterijų parametrų vertinimo balų skyrimo reikšmės) aprašytas 3 kriterijus: Integracijų su išorinėmis sistemomis skaičius ir nurodyta, kad bus vertinamas pasiūlytas integracijų su išorinėmis sistemomis skaičius (neįskaitant privalomos užtikrinti integracijos su </w:t>
            </w:r>
            <w:proofErr w:type="spellStart"/>
            <w:r w:rsidRPr="00C43CEE">
              <w:rPr>
                <w:rFonts w:ascii="Jost" w:hAnsi="Jost"/>
                <w:sz w:val="22"/>
                <w:szCs w:val="22"/>
                <w:lang w:val="lt-LT"/>
              </w:rPr>
              <w:t>Sharepoint</w:t>
            </w:r>
            <w:proofErr w:type="spellEnd"/>
            <w:r w:rsidRPr="00C43CEE">
              <w:rPr>
                <w:rFonts w:ascii="Jost" w:hAnsi="Jost"/>
                <w:sz w:val="22"/>
                <w:szCs w:val="22"/>
                <w:lang w:val="lt-LT"/>
              </w:rPr>
              <w:t xml:space="preserve">). Vertinamos tos siūlomos integracijos, kurios yra aktualios panaudojimui Biuro veiklos procesuose. </w:t>
            </w:r>
          </w:p>
          <w:p w14:paraId="41F88314" w14:textId="77777777" w:rsidR="00246A5A" w:rsidRPr="00C43CEE" w:rsidRDefault="00246A5A" w:rsidP="006667CF">
            <w:pPr>
              <w:spacing w:line="276" w:lineRule="auto"/>
              <w:jc w:val="both"/>
              <w:rPr>
                <w:rFonts w:ascii="Jost" w:hAnsi="Jost" w:hint="eastAsia"/>
                <w:sz w:val="22"/>
                <w:szCs w:val="22"/>
                <w:lang w:val="lt-LT"/>
              </w:rPr>
            </w:pPr>
            <w:r w:rsidRPr="00C43CEE">
              <w:rPr>
                <w:rFonts w:ascii="Jost" w:hAnsi="Jost"/>
                <w:sz w:val="22"/>
                <w:szCs w:val="22"/>
                <w:lang w:val="lt-LT"/>
              </w:rPr>
              <w:t xml:space="preserve">Norime paklausti, ar Perkančiajai organizacijai yra aktualios šios integracijos: </w:t>
            </w:r>
          </w:p>
          <w:p w14:paraId="75C97E90" w14:textId="77777777" w:rsidR="00246A5A" w:rsidRPr="00C43CEE" w:rsidRDefault="00246A5A" w:rsidP="006667CF">
            <w:pPr>
              <w:spacing w:line="276" w:lineRule="auto"/>
              <w:jc w:val="both"/>
              <w:rPr>
                <w:rFonts w:ascii="Jost" w:hAnsi="Jost" w:hint="eastAsia"/>
                <w:sz w:val="22"/>
                <w:szCs w:val="22"/>
                <w:lang w:val="lt-LT"/>
              </w:rPr>
            </w:pPr>
            <w:r w:rsidRPr="00C43CEE">
              <w:rPr>
                <w:rFonts w:ascii="Jost" w:hAnsi="Jost"/>
                <w:sz w:val="22"/>
                <w:szCs w:val="22"/>
                <w:lang w:val="lt-LT"/>
              </w:rPr>
              <w:t>- Integracija su finansų apskaitos (buhalterine) sistema:</w:t>
            </w:r>
          </w:p>
          <w:p w14:paraId="4E095485" w14:textId="77777777" w:rsidR="00246A5A" w:rsidRPr="00C43CEE" w:rsidRDefault="00246A5A" w:rsidP="006667CF">
            <w:pPr>
              <w:spacing w:line="276" w:lineRule="auto"/>
              <w:jc w:val="both"/>
              <w:rPr>
                <w:rFonts w:ascii="Jost" w:hAnsi="Jost" w:hint="eastAsia"/>
                <w:sz w:val="22"/>
                <w:szCs w:val="22"/>
                <w:lang w:val="lt-LT"/>
              </w:rPr>
            </w:pPr>
            <w:r w:rsidRPr="00C43CEE">
              <w:rPr>
                <w:rFonts w:ascii="Jost" w:hAnsi="Jost"/>
                <w:sz w:val="22"/>
                <w:szCs w:val="22"/>
                <w:lang w:val="lt-LT"/>
              </w:rPr>
              <w:t xml:space="preserve">- Integracija su Registrų centru, </w:t>
            </w:r>
          </w:p>
          <w:p w14:paraId="56FC560B" w14:textId="77777777" w:rsidR="00246A5A" w:rsidRPr="00C43CEE" w:rsidRDefault="00246A5A" w:rsidP="006667CF">
            <w:pPr>
              <w:spacing w:line="276" w:lineRule="auto"/>
              <w:jc w:val="both"/>
              <w:rPr>
                <w:rFonts w:ascii="Jost" w:hAnsi="Jost" w:hint="eastAsia"/>
                <w:sz w:val="22"/>
                <w:szCs w:val="22"/>
                <w:lang w:val="lt-LT"/>
              </w:rPr>
            </w:pPr>
            <w:r w:rsidRPr="00C43CEE">
              <w:rPr>
                <w:rFonts w:ascii="Jost" w:hAnsi="Jost"/>
                <w:sz w:val="22"/>
                <w:szCs w:val="22"/>
                <w:lang w:val="lt-LT"/>
              </w:rPr>
              <w:t xml:space="preserve">- Integracija su </w:t>
            </w:r>
            <w:proofErr w:type="spellStart"/>
            <w:r w:rsidRPr="00C43CEE">
              <w:rPr>
                <w:rFonts w:ascii="Jost" w:hAnsi="Jost"/>
                <w:sz w:val="22"/>
                <w:szCs w:val="22"/>
                <w:lang w:val="lt-LT"/>
              </w:rPr>
              <w:t>PowerBI</w:t>
            </w:r>
            <w:proofErr w:type="spellEnd"/>
            <w:r w:rsidRPr="00C43CEE">
              <w:rPr>
                <w:rFonts w:ascii="Jost" w:hAnsi="Jost"/>
                <w:sz w:val="22"/>
                <w:szCs w:val="22"/>
                <w:lang w:val="lt-LT"/>
              </w:rPr>
              <w:t xml:space="preserve">, </w:t>
            </w:r>
          </w:p>
          <w:p w14:paraId="297DDB22" w14:textId="77777777" w:rsidR="00246A5A" w:rsidRPr="00C43CEE" w:rsidRDefault="00246A5A" w:rsidP="006667CF">
            <w:pPr>
              <w:spacing w:line="276" w:lineRule="auto"/>
              <w:jc w:val="both"/>
              <w:rPr>
                <w:rFonts w:ascii="Jost" w:hAnsi="Jost" w:hint="eastAsia"/>
                <w:sz w:val="22"/>
                <w:szCs w:val="22"/>
                <w:lang w:val="lt-LT"/>
              </w:rPr>
            </w:pPr>
            <w:r w:rsidRPr="00C43CEE">
              <w:rPr>
                <w:rFonts w:ascii="Jost" w:hAnsi="Jost"/>
                <w:sz w:val="22"/>
                <w:szCs w:val="22"/>
                <w:lang w:val="lt-LT"/>
              </w:rPr>
              <w:t xml:space="preserve">- Integracija su DBSIS, </w:t>
            </w:r>
          </w:p>
          <w:p w14:paraId="5C4C79D9" w14:textId="77777777" w:rsidR="00246A5A" w:rsidRPr="00C43CEE" w:rsidRDefault="00246A5A" w:rsidP="006667CF">
            <w:pPr>
              <w:spacing w:line="276" w:lineRule="auto"/>
              <w:jc w:val="both"/>
              <w:rPr>
                <w:rFonts w:ascii="Jost" w:hAnsi="Jost" w:hint="eastAsia"/>
                <w:sz w:val="22"/>
                <w:szCs w:val="22"/>
                <w:lang w:val="lt-LT"/>
              </w:rPr>
            </w:pPr>
            <w:r w:rsidRPr="00C43CEE">
              <w:rPr>
                <w:rFonts w:ascii="Jost" w:hAnsi="Jost"/>
                <w:sz w:val="22"/>
                <w:szCs w:val="22"/>
                <w:lang w:val="lt-LT"/>
              </w:rPr>
              <w:t xml:space="preserve">- Integracija su ECOCOST, </w:t>
            </w:r>
          </w:p>
          <w:p w14:paraId="7CEB5325" w14:textId="77777777" w:rsidR="00246A5A" w:rsidRPr="00C43CEE" w:rsidRDefault="00246A5A" w:rsidP="006667CF">
            <w:pPr>
              <w:spacing w:line="276" w:lineRule="auto"/>
              <w:jc w:val="both"/>
              <w:rPr>
                <w:rFonts w:ascii="Jost" w:hAnsi="Jost" w:hint="eastAsia"/>
                <w:sz w:val="22"/>
                <w:szCs w:val="22"/>
                <w:lang w:val="lt-LT"/>
              </w:rPr>
            </w:pPr>
            <w:r w:rsidRPr="00C43CEE">
              <w:rPr>
                <w:rFonts w:ascii="Jost" w:hAnsi="Jost"/>
                <w:sz w:val="22"/>
                <w:szCs w:val="22"/>
                <w:lang w:val="lt-LT"/>
              </w:rPr>
              <w:t xml:space="preserve">- Integracija su </w:t>
            </w:r>
            <w:proofErr w:type="spellStart"/>
            <w:r w:rsidRPr="00C43CEE">
              <w:rPr>
                <w:rFonts w:ascii="Jost" w:hAnsi="Jost"/>
                <w:sz w:val="22"/>
                <w:szCs w:val="22"/>
                <w:lang w:val="lt-LT"/>
              </w:rPr>
              <w:t>Dokobit</w:t>
            </w:r>
            <w:proofErr w:type="spellEnd"/>
            <w:r w:rsidRPr="00C43CEE">
              <w:rPr>
                <w:rFonts w:ascii="Jost" w:hAnsi="Jost"/>
                <w:sz w:val="22"/>
                <w:szCs w:val="22"/>
                <w:lang w:val="lt-LT"/>
              </w:rPr>
              <w:t xml:space="preserve">, </w:t>
            </w:r>
          </w:p>
          <w:p w14:paraId="6AE1A00F" w14:textId="77777777" w:rsidR="00246A5A" w:rsidRPr="00C43CEE" w:rsidRDefault="00246A5A" w:rsidP="006667CF">
            <w:pPr>
              <w:spacing w:line="276" w:lineRule="auto"/>
              <w:jc w:val="both"/>
              <w:rPr>
                <w:rFonts w:ascii="Jost" w:hAnsi="Jost" w:hint="eastAsia"/>
                <w:sz w:val="22"/>
                <w:szCs w:val="22"/>
                <w:lang w:val="lt-LT"/>
              </w:rPr>
            </w:pPr>
            <w:r w:rsidRPr="00C43CEE">
              <w:rPr>
                <w:rFonts w:ascii="Jost" w:hAnsi="Jost"/>
                <w:sz w:val="22"/>
                <w:szCs w:val="22"/>
                <w:lang w:val="lt-LT"/>
              </w:rPr>
              <w:t xml:space="preserve">- Integracija su Licencijų informacine sistema? </w:t>
            </w:r>
          </w:p>
          <w:p w14:paraId="6CC655C2" w14:textId="77777777" w:rsidR="00246A5A" w:rsidRPr="00C43CEE" w:rsidRDefault="00246A5A" w:rsidP="006667CF">
            <w:pPr>
              <w:spacing w:line="276" w:lineRule="auto"/>
              <w:jc w:val="both"/>
              <w:rPr>
                <w:rFonts w:ascii="Jost" w:hAnsi="Jost" w:hint="eastAsia"/>
                <w:i/>
                <w:iCs/>
                <w:sz w:val="22"/>
                <w:szCs w:val="22"/>
                <w:lang w:val="lt-LT"/>
              </w:rPr>
            </w:pPr>
            <w:r w:rsidRPr="00C43CEE">
              <w:rPr>
                <w:rFonts w:ascii="Jost" w:hAnsi="Jost"/>
                <w:sz w:val="22"/>
                <w:szCs w:val="22"/>
                <w:lang w:val="lt-LT"/>
              </w:rPr>
              <w:t>Taip pat prašome nurodyti ir kitas integracijas (nepaminėtas aukščiau), kurios aktualios panaudojimui.</w:t>
            </w:r>
          </w:p>
        </w:tc>
      </w:tr>
      <w:tr w:rsidR="00246A5A" w:rsidRPr="00C43CEE" w14:paraId="565C80DB" w14:textId="77777777" w:rsidTr="006667CF">
        <w:trPr>
          <w:trHeight w:val="400"/>
        </w:trPr>
        <w:tc>
          <w:tcPr>
            <w:tcW w:w="9781" w:type="dxa"/>
            <w:shd w:val="clear" w:color="auto" w:fill="C1F0C7" w:themeFill="accent3" w:themeFillTint="33"/>
          </w:tcPr>
          <w:p w14:paraId="7681385F" w14:textId="04D20834" w:rsidR="00246A5A" w:rsidRPr="00C43CEE" w:rsidRDefault="00F02363" w:rsidP="006667CF">
            <w:pPr>
              <w:spacing w:line="276" w:lineRule="auto"/>
              <w:jc w:val="both"/>
              <w:rPr>
                <w:rFonts w:ascii="Jost" w:hAnsi="Jost" w:hint="eastAsia"/>
                <w:sz w:val="22"/>
                <w:szCs w:val="22"/>
                <w:lang w:val="lt-LT"/>
              </w:rPr>
            </w:pPr>
            <w:r w:rsidRPr="00C43CEE">
              <w:rPr>
                <w:rFonts w:ascii="Jost" w:hAnsi="Jost"/>
                <w:b/>
                <w:bCs/>
                <w:sz w:val="22"/>
                <w:szCs w:val="22"/>
                <w:lang w:val="lt-LT"/>
              </w:rPr>
              <w:t>2025-04-04 pateiktas a</w:t>
            </w:r>
            <w:r w:rsidR="00246A5A" w:rsidRPr="00C43CEE">
              <w:rPr>
                <w:rFonts w:ascii="Jost" w:hAnsi="Jost"/>
                <w:b/>
                <w:bCs/>
                <w:sz w:val="22"/>
                <w:szCs w:val="22"/>
                <w:lang w:val="lt-LT"/>
              </w:rPr>
              <w:t>tsakymas</w:t>
            </w:r>
            <w:r w:rsidR="003919B7" w:rsidRPr="00C43CEE">
              <w:rPr>
                <w:rFonts w:ascii="Jost" w:hAnsi="Jost"/>
                <w:b/>
                <w:bCs/>
                <w:sz w:val="22"/>
                <w:szCs w:val="22"/>
                <w:lang w:val="lt-LT"/>
              </w:rPr>
              <w:t xml:space="preserve"> (laikomas negaliojančiu)</w:t>
            </w:r>
          </w:p>
        </w:tc>
      </w:tr>
      <w:tr w:rsidR="00246A5A" w:rsidRPr="00C43CEE" w14:paraId="263908B9" w14:textId="77777777" w:rsidTr="006667CF">
        <w:trPr>
          <w:trHeight w:val="400"/>
        </w:trPr>
        <w:tc>
          <w:tcPr>
            <w:tcW w:w="9781" w:type="dxa"/>
            <w:shd w:val="clear" w:color="auto" w:fill="auto"/>
          </w:tcPr>
          <w:p w14:paraId="35C84493" w14:textId="77777777" w:rsidR="00246A5A" w:rsidRPr="00C43CEE" w:rsidRDefault="00246A5A" w:rsidP="006667CF">
            <w:pPr>
              <w:spacing w:line="276" w:lineRule="auto"/>
              <w:jc w:val="both"/>
              <w:rPr>
                <w:rFonts w:ascii="Jost" w:hAnsi="Jost" w:hint="eastAsia"/>
                <w:sz w:val="22"/>
                <w:szCs w:val="22"/>
                <w:lang w:val="lt-LT"/>
              </w:rPr>
            </w:pPr>
            <w:r w:rsidRPr="00C43CEE">
              <w:rPr>
                <w:rFonts w:ascii="Jost" w:hAnsi="Jost"/>
                <w:sz w:val="22"/>
                <w:szCs w:val="22"/>
                <w:lang w:val="lt-LT"/>
              </w:rPr>
              <w:t>Dėkojame už Jūsų klausimą.</w:t>
            </w:r>
          </w:p>
          <w:p w14:paraId="5EFB8E45" w14:textId="77777777" w:rsidR="00246A5A" w:rsidRPr="00C43CEE" w:rsidRDefault="00246A5A" w:rsidP="006667CF">
            <w:pPr>
              <w:spacing w:line="276" w:lineRule="auto"/>
              <w:jc w:val="both"/>
              <w:rPr>
                <w:rFonts w:ascii="Jost" w:hAnsi="Jost" w:hint="eastAsia"/>
                <w:sz w:val="22"/>
                <w:szCs w:val="22"/>
                <w:lang w:val="lt-LT"/>
              </w:rPr>
            </w:pPr>
            <w:r w:rsidRPr="00C43CEE">
              <w:rPr>
                <w:rFonts w:ascii="Jost" w:hAnsi="Jost"/>
                <w:sz w:val="22"/>
                <w:szCs w:val="22"/>
                <w:lang w:val="lt-LT"/>
              </w:rPr>
              <w:t xml:space="preserve">Paaiškiname, kad perkančioji organizacija darbe naudoja šias sistemas: DBSIS, ECOCOST, FABIS (finansų apskaitos), SABIS (sąskaitų administravimo), Registrų centro, LIS, </w:t>
            </w:r>
            <w:proofErr w:type="spellStart"/>
            <w:r w:rsidRPr="00C43CEE">
              <w:rPr>
                <w:rFonts w:ascii="Jost" w:hAnsi="Jost"/>
                <w:sz w:val="22"/>
                <w:szCs w:val="22"/>
                <w:lang w:val="lt-LT"/>
              </w:rPr>
              <w:t>GoSign</w:t>
            </w:r>
            <w:proofErr w:type="spellEnd"/>
            <w:r w:rsidRPr="00C43CEE">
              <w:rPr>
                <w:rFonts w:ascii="Jost" w:hAnsi="Jost"/>
                <w:sz w:val="22"/>
                <w:szCs w:val="22"/>
                <w:lang w:val="lt-LT"/>
              </w:rPr>
              <w:t>.</w:t>
            </w:r>
          </w:p>
          <w:p w14:paraId="738DE938" w14:textId="77777777" w:rsidR="00246A5A" w:rsidRPr="00C43CEE" w:rsidRDefault="00246A5A" w:rsidP="006667CF">
            <w:pPr>
              <w:spacing w:line="276" w:lineRule="auto"/>
              <w:jc w:val="both"/>
              <w:rPr>
                <w:rFonts w:ascii="Jost" w:hAnsi="Jost" w:hint="eastAsia"/>
                <w:sz w:val="22"/>
                <w:szCs w:val="22"/>
                <w:lang w:val="lt-LT"/>
              </w:rPr>
            </w:pPr>
            <w:r w:rsidRPr="00C43CEE">
              <w:rPr>
                <w:rFonts w:ascii="Jost" w:hAnsi="Jost"/>
                <w:sz w:val="22"/>
                <w:szCs w:val="22"/>
                <w:lang w:val="lt-LT"/>
              </w:rPr>
              <w:t>Tačiau norime pabrėžti, kad pirkimo dokumentų 7 priede prie 3 kriterijaus aprašymo nurodyta, kad vertinamas pasiūlytas integracijų su išorinėmis sistemomis </w:t>
            </w:r>
            <w:r w:rsidRPr="00C43CEE">
              <w:rPr>
                <w:rFonts w:ascii="Jost" w:hAnsi="Jost"/>
                <w:b/>
                <w:bCs/>
                <w:sz w:val="22"/>
                <w:szCs w:val="22"/>
                <w:lang w:val="lt-LT"/>
              </w:rPr>
              <w:t>skaičius</w:t>
            </w:r>
            <w:r w:rsidRPr="00C43CEE">
              <w:rPr>
                <w:rFonts w:ascii="Jost" w:hAnsi="Jost"/>
                <w:sz w:val="22"/>
                <w:szCs w:val="22"/>
                <w:lang w:val="lt-LT"/>
              </w:rPr>
              <w:t xml:space="preserve"> (neįskaitant privalomos užtikrinti integracijos su </w:t>
            </w:r>
            <w:proofErr w:type="spellStart"/>
            <w:r w:rsidRPr="00C43CEE">
              <w:rPr>
                <w:rFonts w:ascii="Jost" w:hAnsi="Jost"/>
                <w:sz w:val="22"/>
                <w:szCs w:val="22"/>
                <w:lang w:val="lt-LT"/>
              </w:rPr>
              <w:t>Sharepoint</w:t>
            </w:r>
            <w:proofErr w:type="spellEnd"/>
            <w:r w:rsidRPr="00C43CEE">
              <w:rPr>
                <w:rFonts w:ascii="Jost" w:hAnsi="Jost"/>
                <w:sz w:val="22"/>
                <w:szCs w:val="22"/>
                <w:lang w:val="lt-LT"/>
              </w:rPr>
              <w:t>). Vertinamos tos siūlomos integracijos, kurios yra aktualios panaudojimui </w:t>
            </w:r>
            <w:r w:rsidRPr="00C43CEE">
              <w:rPr>
                <w:rFonts w:ascii="Jost" w:hAnsi="Jost"/>
                <w:b/>
                <w:bCs/>
                <w:sz w:val="22"/>
                <w:szCs w:val="22"/>
                <w:lang w:val="lt-LT"/>
              </w:rPr>
              <w:t>Biuro veiklos procesuose,</w:t>
            </w:r>
            <w:r w:rsidRPr="00C43CEE">
              <w:rPr>
                <w:rFonts w:ascii="Jost" w:hAnsi="Jost"/>
                <w:sz w:val="22"/>
                <w:szCs w:val="22"/>
                <w:lang w:val="lt-LT"/>
              </w:rPr>
              <w:t> t. y. mūsų atsakymas dėl  perkančiosios organizacijos naudojamų sistemų yra </w:t>
            </w:r>
            <w:r w:rsidRPr="00C43CEE">
              <w:rPr>
                <w:rFonts w:ascii="Jost" w:hAnsi="Jost"/>
                <w:sz w:val="22"/>
                <w:szCs w:val="22"/>
                <w:u w:val="single"/>
                <w:lang w:val="lt-LT"/>
              </w:rPr>
              <w:t>tik informacinio pobūdžio,</w:t>
            </w:r>
            <w:r w:rsidRPr="00C43CEE">
              <w:rPr>
                <w:rFonts w:ascii="Jost" w:hAnsi="Jost"/>
                <w:sz w:val="22"/>
                <w:szCs w:val="22"/>
                <w:lang w:val="lt-LT"/>
              </w:rPr>
              <w:t> Pasiūlymo vertinimo metu bus vertinama, ar siūlomos integracijos atitinka 3 kriterijaus reikalavimo aprašymą, t. y. jos turi būti aktualios Biuro veiklos procesuose.</w:t>
            </w:r>
          </w:p>
        </w:tc>
      </w:tr>
      <w:tr w:rsidR="00B06F9C" w:rsidRPr="00A1210C" w14:paraId="0D935C83" w14:textId="77777777" w:rsidTr="00B06F9C">
        <w:trPr>
          <w:trHeight w:val="400"/>
        </w:trPr>
        <w:tc>
          <w:tcPr>
            <w:tcW w:w="9781" w:type="dxa"/>
            <w:shd w:val="clear" w:color="auto" w:fill="F6C5AC" w:themeFill="accent2" w:themeFillTint="66"/>
          </w:tcPr>
          <w:p w14:paraId="27589D32" w14:textId="0FCE02A4" w:rsidR="00B06F9C" w:rsidRPr="00A1210C" w:rsidRDefault="00B06F9C" w:rsidP="006667CF">
            <w:pPr>
              <w:spacing w:line="276" w:lineRule="auto"/>
              <w:jc w:val="both"/>
              <w:rPr>
                <w:rFonts w:ascii="Jost" w:hAnsi="Jost" w:hint="eastAsia"/>
                <w:sz w:val="22"/>
                <w:szCs w:val="22"/>
                <w:lang w:val="lt-LT"/>
              </w:rPr>
            </w:pPr>
            <w:r w:rsidRPr="00C43CEE">
              <w:rPr>
                <w:rFonts w:ascii="Jost" w:hAnsi="Jost"/>
                <w:b/>
                <w:bCs/>
                <w:sz w:val="22"/>
                <w:szCs w:val="22"/>
                <w:lang w:val="lt-LT"/>
              </w:rPr>
              <w:t>Patikslintas atsakymas</w:t>
            </w:r>
            <w:r w:rsidR="003919B7" w:rsidRPr="00C43CEE">
              <w:rPr>
                <w:rFonts w:ascii="Jost" w:hAnsi="Jost"/>
                <w:b/>
                <w:bCs/>
                <w:sz w:val="22"/>
                <w:szCs w:val="22"/>
                <w:lang w:val="lt-LT"/>
              </w:rPr>
              <w:t xml:space="preserve"> (aktuali redakcija)</w:t>
            </w:r>
          </w:p>
        </w:tc>
      </w:tr>
      <w:tr w:rsidR="00B06F9C" w:rsidRPr="00A1210C" w14:paraId="5967A238" w14:textId="77777777" w:rsidTr="006667CF">
        <w:trPr>
          <w:trHeight w:val="400"/>
        </w:trPr>
        <w:tc>
          <w:tcPr>
            <w:tcW w:w="9781" w:type="dxa"/>
            <w:shd w:val="clear" w:color="auto" w:fill="auto"/>
          </w:tcPr>
          <w:p w14:paraId="59A7AC8D" w14:textId="77777777" w:rsidR="003C5712" w:rsidRPr="00A1210C" w:rsidRDefault="003C5712" w:rsidP="003C5712">
            <w:pPr>
              <w:spacing w:line="276" w:lineRule="auto"/>
              <w:jc w:val="both"/>
              <w:rPr>
                <w:rFonts w:ascii="Jost" w:hAnsi="Jost" w:hint="eastAsia"/>
                <w:sz w:val="22"/>
                <w:szCs w:val="22"/>
                <w:lang w:val="lt-LT"/>
              </w:rPr>
            </w:pPr>
            <w:r w:rsidRPr="00A1210C">
              <w:rPr>
                <w:rFonts w:ascii="Jost" w:hAnsi="Jost"/>
                <w:sz w:val="22"/>
                <w:szCs w:val="22"/>
                <w:lang w:val="lt-LT"/>
              </w:rPr>
              <w:t>Dėkojame už Jūsų klausimą.</w:t>
            </w:r>
          </w:p>
          <w:p w14:paraId="6950BCCB" w14:textId="0959BAAF" w:rsidR="00B06F9C" w:rsidRPr="00A1210C" w:rsidRDefault="00D016B6" w:rsidP="006667CF">
            <w:pPr>
              <w:spacing w:line="276" w:lineRule="auto"/>
              <w:jc w:val="both"/>
              <w:rPr>
                <w:rFonts w:ascii="Jost" w:eastAsia="Times New Roman" w:hAnsi="Jost" w:cstheme="minorHAnsi"/>
                <w:sz w:val="22"/>
                <w:szCs w:val="22"/>
                <w:lang w:val="lt-LT"/>
              </w:rPr>
            </w:pPr>
            <w:r w:rsidRPr="00A1210C">
              <w:rPr>
                <w:rFonts w:ascii="Jost" w:hAnsi="Jost"/>
                <w:sz w:val="22"/>
                <w:szCs w:val="22"/>
                <w:lang w:val="lt-LT"/>
              </w:rPr>
              <w:t xml:space="preserve">Paaiškiname, kad perkančioji organizacija darbe naudoja šias sistemas: </w:t>
            </w:r>
            <w:r w:rsidR="002C2FA8" w:rsidRPr="00A1210C">
              <w:rPr>
                <w:rFonts w:ascii="Jost" w:eastAsia="Times New Roman" w:hAnsi="Jost" w:cstheme="minorHAnsi"/>
                <w:sz w:val="22"/>
                <w:szCs w:val="22"/>
                <w:lang w:val="lt-LT"/>
              </w:rPr>
              <w:t xml:space="preserve">DBSIS, ECOCOST, FABIS, SABIS, JAR, LIS, </w:t>
            </w:r>
            <w:proofErr w:type="spellStart"/>
            <w:r w:rsidR="002C2FA8" w:rsidRPr="00A1210C">
              <w:rPr>
                <w:rFonts w:ascii="Jost" w:eastAsia="Times New Roman" w:hAnsi="Jost" w:cstheme="minorHAnsi"/>
                <w:sz w:val="22"/>
                <w:szCs w:val="22"/>
                <w:lang w:val="lt-LT"/>
              </w:rPr>
              <w:t>GoSign</w:t>
            </w:r>
            <w:proofErr w:type="spellEnd"/>
            <w:r w:rsidR="002C2FA8" w:rsidRPr="00A1210C">
              <w:rPr>
                <w:rFonts w:ascii="Jost" w:eastAsia="Times New Roman" w:hAnsi="Jost" w:cstheme="minorHAnsi"/>
                <w:sz w:val="22"/>
                <w:szCs w:val="22"/>
                <w:lang w:val="lt-LT"/>
              </w:rPr>
              <w:t xml:space="preserve">, Microsoft Outlook, Microsoft </w:t>
            </w:r>
            <w:proofErr w:type="spellStart"/>
            <w:r w:rsidR="002C2FA8" w:rsidRPr="00A1210C">
              <w:rPr>
                <w:rFonts w:ascii="Jost" w:eastAsia="Times New Roman" w:hAnsi="Jost" w:cstheme="minorHAnsi"/>
                <w:sz w:val="22"/>
                <w:szCs w:val="22"/>
                <w:lang w:val="lt-LT"/>
              </w:rPr>
              <w:t>Teams</w:t>
            </w:r>
            <w:proofErr w:type="spellEnd"/>
            <w:r w:rsidR="0085593F" w:rsidRPr="00A1210C">
              <w:rPr>
                <w:rFonts w:ascii="Jost" w:eastAsia="Times New Roman" w:hAnsi="Jost" w:cstheme="minorHAnsi"/>
                <w:sz w:val="22"/>
                <w:szCs w:val="22"/>
                <w:lang w:val="lt-LT"/>
              </w:rPr>
              <w:t xml:space="preserve"> ir</w:t>
            </w:r>
            <w:r w:rsidR="00191B5C" w:rsidRPr="00A1210C">
              <w:rPr>
                <w:rFonts w:ascii="Jost" w:hAnsi="Jost"/>
                <w:sz w:val="22"/>
                <w:szCs w:val="22"/>
                <w:lang w:val="lt-LT"/>
              </w:rPr>
              <w:t xml:space="preserve"> pirkimo dokumentų 7 priede prie 3 kriterijaus </w:t>
            </w:r>
            <w:r w:rsidR="00191B5C" w:rsidRPr="00A1210C">
              <w:rPr>
                <w:rFonts w:ascii="Jost" w:hAnsi="Jost"/>
                <w:sz w:val="22"/>
                <w:szCs w:val="22"/>
                <w:lang w:val="lt-LT"/>
              </w:rPr>
              <w:lastRenderedPageBreak/>
              <w:t>aprašymo nurodyta, kad vertinam</w:t>
            </w:r>
            <w:r w:rsidR="008A0F0E" w:rsidRPr="00A1210C">
              <w:rPr>
                <w:rFonts w:ascii="Jost" w:hAnsi="Jost"/>
                <w:sz w:val="22"/>
                <w:szCs w:val="22"/>
                <w:lang w:val="lt-LT"/>
              </w:rPr>
              <w:t>o</w:t>
            </w:r>
            <w:r w:rsidR="00191B5C" w:rsidRPr="00A1210C">
              <w:rPr>
                <w:rFonts w:ascii="Jost" w:hAnsi="Jost"/>
                <w:sz w:val="22"/>
                <w:szCs w:val="22"/>
                <w:lang w:val="lt-LT"/>
              </w:rPr>
              <w:t xml:space="preserve">s </w:t>
            </w:r>
            <w:r w:rsidR="008A0F0E" w:rsidRPr="00A1210C">
              <w:rPr>
                <w:rFonts w:ascii="Jost" w:eastAsia="Times New Roman" w:hAnsi="Jost" w:cstheme="minorHAnsi"/>
                <w:sz w:val="22"/>
                <w:szCs w:val="22"/>
                <w:lang w:val="lt-LT"/>
              </w:rPr>
              <w:t xml:space="preserve">papildomos integracijos, kurios yra aktualios panaudojimui Biuro veiklos procesuose </w:t>
            </w:r>
            <w:r w:rsidR="006469FC" w:rsidRPr="00A1210C">
              <w:rPr>
                <w:rFonts w:ascii="Jost" w:eastAsia="Times New Roman" w:hAnsi="Jost" w:cstheme="minorHAnsi"/>
                <w:sz w:val="22"/>
                <w:szCs w:val="22"/>
                <w:lang w:val="lt-LT"/>
              </w:rPr>
              <w:t>(</w:t>
            </w:r>
            <w:proofErr w:type="spellStart"/>
            <w:r w:rsidR="006469FC" w:rsidRPr="00A1210C">
              <w:rPr>
                <w:rFonts w:ascii="Jost" w:eastAsia="Times New Roman" w:hAnsi="Jost" w:cstheme="minorHAnsi"/>
                <w:sz w:val="22"/>
                <w:szCs w:val="22"/>
                <w:lang w:val="lt-LT"/>
              </w:rPr>
              <w:t>t.y</w:t>
            </w:r>
            <w:proofErr w:type="spellEnd"/>
            <w:r w:rsidR="006469FC" w:rsidRPr="00A1210C">
              <w:rPr>
                <w:rFonts w:ascii="Jost" w:eastAsia="Times New Roman" w:hAnsi="Jost" w:cstheme="minorHAnsi"/>
                <w:sz w:val="22"/>
                <w:szCs w:val="22"/>
                <w:lang w:val="lt-LT"/>
              </w:rPr>
              <w:t xml:space="preserve">. </w:t>
            </w:r>
            <w:r w:rsidR="001059DF" w:rsidRPr="00A1210C">
              <w:rPr>
                <w:rFonts w:ascii="Jost" w:eastAsia="Times New Roman" w:hAnsi="Jost" w:cstheme="minorHAnsi"/>
                <w:sz w:val="22"/>
                <w:szCs w:val="22"/>
                <w:lang w:val="lt-LT"/>
              </w:rPr>
              <w:t xml:space="preserve">su DBSIS, ECOCOST, FABIS, SABIS, JAR, LIS, </w:t>
            </w:r>
            <w:proofErr w:type="spellStart"/>
            <w:r w:rsidR="001059DF" w:rsidRPr="00A1210C">
              <w:rPr>
                <w:rFonts w:ascii="Jost" w:eastAsia="Times New Roman" w:hAnsi="Jost" w:cstheme="minorHAnsi"/>
                <w:sz w:val="22"/>
                <w:szCs w:val="22"/>
                <w:lang w:val="lt-LT"/>
              </w:rPr>
              <w:t>GoSign</w:t>
            </w:r>
            <w:proofErr w:type="spellEnd"/>
            <w:r w:rsidR="001059DF" w:rsidRPr="00A1210C">
              <w:rPr>
                <w:rFonts w:ascii="Jost" w:eastAsia="Times New Roman" w:hAnsi="Jost" w:cstheme="minorHAnsi"/>
                <w:sz w:val="22"/>
                <w:szCs w:val="22"/>
                <w:lang w:val="lt-LT"/>
              </w:rPr>
              <w:t xml:space="preserve">, Microsoft Outlook, Microsoft </w:t>
            </w:r>
            <w:proofErr w:type="spellStart"/>
            <w:r w:rsidR="001059DF" w:rsidRPr="00A1210C">
              <w:rPr>
                <w:rFonts w:ascii="Jost" w:eastAsia="Times New Roman" w:hAnsi="Jost" w:cstheme="minorHAnsi"/>
                <w:sz w:val="22"/>
                <w:szCs w:val="22"/>
                <w:lang w:val="lt-LT"/>
              </w:rPr>
              <w:t>Teams</w:t>
            </w:r>
            <w:proofErr w:type="spellEnd"/>
            <w:r w:rsidR="001059DF" w:rsidRPr="00A1210C">
              <w:rPr>
                <w:rFonts w:ascii="Jost" w:eastAsia="Times New Roman" w:hAnsi="Jost" w:cstheme="minorHAnsi"/>
                <w:sz w:val="22"/>
                <w:szCs w:val="22"/>
                <w:lang w:val="lt-LT"/>
              </w:rPr>
              <w:t>).</w:t>
            </w:r>
          </w:p>
        </w:tc>
      </w:tr>
    </w:tbl>
    <w:p w14:paraId="3B76C2DD" w14:textId="77777777" w:rsidR="00C72B1F" w:rsidRPr="00A1210C" w:rsidRDefault="00C72B1F" w:rsidP="00182E56">
      <w:pPr>
        <w:spacing w:line="288" w:lineRule="auto"/>
        <w:ind w:firstLine="720"/>
        <w:jc w:val="both"/>
        <w:rPr>
          <w:rFonts w:ascii="Jost" w:eastAsia="Times New Roman" w:hAnsi="Jost"/>
          <w:i/>
          <w:iCs/>
          <w:color w:val="212121"/>
          <w:sz w:val="22"/>
          <w:szCs w:val="22"/>
          <w:bdr w:val="none" w:sz="0" w:space="0" w:color="auto"/>
        </w:rPr>
      </w:pPr>
    </w:p>
    <w:p w14:paraId="7160DEDB" w14:textId="77777777" w:rsidR="00994596" w:rsidRPr="00A1210C" w:rsidRDefault="00994596" w:rsidP="00182E56">
      <w:pPr>
        <w:spacing w:line="288" w:lineRule="auto"/>
        <w:ind w:firstLine="720"/>
        <w:jc w:val="both"/>
        <w:rPr>
          <w:rFonts w:ascii="Jost" w:eastAsia="Times New Roman" w:hAnsi="Jost"/>
          <w:i/>
          <w:iCs/>
          <w:color w:val="212121"/>
          <w:sz w:val="22"/>
          <w:szCs w:val="22"/>
          <w:bdr w:val="none" w:sz="0" w:space="0" w:color="auto"/>
        </w:rPr>
      </w:pPr>
    </w:p>
    <w:p w14:paraId="71847446" w14:textId="56ADA811" w:rsidR="00994596" w:rsidRPr="00A1210C" w:rsidRDefault="00994596" w:rsidP="00182E56">
      <w:pPr>
        <w:spacing w:line="288" w:lineRule="auto"/>
        <w:ind w:firstLine="720"/>
        <w:jc w:val="both"/>
        <w:rPr>
          <w:rFonts w:ascii="Jost" w:eastAsia="Times New Roman" w:hAnsi="Jost"/>
          <w:color w:val="212121"/>
          <w:sz w:val="22"/>
          <w:szCs w:val="22"/>
          <w:bdr w:val="none" w:sz="0" w:space="0" w:color="auto"/>
        </w:rPr>
      </w:pPr>
      <w:r w:rsidRPr="00A1210C">
        <w:rPr>
          <w:rFonts w:ascii="Jost" w:eastAsia="Times New Roman" w:hAnsi="Jost"/>
          <w:color w:val="212121"/>
          <w:sz w:val="22"/>
          <w:szCs w:val="22"/>
          <w:bdr w:val="none" w:sz="0" w:space="0" w:color="auto"/>
        </w:rPr>
        <w:t>Komisija teikia atsakymą į paklausime pateiktą klausimą:</w:t>
      </w:r>
    </w:p>
    <w:p w14:paraId="56F0612E" w14:textId="77777777" w:rsidR="00994596" w:rsidRPr="00A1210C" w:rsidRDefault="00994596" w:rsidP="00182E56">
      <w:pPr>
        <w:spacing w:line="288" w:lineRule="auto"/>
        <w:ind w:firstLine="720"/>
        <w:jc w:val="both"/>
        <w:rPr>
          <w:rFonts w:ascii="Jost" w:eastAsia="Times New Roman" w:hAnsi="Jost"/>
          <w:i/>
          <w:iCs/>
          <w:color w:val="212121"/>
          <w:sz w:val="22"/>
          <w:szCs w:val="22"/>
          <w:bdr w:val="none" w:sz="0" w:space="0" w:color="auto"/>
        </w:rPr>
      </w:pPr>
    </w:p>
    <w:tbl>
      <w:tblPr>
        <w:tblStyle w:val="Lentelstinklelis"/>
        <w:tblW w:w="0" w:type="auto"/>
        <w:tblLook w:val="04A0" w:firstRow="1" w:lastRow="0" w:firstColumn="1" w:lastColumn="0" w:noHBand="0" w:noVBand="1"/>
      </w:tblPr>
      <w:tblGrid>
        <w:gridCol w:w="9730"/>
      </w:tblGrid>
      <w:tr w:rsidR="00994596" w:rsidRPr="00A1210C" w14:paraId="2BB51456" w14:textId="77777777" w:rsidTr="001F7BFC">
        <w:tc>
          <w:tcPr>
            <w:tcW w:w="9730" w:type="dxa"/>
            <w:shd w:val="clear" w:color="auto" w:fill="C1E4F5" w:themeFill="accent1" w:themeFillTint="33"/>
          </w:tcPr>
          <w:p w14:paraId="5D0F36C5" w14:textId="14E6AF20" w:rsidR="00994596" w:rsidRPr="00A1210C" w:rsidRDefault="00994596" w:rsidP="00182E56">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ascii="Jost" w:eastAsia="Times New Roman" w:hAnsi="Jost"/>
                <w:i/>
                <w:iCs/>
                <w:color w:val="212121"/>
                <w:sz w:val="22"/>
                <w:szCs w:val="22"/>
                <w:bdr w:val="none" w:sz="0" w:space="0" w:color="auto"/>
                <w:lang w:val="lt-LT"/>
              </w:rPr>
            </w:pPr>
            <w:r w:rsidRPr="00A1210C">
              <w:rPr>
                <w:rFonts w:ascii="Jost" w:hAnsi="Jost"/>
                <w:b/>
                <w:bCs/>
                <w:sz w:val="22"/>
                <w:szCs w:val="22"/>
                <w:lang w:val="lt-LT"/>
              </w:rPr>
              <w:t xml:space="preserve">Klausimas </w:t>
            </w:r>
            <w:r w:rsidRPr="00A1210C">
              <w:rPr>
                <w:rFonts w:ascii="Jost" w:hAnsi="Jost"/>
                <w:sz w:val="22"/>
                <w:szCs w:val="22"/>
                <w:lang w:val="lt-LT"/>
              </w:rPr>
              <w:t>(klausimo tekstas netaisytas)</w:t>
            </w:r>
          </w:p>
        </w:tc>
      </w:tr>
      <w:tr w:rsidR="00994596" w:rsidRPr="00A1210C" w14:paraId="2EC7DE13" w14:textId="77777777" w:rsidTr="00994596">
        <w:tc>
          <w:tcPr>
            <w:tcW w:w="9730" w:type="dxa"/>
          </w:tcPr>
          <w:p w14:paraId="1C3783F2" w14:textId="77777777" w:rsidR="001F7BFC" w:rsidRPr="00A1210C" w:rsidRDefault="00042F51" w:rsidP="00386116">
            <w:pPr>
              <w:rPr>
                <w:rFonts w:ascii="Jost" w:hAnsi="Jost" w:hint="eastAsia"/>
                <w:sz w:val="22"/>
                <w:szCs w:val="22"/>
                <w:lang w:val="lt-LT"/>
              </w:rPr>
            </w:pPr>
            <w:r w:rsidRPr="00A1210C">
              <w:rPr>
                <w:rFonts w:ascii="Jost" w:hAnsi="Jost"/>
                <w:sz w:val="22"/>
                <w:szCs w:val="22"/>
                <w:lang w:val="lt-LT"/>
              </w:rPr>
              <w:t>Specialiųjų pirkimo sąlygų 7 priede „Kokybės kriterijai ir jų vertinimas“ nurodyta, kad Perkančioji organizacija ekonomiškai naudingiausią pasiūlymą išrenka pagal kainos ir kokybės santykį.</w:t>
            </w:r>
            <w:r w:rsidRPr="00A1210C">
              <w:rPr>
                <w:rFonts w:ascii="Jost" w:hAnsi="Jost"/>
                <w:sz w:val="22"/>
                <w:szCs w:val="22"/>
                <w:lang w:val="lt-LT"/>
              </w:rPr>
              <w:br/>
              <w:t>Pasiūlymų vertinimo kriterijai:</w:t>
            </w:r>
            <w:r w:rsidRPr="00A1210C">
              <w:rPr>
                <w:rFonts w:ascii="Jost" w:hAnsi="Jost"/>
                <w:sz w:val="22"/>
                <w:szCs w:val="22"/>
                <w:lang w:val="lt-LT"/>
              </w:rPr>
              <w:br/>
              <w:t>1. Kaina. Vertinama pasiūlymo kaina, įskaitant visus mokesčius ir visas tiekėjo išlaidas. Lyginamasis kriterijaus svoris ekonominio naudingumo įvertinime yra X=55</w:t>
            </w:r>
            <w:r w:rsidRPr="00A1210C">
              <w:rPr>
                <w:rFonts w:ascii="Jost" w:hAnsi="Jost"/>
                <w:sz w:val="22"/>
                <w:szCs w:val="22"/>
                <w:lang w:val="lt-LT"/>
              </w:rPr>
              <w:br/>
              <w:t>2. Kokybė. Papildomi balai skiriami už pasiūlytą ilgesnį nei numatytą techninėje specifikacijoje garantinį laikotarpį, didesnę mokymų ir konsultavimo apimtį, pasiūlytų papildomų integracijų su išorinėmis sistemomis skaičių, taip pat bus vertinama siūlomos Sistemos grafinės vartotojo sąsajos vizualinė ir naudojimo patogumo kokybė. Lyginamasis kriterijaus svoris ekonominio naudingumo įvertinime yra Y=45</w:t>
            </w:r>
            <w:r w:rsidRPr="00A1210C">
              <w:rPr>
                <w:rFonts w:ascii="Jost" w:hAnsi="Jost"/>
                <w:sz w:val="22"/>
                <w:szCs w:val="22"/>
                <w:lang w:val="lt-LT"/>
              </w:rPr>
              <w:br/>
              <w:t>Ekonominio naudingumo balų apskaičiavimo tvarka:</w:t>
            </w:r>
            <w:r w:rsidRPr="00A1210C">
              <w:rPr>
                <w:rFonts w:ascii="Jost" w:hAnsi="Jost"/>
                <w:sz w:val="22"/>
                <w:szCs w:val="22"/>
                <w:lang w:val="lt-LT"/>
              </w:rPr>
              <w:br/>
              <w:t>Ekonominis naudingumas (S) apskaičiuojamas sudedant tiekėjo pasiūlymo kainos kriterijaus (C) ir kriterijaus „Kokybiniai kriterijai“ (P) vertinimo balus.</w:t>
            </w:r>
            <w:r w:rsidRPr="00A1210C">
              <w:rPr>
                <w:rFonts w:ascii="Jost" w:hAnsi="Jost"/>
                <w:sz w:val="22"/>
                <w:szCs w:val="22"/>
                <w:lang w:val="lt-LT"/>
              </w:rPr>
              <w:br/>
            </w:r>
            <w:r w:rsidRPr="00A1210C">
              <w:rPr>
                <w:rFonts w:ascii="Jost" w:hAnsi="Jost" w:cs="Cambria Math"/>
                <w:sz w:val="22"/>
                <w:szCs w:val="22"/>
                <w:lang w:val="lt-LT"/>
              </w:rPr>
              <w:t>𝑆</w:t>
            </w:r>
            <w:r w:rsidRPr="00A1210C">
              <w:rPr>
                <w:rFonts w:ascii="Jost" w:hAnsi="Jost"/>
                <w:sz w:val="22"/>
                <w:szCs w:val="22"/>
                <w:lang w:val="lt-LT"/>
              </w:rPr>
              <w:t xml:space="preserve"> = </w:t>
            </w:r>
            <w:r w:rsidRPr="00A1210C">
              <w:rPr>
                <w:rFonts w:ascii="Jost" w:hAnsi="Jost" w:cs="Cambria Math"/>
                <w:sz w:val="22"/>
                <w:szCs w:val="22"/>
                <w:lang w:val="lt-LT"/>
              </w:rPr>
              <w:t>𝐶</w:t>
            </w:r>
            <w:r w:rsidRPr="00A1210C">
              <w:rPr>
                <w:rFonts w:ascii="Jost" w:hAnsi="Jost"/>
                <w:sz w:val="22"/>
                <w:szCs w:val="22"/>
                <w:lang w:val="lt-LT"/>
              </w:rPr>
              <w:t xml:space="preserve"> + P</w:t>
            </w:r>
            <w:r w:rsidRPr="00A1210C">
              <w:rPr>
                <w:rFonts w:ascii="Jost" w:hAnsi="Jost"/>
                <w:sz w:val="22"/>
                <w:szCs w:val="22"/>
                <w:lang w:val="lt-LT"/>
              </w:rPr>
              <w:br/>
              <w:t>Pasiūlymo kainos kriterijaus (C) balas apskaičiuojamas:</w:t>
            </w:r>
            <w:r w:rsidRPr="00A1210C">
              <w:rPr>
                <w:rFonts w:ascii="Jost" w:hAnsi="Jost"/>
                <w:sz w:val="22"/>
                <w:szCs w:val="22"/>
                <w:lang w:val="lt-LT"/>
              </w:rPr>
              <w:br/>
              <w:t>C=(1-(</w:t>
            </w:r>
            <w:proofErr w:type="spellStart"/>
            <w:r w:rsidRPr="00A1210C">
              <w:rPr>
                <w:rFonts w:ascii="Jost" w:hAnsi="Jost"/>
                <w:sz w:val="22"/>
                <w:szCs w:val="22"/>
                <w:lang w:val="lt-LT"/>
              </w:rPr>
              <w:t>Cpas</w:t>
            </w:r>
            <w:proofErr w:type="spellEnd"/>
            <w:r w:rsidRPr="00A1210C">
              <w:rPr>
                <w:rFonts w:ascii="Jost" w:hAnsi="Jost"/>
                <w:sz w:val="22"/>
                <w:szCs w:val="22"/>
                <w:lang w:val="lt-LT"/>
              </w:rPr>
              <w:t>/</w:t>
            </w:r>
            <w:proofErr w:type="spellStart"/>
            <w:r w:rsidRPr="00A1210C">
              <w:rPr>
                <w:rFonts w:ascii="Jost" w:hAnsi="Jost"/>
                <w:sz w:val="22"/>
                <w:szCs w:val="22"/>
                <w:lang w:val="lt-LT"/>
              </w:rPr>
              <w:t>Cb</w:t>
            </w:r>
            <w:proofErr w:type="spellEnd"/>
            <w:r w:rsidRPr="00A1210C">
              <w:rPr>
                <w:rFonts w:ascii="Jost" w:hAnsi="Jost"/>
                <w:sz w:val="22"/>
                <w:szCs w:val="22"/>
                <w:lang w:val="lt-LT"/>
              </w:rPr>
              <w:t>))∙X, kur</w:t>
            </w:r>
            <w:r w:rsidRPr="00A1210C">
              <w:rPr>
                <w:rFonts w:ascii="Jost" w:hAnsi="Jost"/>
                <w:sz w:val="22"/>
                <w:szCs w:val="22"/>
                <w:lang w:val="lt-LT"/>
              </w:rPr>
              <w:br/>
            </w:r>
            <w:proofErr w:type="spellStart"/>
            <w:r w:rsidRPr="00A1210C">
              <w:rPr>
                <w:rFonts w:ascii="Jost" w:hAnsi="Jost"/>
                <w:sz w:val="22"/>
                <w:szCs w:val="22"/>
                <w:lang w:val="lt-LT"/>
              </w:rPr>
              <w:t>Cpas</w:t>
            </w:r>
            <w:proofErr w:type="spellEnd"/>
            <w:r w:rsidRPr="00A1210C">
              <w:rPr>
                <w:rFonts w:ascii="Jost" w:hAnsi="Jost"/>
                <w:sz w:val="22"/>
                <w:szCs w:val="22"/>
                <w:lang w:val="lt-LT"/>
              </w:rPr>
              <w:t xml:space="preserve"> – Tiekėjo pasiūlymo kaina, Eur be PVM;</w:t>
            </w:r>
            <w:r w:rsidRPr="00A1210C">
              <w:rPr>
                <w:rFonts w:ascii="Jost" w:hAnsi="Jost"/>
                <w:sz w:val="22"/>
                <w:szCs w:val="22"/>
                <w:lang w:val="lt-LT"/>
              </w:rPr>
              <w:br/>
            </w:r>
            <w:proofErr w:type="spellStart"/>
            <w:r w:rsidRPr="00A1210C">
              <w:rPr>
                <w:rFonts w:ascii="Jost" w:hAnsi="Jost"/>
                <w:sz w:val="22"/>
                <w:szCs w:val="22"/>
                <w:lang w:val="lt-LT"/>
              </w:rPr>
              <w:t>Cb</w:t>
            </w:r>
            <w:proofErr w:type="spellEnd"/>
            <w:r w:rsidRPr="00A1210C">
              <w:rPr>
                <w:rFonts w:ascii="Jost" w:hAnsi="Jost"/>
                <w:sz w:val="22"/>
                <w:szCs w:val="22"/>
                <w:lang w:val="lt-LT"/>
              </w:rPr>
              <w:t xml:space="preserve"> – Užsakovo nurodytas Pirkimo biudžetas, Eur be PVM.</w:t>
            </w:r>
            <w:r w:rsidRPr="00A1210C">
              <w:rPr>
                <w:rFonts w:ascii="Jost" w:hAnsi="Jost"/>
                <w:sz w:val="22"/>
                <w:szCs w:val="22"/>
                <w:lang w:val="lt-LT"/>
              </w:rPr>
              <w:br/>
              <w:t>X – lyginamasis svoris ekonominio naudingumo vertinime [55].</w:t>
            </w:r>
            <w:r w:rsidRPr="00A1210C">
              <w:rPr>
                <w:rFonts w:ascii="Jost" w:hAnsi="Jost"/>
                <w:sz w:val="22"/>
                <w:szCs w:val="22"/>
                <w:lang w:val="lt-LT"/>
              </w:rPr>
              <w:br/>
            </w:r>
            <w:r w:rsidRPr="00A1210C">
              <w:rPr>
                <w:rFonts w:ascii="Jost" w:hAnsi="Jost"/>
                <w:sz w:val="22"/>
                <w:szCs w:val="22"/>
                <w:lang w:val="lt-LT"/>
              </w:rPr>
              <w:br/>
              <w:t>Pagal pateiktą formuluotę maksimalius 55-is balus Tiekėjas galėtų gauti tik jei Pasiūlymo kaina būtų 0 (nulis) EUR.</w:t>
            </w:r>
            <w:r w:rsidRPr="00A1210C">
              <w:rPr>
                <w:rFonts w:ascii="Jost" w:hAnsi="Jost"/>
                <w:sz w:val="22"/>
                <w:szCs w:val="22"/>
                <w:lang w:val="lt-LT"/>
              </w:rPr>
              <w:br/>
              <w:t>Mūsų vertinimu toks Pasiūlymo kainos kriterijaus (C) balas apskaičiuojamas netinkamai, nes Pasiūlymo kainos įtaka į Ekonominio naudingumo vertę yra nykstamai maža.</w:t>
            </w:r>
            <w:r w:rsidRPr="00A1210C">
              <w:rPr>
                <w:rFonts w:ascii="Jost" w:hAnsi="Jost"/>
                <w:sz w:val="22"/>
                <w:szCs w:val="22"/>
                <w:lang w:val="lt-LT"/>
              </w:rPr>
              <w:br/>
              <w:t>Siūlome pakeisti metodiką ir Pasiūlymo kainos kriterijaus (C) balą apskaičiuoti remiantis ne Užsakovo nurodytu Pirkimo biudžetu, o Tiekėjo pateikta mažiausia kaina.</w:t>
            </w:r>
          </w:p>
          <w:p w14:paraId="1CFBA67B" w14:textId="77777777" w:rsidR="001F7BFC" w:rsidRPr="00A1210C" w:rsidRDefault="001F7BFC" w:rsidP="00386116">
            <w:pPr>
              <w:rPr>
                <w:rFonts w:ascii="Jost" w:hAnsi="Jost" w:hint="eastAsia"/>
                <w:sz w:val="22"/>
                <w:szCs w:val="22"/>
                <w:lang w:val="lt-LT"/>
              </w:rPr>
            </w:pPr>
          </w:p>
          <w:p w14:paraId="1679B571" w14:textId="0CD40BF3" w:rsidR="00386116" w:rsidRPr="00A1210C" w:rsidRDefault="001F7BFC" w:rsidP="00386116">
            <w:pPr>
              <w:rPr>
                <w:rFonts w:ascii="Jost" w:hAnsi="Jost" w:hint="eastAsia"/>
                <w:sz w:val="22"/>
                <w:szCs w:val="22"/>
                <w:lang w:val="lt-LT"/>
              </w:rPr>
            </w:pPr>
            <w:r w:rsidRPr="00A1210C">
              <w:rPr>
                <w:rFonts w:ascii="Jost" w:hAnsi="Jost"/>
                <w:b/>
                <w:bCs/>
                <w:sz w:val="22"/>
                <w:szCs w:val="22"/>
                <w:lang w:val="lt-LT"/>
              </w:rPr>
              <w:t>PAPILDYTA.</w:t>
            </w:r>
            <w:r w:rsidRPr="00A1210C">
              <w:rPr>
                <w:rFonts w:ascii="Jost" w:hAnsi="Jost"/>
                <w:sz w:val="22"/>
                <w:szCs w:val="22"/>
                <w:lang w:val="lt-LT"/>
              </w:rPr>
              <w:t xml:space="preserve"> </w:t>
            </w:r>
            <w:r w:rsidR="00386116" w:rsidRPr="00A1210C">
              <w:rPr>
                <w:rFonts w:ascii="Jost" w:hAnsi="Jost"/>
                <w:sz w:val="22"/>
                <w:szCs w:val="22"/>
                <w:lang w:val="lt-LT"/>
              </w:rPr>
              <w:t>Specialiųjų pirkimo sąlygų 7 priede „Kokybės kriterijai ir jų vertinimas“ nurodyta, kad Perkančioji organizacija ekonomiškai naudingiausią pasiūlymą išrenka pagal kainos ir kokybės santykį. Tačiau susipažinus su vertinimo tvarka, kyla abejonių dėl kainos kriterijaus proporcingumo ir vertinimo metodikos tinkamumo.</w:t>
            </w:r>
          </w:p>
          <w:p w14:paraId="5632640D" w14:textId="77777777" w:rsidR="00386116" w:rsidRPr="00A1210C" w:rsidRDefault="00386116" w:rsidP="00386116">
            <w:pPr>
              <w:rPr>
                <w:rFonts w:ascii="Jost" w:hAnsi="Jost" w:hint="eastAsia"/>
                <w:sz w:val="22"/>
                <w:szCs w:val="22"/>
                <w:lang w:val="lt-LT"/>
              </w:rPr>
            </w:pPr>
            <w:r w:rsidRPr="00A1210C">
              <w:rPr>
                <w:rFonts w:ascii="Jost" w:hAnsi="Jost"/>
                <w:sz w:val="22"/>
                <w:szCs w:val="22"/>
                <w:lang w:val="lt-LT"/>
              </w:rPr>
              <w:t>Ekonominio naudingumo balų apskaičiavimo tvarka:</w:t>
            </w:r>
          </w:p>
          <w:p w14:paraId="663522CF" w14:textId="77777777" w:rsidR="00386116" w:rsidRPr="00A1210C" w:rsidRDefault="00386116" w:rsidP="00386116">
            <w:pPr>
              <w:rPr>
                <w:rFonts w:ascii="Jost" w:hAnsi="Jost" w:hint="eastAsia"/>
                <w:sz w:val="22"/>
                <w:szCs w:val="22"/>
                <w:lang w:val="lt-LT"/>
              </w:rPr>
            </w:pPr>
            <w:r w:rsidRPr="00A1210C">
              <w:rPr>
                <w:rFonts w:ascii="Jost" w:hAnsi="Jost"/>
                <w:sz w:val="22"/>
                <w:szCs w:val="22"/>
                <w:lang w:val="lt-LT"/>
              </w:rPr>
              <w:t>Ekonominis naudingumas (S) apskaičiuojamas sudedant tiekėjo pasiūlymo kainos kriterijaus (C) ir kriterijaus „Kokybiniai kriterijai“ (P) vertinimo balus.</w:t>
            </w:r>
          </w:p>
          <w:p w14:paraId="1F85421B" w14:textId="77777777" w:rsidR="00386116" w:rsidRPr="00A1210C" w:rsidRDefault="00386116" w:rsidP="00386116">
            <w:pPr>
              <w:rPr>
                <w:rFonts w:ascii="Jost" w:hAnsi="Jost" w:hint="eastAsia"/>
                <w:sz w:val="22"/>
                <w:szCs w:val="22"/>
                <w:lang w:val="lt-LT"/>
              </w:rPr>
            </w:pPr>
            <w:r w:rsidRPr="00A1210C">
              <w:rPr>
                <w:rFonts w:ascii="Jost" w:hAnsi="Jost"/>
                <w:sz w:val="22"/>
                <w:szCs w:val="22"/>
                <w:lang w:val="lt-LT"/>
              </w:rPr>
              <w:t>S = C + P</w:t>
            </w:r>
          </w:p>
          <w:p w14:paraId="5645D6A8" w14:textId="77777777" w:rsidR="00386116" w:rsidRPr="00A1210C" w:rsidRDefault="00386116" w:rsidP="00386116">
            <w:pPr>
              <w:rPr>
                <w:rFonts w:ascii="Jost" w:hAnsi="Jost" w:hint="eastAsia"/>
                <w:sz w:val="22"/>
                <w:szCs w:val="22"/>
                <w:lang w:val="lt-LT"/>
              </w:rPr>
            </w:pPr>
            <w:r w:rsidRPr="00A1210C">
              <w:rPr>
                <w:rFonts w:ascii="Jost" w:hAnsi="Jost"/>
                <w:sz w:val="22"/>
                <w:szCs w:val="22"/>
                <w:lang w:val="lt-LT"/>
              </w:rPr>
              <w:t>Pasiūlymo kainos kriterijaus (C) balas apskaičiuojamas:</w:t>
            </w:r>
          </w:p>
          <w:p w14:paraId="5048C47F" w14:textId="77777777" w:rsidR="00386116" w:rsidRPr="00A1210C" w:rsidRDefault="00386116" w:rsidP="00386116">
            <w:pPr>
              <w:rPr>
                <w:rFonts w:ascii="Jost" w:hAnsi="Jost" w:hint="eastAsia"/>
                <w:sz w:val="22"/>
                <w:szCs w:val="22"/>
                <w:lang w:val="lt-LT"/>
              </w:rPr>
            </w:pPr>
            <w:r w:rsidRPr="00A1210C">
              <w:rPr>
                <w:rFonts w:ascii="Jost" w:hAnsi="Jost"/>
                <w:sz w:val="22"/>
                <w:szCs w:val="22"/>
                <w:lang w:val="lt-LT"/>
              </w:rPr>
              <w:t>C=(1-(</w:t>
            </w:r>
            <w:proofErr w:type="spellStart"/>
            <w:r w:rsidRPr="00A1210C">
              <w:rPr>
                <w:rFonts w:ascii="Jost" w:hAnsi="Jost"/>
                <w:sz w:val="22"/>
                <w:szCs w:val="22"/>
                <w:lang w:val="lt-LT"/>
              </w:rPr>
              <w:t>Cpas</w:t>
            </w:r>
            <w:proofErr w:type="spellEnd"/>
            <w:r w:rsidRPr="00A1210C">
              <w:rPr>
                <w:rFonts w:ascii="Jost" w:hAnsi="Jost"/>
                <w:sz w:val="22"/>
                <w:szCs w:val="22"/>
                <w:lang w:val="lt-LT"/>
              </w:rPr>
              <w:t>/</w:t>
            </w:r>
            <w:proofErr w:type="spellStart"/>
            <w:r w:rsidRPr="00A1210C">
              <w:rPr>
                <w:rFonts w:ascii="Jost" w:hAnsi="Jost"/>
                <w:sz w:val="22"/>
                <w:szCs w:val="22"/>
                <w:lang w:val="lt-LT"/>
              </w:rPr>
              <w:t>Cb</w:t>
            </w:r>
            <w:proofErr w:type="spellEnd"/>
            <w:r w:rsidRPr="00A1210C">
              <w:rPr>
                <w:rFonts w:ascii="Jost" w:hAnsi="Jost"/>
                <w:sz w:val="22"/>
                <w:szCs w:val="22"/>
                <w:lang w:val="lt-LT"/>
              </w:rPr>
              <w:t>))∙X, kur</w:t>
            </w:r>
          </w:p>
          <w:p w14:paraId="12A71155" w14:textId="77777777" w:rsidR="00386116" w:rsidRPr="00A1210C" w:rsidRDefault="00386116" w:rsidP="00386116">
            <w:pPr>
              <w:rPr>
                <w:rFonts w:ascii="Jost" w:hAnsi="Jost" w:hint="eastAsia"/>
                <w:sz w:val="22"/>
                <w:szCs w:val="22"/>
                <w:lang w:val="lt-LT"/>
              </w:rPr>
            </w:pPr>
            <w:proofErr w:type="spellStart"/>
            <w:r w:rsidRPr="00A1210C">
              <w:rPr>
                <w:rFonts w:ascii="Jost" w:hAnsi="Jost"/>
                <w:sz w:val="22"/>
                <w:szCs w:val="22"/>
                <w:lang w:val="lt-LT"/>
              </w:rPr>
              <w:t>Cpas</w:t>
            </w:r>
            <w:proofErr w:type="spellEnd"/>
            <w:r w:rsidRPr="00A1210C">
              <w:rPr>
                <w:rFonts w:ascii="Jost" w:hAnsi="Jost"/>
                <w:sz w:val="22"/>
                <w:szCs w:val="22"/>
                <w:lang w:val="lt-LT"/>
              </w:rPr>
              <w:t xml:space="preserve"> – Tiekėjo pasiūlymo kaina, Eur be PVM;</w:t>
            </w:r>
          </w:p>
          <w:p w14:paraId="2E50B183" w14:textId="77777777" w:rsidR="00386116" w:rsidRPr="00A1210C" w:rsidRDefault="00386116" w:rsidP="00386116">
            <w:pPr>
              <w:rPr>
                <w:rFonts w:ascii="Jost" w:hAnsi="Jost" w:hint="eastAsia"/>
                <w:sz w:val="22"/>
                <w:szCs w:val="22"/>
                <w:lang w:val="lt-LT"/>
              </w:rPr>
            </w:pPr>
            <w:proofErr w:type="spellStart"/>
            <w:r w:rsidRPr="00A1210C">
              <w:rPr>
                <w:rFonts w:ascii="Jost" w:hAnsi="Jost"/>
                <w:sz w:val="22"/>
                <w:szCs w:val="22"/>
                <w:lang w:val="lt-LT"/>
              </w:rPr>
              <w:t>Cb</w:t>
            </w:r>
            <w:proofErr w:type="spellEnd"/>
            <w:r w:rsidRPr="00A1210C">
              <w:rPr>
                <w:rFonts w:ascii="Jost" w:hAnsi="Jost"/>
                <w:sz w:val="22"/>
                <w:szCs w:val="22"/>
                <w:lang w:val="lt-LT"/>
              </w:rPr>
              <w:t xml:space="preserve"> – Užsakovo nurodytas Pirkimo biudžetas, Eur be PVM.</w:t>
            </w:r>
          </w:p>
          <w:p w14:paraId="68B6BAF1" w14:textId="77777777" w:rsidR="00386116" w:rsidRPr="00A1210C" w:rsidRDefault="00386116" w:rsidP="00386116">
            <w:pPr>
              <w:rPr>
                <w:rFonts w:ascii="Jost" w:hAnsi="Jost" w:hint="eastAsia"/>
                <w:sz w:val="22"/>
                <w:szCs w:val="22"/>
                <w:lang w:val="lt-LT"/>
              </w:rPr>
            </w:pPr>
            <w:r w:rsidRPr="00A1210C">
              <w:rPr>
                <w:rFonts w:ascii="Jost" w:hAnsi="Jost"/>
                <w:sz w:val="22"/>
                <w:szCs w:val="22"/>
                <w:lang w:val="lt-LT"/>
              </w:rPr>
              <w:t>X – lyginamasis svoris ekonominio naudingumo vertinime [X - 55 balai].</w:t>
            </w:r>
          </w:p>
          <w:p w14:paraId="452E8CE9" w14:textId="77777777" w:rsidR="00386116" w:rsidRPr="00A1210C" w:rsidRDefault="00386116" w:rsidP="00386116">
            <w:pPr>
              <w:rPr>
                <w:rFonts w:ascii="Jost" w:hAnsi="Jost" w:hint="eastAsia"/>
                <w:sz w:val="22"/>
                <w:szCs w:val="22"/>
                <w:lang w:val="lt-LT"/>
              </w:rPr>
            </w:pPr>
          </w:p>
          <w:p w14:paraId="25E0ACEC" w14:textId="77777777" w:rsidR="00386116" w:rsidRPr="00A1210C" w:rsidRDefault="00386116" w:rsidP="00386116">
            <w:pPr>
              <w:rPr>
                <w:rFonts w:ascii="Jost" w:hAnsi="Jost" w:hint="eastAsia"/>
                <w:sz w:val="22"/>
                <w:szCs w:val="22"/>
                <w:lang w:val="lt-LT"/>
              </w:rPr>
            </w:pPr>
            <w:r w:rsidRPr="00A1210C">
              <w:rPr>
                <w:rFonts w:ascii="Jost" w:hAnsi="Jost"/>
                <w:sz w:val="22"/>
                <w:szCs w:val="22"/>
                <w:lang w:val="lt-LT"/>
              </w:rPr>
              <w:t>Ši formulė suponuoja, kad maksimalų balų skaičių (55 balus) galima gauti tik tuo atveju, jeigu tiekėjo pasiūlymo kaina būtų 0 EUR, kas yra visiškai nerealistiška. Realiomis sąlygomis net 20% mažesnė nei biudžeto kaina duotų tik 11 balų iš 55, kai tuo tarpu net ir visiškai subjektyvus kriterijus – Sistemos grafinės vartotojo sąsajos vizualinė ir naudojimo patogumo kokybė – gali lemti 15 balų skirtumą tarp tiekėjų.</w:t>
            </w:r>
          </w:p>
          <w:p w14:paraId="3756B140" w14:textId="77777777" w:rsidR="00386116" w:rsidRPr="00A1210C" w:rsidRDefault="00386116" w:rsidP="00386116">
            <w:pPr>
              <w:rPr>
                <w:rFonts w:ascii="Jost" w:hAnsi="Jost" w:hint="eastAsia"/>
                <w:sz w:val="22"/>
                <w:szCs w:val="22"/>
                <w:lang w:val="lt-LT"/>
              </w:rPr>
            </w:pPr>
            <w:r w:rsidRPr="00A1210C">
              <w:rPr>
                <w:rFonts w:ascii="Jost" w:hAnsi="Jost"/>
                <w:sz w:val="22"/>
                <w:szCs w:val="22"/>
                <w:lang w:val="lt-LT"/>
              </w:rPr>
              <w:lastRenderedPageBreak/>
              <w:t>Tai reiškia, kad subjektyvūs kriterijai (pvz., Vartotojo sąsajos intuityvumas ir patogumas naudoti, dizaino kokybė, kurie nėra objektyviai pamatuojami) turi didesnę įtaką galutiniam vertinimui nei objektyvus kainos pasiūlymas.</w:t>
            </w:r>
          </w:p>
          <w:p w14:paraId="13DAC416" w14:textId="77777777" w:rsidR="00386116" w:rsidRPr="00A1210C" w:rsidRDefault="00386116" w:rsidP="00386116">
            <w:pPr>
              <w:rPr>
                <w:rFonts w:ascii="Jost" w:hAnsi="Jost" w:hint="eastAsia"/>
                <w:sz w:val="22"/>
                <w:szCs w:val="22"/>
                <w:lang w:val="lt-LT"/>
              </w:rPr>
            </w:pPr>
            <w:r w:rsidRPr="00A1210C">
              <w:rPr>
                <w:rFonts w:ascii="Jost" w:hAnsi="Jost"/>
                <w:sz w:val="22"/>
                <w:szCs w:val="22"/>
                <w:lang w:val="lt-LT"/>
              </w:rPr>
              <w:t>Tokiu būdu yra iškraipomas konkurencingumo principas ir neužtikrinamas realus kainos ir kokybės santykio vertinimas.</w:t>
            </w:r>
          </w:p>
          <w:p w14:paraId="4AA13FAE" w14:textId="77777777" w:rsidR="00386116" w:rsidRPr="00A1210C" w:rsidRDefault="00386116" w:rsidP="00386116">
            <w:pPr>
              <w:rPr>
                <w:rFonts w:ascii="Jost" w:hAnsi="Jost" w:hint="eastAsia"/>
                <w:sz w:val="22"/>
                <w:szCs w:val="22"/>
                <w:lang w:val="lt-LT"/>
              </w:rPr>
            </w:pPr>
            <w:r w:rsidRPr="00A1210C">
              <w:rPr>
                <w:rFonts w:ascii="Jost" w:hAnsi="Jost"/>
                <w:sz w:val="22"/>
                <w:szCs w:val="22"/>
                <w:lang w:val="lt-LT"/>
              </w:rPr>
              <w:t>Siūlome pakeisti kainos vertinimo metodiką ir vietoje Perkančiosios organizacijos nustatyto biudžeto (</w:t>
            </w:r>
            <w:proofErr w:type="spellStart"/>
            <w:r w:rsidRPr="00A1210C">
              <w:rPr>
                <w:rFonts w:ascii="Jost" w:hAnsi="Jost"/>
                <w:sz w:val="22"/>
                <w:szCs w:val="22"/>
                <w:lang w:val="lt-LT"/>
              </w:rPr>
              <w:t>Cb</w:t>
            </w:r>
            <w:proofErr w:type="spellEnd"/>
            <w:r w:rsidRPr="00A1210C">
              <w:rPr>
                <w:rFonts w:ascii="Jost" w:hAnsi="Jost"/>
                <w:sz w:val="22"/>
                <w:szCs w:val="22"/>
                <w:lang w:val="lt-LT"/>
              </w:rPr>
              <w:t xml:space="preserve">) naudoti mažiausią tiekėjų pasiūlytą kainą, </w:t>
            </w:r>
            <w:proofErr w:type="spellStart"/>
            <w:r w:rsidRPr="00A1210C">
              <w:rPr>
                <w:rFonts w:ascii="Jost" w:hAnsi="Jost"/>
                <w:sz w:val="22"/>
                <w:szCs w:val="22"/>
                <w:lang w:val="lt-LT"/>
              </w:rPr>
              <w:t>t.y</w:t>
            </w:r>
            <w:proofErr w:type="spellEnd"/>
            <w:r w:rsidRPr="00A1210C">
              <w:rPr>
                <w:rFonts w:ascii="Jost" w:hAnsi="Jost"/>
                <w:sz w:val="22"/>
                <w:szCs w:val="22"/>
                <w:lang w:val="lt-LT"/>
              </w:rPr>
              <w:t>. taikyti standartinę formulę: C = (</w:t>
            </w:r>
            <w:proofErr w:type="spellStart"/>
            <w:r w:rsidRPr="00A1210C">
              <w:rPr>
                <w:rFonts w:ascii="Jost" w:hAnsi="Jost"/>
                <w:sz w:val="22"/>
                <w:szCs w:val="22"/>
                <w:lang w:val="lt-LT"/>
              </w:rPr>
              <w:t>Cmin</w:t>
            </w:r>
            <w:proofErr w:type="spellEnd"/>
            <w:r w:rsidRPr="00A1210C">
              <w:rPr>
                <w:rFonts w:ascii="Jost" w:hAnsi="Jost"/>
                <w:sz w:val="22"/>
                <w:szCs w:val="22"/>
                <w:lang w:val="lt-LT"/>
              </w:rPr>
              <w:t xml:space="preserve"> / </w:t>
            </w:r>
            <w:proofErr w:type="spellStart"/>
            <w:r w:rsidRPr="00A1210C">
              <w:rPr>
                <w:rFonts w:ascii="Jost" w:hAnsi="Jost"/>
                <w:sz w:val="22"/>
                <w:szCs w:val="22"/>
                <w:lang w:val="lt-LT"/>
              </w:rPr>
              <w:t>Cpas</w:t>
            </w:r>
            <w:proofErr w:type="spellEnd"/>
            <w:r w:rsidRPr="00A1210C">
              <w:rPr>
                <w:rFonts w:ascii="Jost" w:hAnsi="Jost"/>
                <w:sz w:val="22"/>
                <w:szCs w:val="22"/>
                <w:lang w:val="lt-LT"/>
              </w:rPr>
              <w:t>) * X,</w:t>
            </w:r>
          </w:p>
          <w:p w14:paraId="2714DF30" w14:textId="77777777" w:rsidR="00386116" w:rsidRPr="00A1210C" w:rsidRDefault="00386116" w:rsidP="00386116">
            <w:pPr>
              <w:rPr>
                <w:rFonts w:ascii="Jost" w:hAnsi="Jost" w:hint="eastAsia"/>
                <w:sz w:val="22"/>
                <w:szCs w:val="22"/>
                <w:lang w:val="lt-LT"/>
              </w:rPr>
            </w:pPr>
            <w:r w:rsidRPr="00A1210C">
              <w:rPr>
                <w:rFonts w:ascii="Jost" w:hAnsi="Jost"/>
                <w:sz w:val="22"/>
                <w:szCs w:val="22"/>
                <w:lang w:val="lt-LT"/>
              </w:rPr>
              <w:t xml:space="preserve">kur </w:t>
            </w:r>
            <w:proofErr w:type="spellStart"/>
            <w:r w:rsidRPr="00A1210C">
              <w:rPr>
                <w:rFonts w:ascii="Jost" w:hAnsi="Jost"/>
                <w:sz w:val="22"/>
                <w:szCs w:val="22"/>
                <w:lang w:val="lt-LT"/>
              </w:rPr>
              <w:t>Cmin</w:t>
            </w:r>
            <w:proofErr w:type="spellEnd"/>
            <w:r w:rsidRPr="00A1210C">
              <w:rPr>
                <w:rFonts w:ascii="Jost" w:hAnsi="Jost"/>
                <w:sz w:val="22"/>
                <w:szCs w:val="22"/>
                <w:lang w:val="lt-LT"/>
              </w:rPr>
              <w:t xml:space="preserve"> – mažiausia tiekėjų pasiūlyta kaina.</w:t>
            </w:r>
          </w:p>
          <w:p w14:paraId="5CD9E8E1" w14:textId="66C2FA45" w:rsidR="00994596" w:rsidRPr="00A1210C" w:rsidRDefault="00386116" w:rsidP="00386116">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ascii="Jost" w:eastAsia="Times New Roman" w:hAnsi="Jost"/>
                <w:i/>
                <w:iCs/>
                <w:color w:val="212121"/>
                <w:sz w:val="22"/>
                <w:szCs w:val="22"/>
                <w:bdr w:val="none" w:sz="0" w:space="0" w:color="auto"/>
                <w:lang w:val="lt-LT"/>
              </w:rPr>
            </w:pPr>
            <w:r w:rsidRPr="00A1210C">
              <w:rPr>
                <w:rFonts w:ascii="Jost" w:hAnsi="Jost"/>
                <w:sz w:val="22"/>
                <w:szCs w:val="22"/>
                <w:lang w:val="lt-LT"/>
              </w:rPr>
              <w:t>Toks skaičiavimo būdas užtikrintų objektyvesnį vertinimą ir proporcingesnę kainos svarbą bendrai vertinimo sistemai.</w:t>
            </w:r>
          </w:p>
        </w:tc>
      </w:tr>
      <w:tr w:rsidR="00994596" w:rsidRPr="00A1210C" w14:paraId="2E4D7785" w14:textId="77777777" w:rsidTr="001F7BFC">
        <w:tc>
          <w:tcPr>
            <w:tcW w:w="9730" w:type="dxa"/>
            <w:shd w:val="clear" w:color="auto" w:fill="C1F0C7" w:themeFill="accent3" w:themeFillTint="33"/>
          </w:tcPr>
          <w:p w14:paraId="449F4CAE" w14:textId="623EAEA8" w:rsidR="00994596" w:rsidRPr="00A1210C" w:rsidRDefault="00994596" w:rsidP="00182E56">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ascii="Jost" w:eastAsia="Times New Roman" w:hAnsi="Jost"/>
                <w:b/>
                <w:bCs/>
                <w:color w:val="212121"/>
                <w:sz w:val="22"/>
                <w:szCs w:val="22"/>
                <w:bdr w:val="none" w:sz="0" w:space="0" w:color="auto"/>
                <w:lang w:val="lt-LT"/>
              </w:rPr>
            </w:pPr>
            <w:r w:rsidRPr="00A1210C">
              <w:rPr>
                <w:rFonts w:ascii="Jost" w:eastAsia="Times New Roman" w:hAnsi="Jost"/>
                <w:b/>
                <w:bCs/>
                <w:color w:val="212121"/>
                <w:sz w:val="22"/>
                <w:szCs w:val="22"/>
                <w:bdr w:val="none" w:sz="0" w:space="0" w:color="auto"/>
                <w:lang w:val="lt-LT"/>
              </w:rPr>
              <w:lastRenderedPageBreak/>
              <w:t>Atsakymas</w:t>
            </w:r>
          </w:p>
        </w:tc>
      </w:tr>
      <w:tr w:rsidR="00994596" w:rsidRPr="00A1210C" w14:paraId="2439F6AB" w14:textId="77777777" w:rsidTr="00994596">
        <w:tc>
          <w:tcPr>
            <w:tcW w:w="9730" w:type="dxa"/>
          </w:tcPr>
          <w:p w14:paraId="144272C6" w14:textId="77777777" w:rsidR="00D9422C" w:rsidRPr="00A1210C" w:rsidRDefault="00D9422C" w:rsidP="00D9422C">
            <w:pPr>
              <w:spacing w:line="276" w:lineRule="auto"/>
              <w:jc w:val="both"/>
              <w:rPr>
                <w:rFonts w:ascii="Jost" w:hAnsi="Jost" w:hint="eastAsia"/>
                <w:sz w:val="22"/>
                <w:szCs w:val="22"/>
                <w:lang w:val="lt-LT"/>
              </w:rPr>
            </w:pPr>
            <w:r w:rsidRPr="00A1210C">
              <w:rPr>
                <w:rFonts w:ascii="Jost" w:hAnsi="Jost"/>
                <w:sz w:val="22"/>
                <w:szCs w:val="22"/>
                <w:lang w:val="lt-LT"/>
              </w:rPr>
              <w:t>Dėkojame už Jūsų klausimą.</w:t>
            </w:r>
          </w:p>
          <w:p w14:paraId="18D57DF2" w14:textId="488C6308" w:rsidR="00532BE3" w:rsidRPr="00A1210C" w:rsidRDefault="009732A3" w:rsidP="00532BE3">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ascii="Jost" w:eastAsia="Times New Roman" w:hAnsi="Jost"/>
                <w:color w:val="212121"/>
                <w:sz w:val="22"/>
                <w:szCs w:val="22"/>
                <w:bdr w:val="none" w:sz="0" w:space="0" w:color="auto"/>
                <w:lang w:val="lt-LT"/>
              </w:rPr>
            </w:pPr>
            <w:r w:rsidRPr="00A1210C">
              <w:rPr>
                <w:rFonts w:ascii="Jost" w:eastAsia="Times New Roman" w:hAnsi="Jost"/>
                <w:color w:val="212121"/>
                <w:sz w:val="22"/>
                <w:szCs w:val="22"/>
                <w:bdr w:val="none" w:sz="0" w:space="0" w:color="auto"/>
                <w:lang w:val="lt-LT"/>
              </w:rPr>
              <w:t>N</w:t>
            </w:r>
            <w:r w:rsidR="002400CB" w:rsidRPr="00A1210C">
              <w:rPr>
                <w:rFonts w:ascii="Jost" w:eastAsia="Times New Roman" w:hAnsi="Jost"/>
                <w:color w:val="212121"/>
                <w:sz w:val="22"/>
                <w:szCs w:val="22"/>
                <w:bdr w:val="none" w:sz="0" w:space="0" w:color="auto"/>
                <w:lang w:val="lt-LT"/>
              </w:rPr>
              <w:t xml:space="preserve">orime pažymėti, kad šios formulės </w:t>
            </w:r>
            <w:r w:rsidRPr="00A1210C">
              <w:rPr>
                <w:rFonts w:ascii="Jost" w:eastAsia="Times New Roman" w:hAnsi="Jost"/>
                <w:b/>
                <w:bCs/>
                <w:color w:val="212121"/>
                <w:sz w:val="22"/>
                <w:szCs w:val="22"/>
                <w:bdr w:val="none" w:sz="0" w:space="0" w:color="auto"/>
                <w:lang w:val="lt-LT"/>
              </w:rPr>
              <w:t>C = (1 – (</w:t>
            </w:r>
            <w:proofErr w:type="spellStart"/>
            <w:r w:rsidRPr="00A1210C">
              <w:rPr>
                <w:rFonts w:ascii="Jost" w:eastAsia="Times New Roman" w:hAnsi="Jost"/>
                <w:b/>
                <w:bCs/>
                <w:color w:val="212121"/>
                <w:sz w:val="22"/>
                <w:szCs w:val="22"/>
                <w:bdr w:val="none" w:sz="0" w:space="0" w:color="auto"/>
                <w:lang w:val="lt-LT"/>
              </w:rPr>
              <w:t>Cpas</w:t>
            </w:r>
            <w:proofErr w:type="spellEnd"/>
            <w:r w:rsidRPr="00A1210C">
              <w:rPr>
                <w:rFonts w:ascii="Jost" w:eastAsia="Times New Roman" w:hAnsi="Jost"/>
                <w:b/>
                <w:bCs/>
                <w:color w:val="212121"/>
                <w:sz w:val="22"/>
                <w:szCs w:val="22"/>
                <w:bdr w:val="none" w:sz="0" w:space="0" w:color="auto"/>
                <w:lang w:val="lt-LT"/>
              </w:rPr>
              <w:t xml:space="preserve"> / </w:t>
            </w:r>
            <w:proofErr w:type="spellStart"/>
            <w:r w:rsidRPr="00A1210C">
              <w:rPr>
                <w:rFonts w:ascii="Jost" w:eastAsia="Times New Roman" w:hAnsi="Jost"/>
                <w:b/>
                <w:bCs/>
                <w:color w:val="212121"/>
                <w:sz w:val="22"/>
                <w:szCs w:val="22"/>
                <w:bdr w:val="none" w:sz="0" w:space="0" w:color="auto"/>
                <w:lang w:val="lt-LT"/>
              </w:rPr>
              <w:t>Cb</w:t>
            </w:r>
            <w:proofErr w:type="spellEnd"/>
            <w:r w:rsidRPr="00A1210C">
              <w:rPr>
                <w:rFonts w:ascii="Jost" w:eastAsia="Times New Roman" w:hAnsi="Jost"/>
                <w:b/>
                <w:bCs/>
                <w:color w:val="212121"/>
                <w:sz w:val="22"/>
                <w:szCs w:val="22"/>
                <w:bdr w:val="none" w:sz="0" w:space="0" w:color="auto"/>
                <w:lang w:val="lt-LT"/>
              </w:rPr>
              <w:t>)) × X</w:t>
            </w:r>
            <w:r w:rsidRPr="00A1210C">
              <w:rPr>
                <w:rFonts w:ascii="Jost" w:eastAsia="Times New Roman" w:hAnsi="Jost"/>
                <w:color w:val="212121"/>
                <w:sz w:val="22"/>
                <w:szCs w:val="22"/>
                <w:bdr w:val="none" w:sz="0" w:space="0" w:color="auto"/>
                <w:lang w:val="lt-LT"/>
              </w:rPr>
              <w:t xml:space="preserve">  </w:t>
            </w:r>
            <w:r w:rsidR="002400CB" w:rsidRPr="00A1210C">
              <w:rPr>
                <w:rFonts w:ascii="Jost" w:eastAsia="Times New Roman" w:hAnsi="Jost"/>
                <w:color w:val="212121"/>
                <w:sz w:val="22"/>
                <w:szCs w:val="22"/>
                <w:bdr w:val="none" w:sz="0" w:space="0" w:color="auto"/>
                <w:lang w:val="lt-LT"/>
              </w:rPr>
              <w:t>pasirinkimą lėmė siekis užtikrinti balansą tarp kokybės ir kainos vertinimo, atsižvelgiant į tai, jog kaina nėra vienintelis ir svarbiausias kriterijus šiame pirkime.</w:t>
            </w:r>
            <w:r w:rsidR="00532BE3" w:rsidRPr="00A1210C">
              <w:rPr>
                <w:rFonts w:ascii="Jost" w:eastAsia="Times New Roman" w:hAnsi="Jost"/>
                <w:sz w:val="22"/>
                <w:szCs w:val="22"/>
                <w:bdr w:val="none" w:sz="0" w:space="0" w:color="auto"/>
                <w:lang w:val="lt-LT" w:eastAsia="lt-LT"/>
              </w:rPr>
              <w:t xml:space="preserve"> </w:t>
            </w:r>
            <w:r w:rsidR="00532BE3" w:rsidRPr="00A1210C">
              <w:rPr>
                <w:rFonts w:ascii="Jost" w:eastAsia="Times New Roman" w:hAnsi="Jost"/>
                <w:color w:val="212121"/>
                <w:sz w:val="22"/>
                <w:szCs w:val="22"/>
                <w:bdr w:val="none" w:sz="0" w:space="0" w:color="auto"/>
                <w:lang w:val="lt-LT"/>
              </w:rPr>
              <w:t xml:space="preserve">Naudojant </w:t>
            </w:r>
            <w:proofErr w:type="spellStart"/>
            <w:r w:rsidR="00532BE3" w:rsidRPr="00A1210C">
              <w:rPr>
                <w:rFonts w:ascii="Jost" w:eastAsia="Times New Roman" w:hAnsi="Jost"/>
                <w:b/>
                <w:bCs/>
                <w:color w:val="212121"/>
                <w:sz w:val="22"/>
                <w:szCs w:val="22"/>
                <w:bdr w:val="none" w:sz="0" w:space="0" w:color="auto"/>
                <w:lang w:val="lt-LT"/>
              </w:rPr>
              <w:t>Cb</w:t>
            </w:r>
            <w:proofErr w:type="spellEnd"/>
            <w:r w:rsidR="00532BE3" w:rsidRPr="00A1210C">
              <w:rPr>
                <w:rFonts w:ascii="Jost" w:eastAsia="Times New Roman" w:hAnsi="Jost"/>
                <w:b/>
                <w:bCs/>
                <w:color w:val="212121"/>
                <w:sz w:val="22"/>
                <w:szCs w:val="22"/>
                <w:bdr w:val="none" w:sz="0" w:space="0" w:color="auto"/>
                <w:lang w:val="lt-LT"/>
              </w:rPr>
              <w:t xml:space="preserve"> (pirkimo biudžetą)</w:t>
            </w:r>
            <w:r w:rsidR="00532BE3" w:rsidRPr="00A1210C">
              <w:rPr>
                <w:rFonts w:ascii="Jost" w:eastAsia="Times New Roman" w:hAnsi="Jost"/>
                <w:color w:val="212121"/>
                <w:sz w:val="22"/>
                <w:szCs w:val="22"/>
                <w:bdr w:val="none" w:sz="0" w:space="0" w:color="auto"/>
                <w:lang w:val="lt-LT"/>
              </w:rPr>
              <w:t xml:space="preserve"> kaip atskaitos tašką, sudaromos sąlygos </w:t>
            </w:r>
            <w:r w:rsidR="009D7E2C" w:rsidRPr="00A1210C">
              <w:rPr>
                <w:rFonts w:ascii="Jost" w:eastAsia="Times New Roman" w:hAnsi="Jost"/>
                <w:color w:val="212121"/>
                <w:sz w:val="22"/>
                <w:szCs w:val="22"/>
                <w:bdr w:val="none" w:sz="0" w:space="0" w:color="auto"/>
                <w:lang w:val="lt-LT"/>
              </w:rPr>
              <w:t>ne motyvuoti tiekėjų siūlyti ekonomiškai nepagrįstai žemas kainas</w:t>
            </w:r>
            <w:r w:rsidR="00532BE3" w:rsidRPr="00A1210C">
              <w:rPr>
                <w:rFonts w:ascii="Jost" w:eastAsia="Times New Roman" w:hAnsi="Jost"/>
                <w:color w:val="212121"/>
                <w:sz w:val="22"/>
                <w:szCs w:val="22"/>
                <w:bdr w:val="none" w:sz="0" w:space="0" w:color="auto"/>
                <w:lang w:val="lt-LT"/>
              </w:rPr>
              <w:t>, o vertinti ekonomiškai pagrįstus pasiūlymus, išlaikant motyvaciją teikti realią rinkos kainą atitinkančius sprendimus. Tai leidžia Perkančiajai organizacijai racionaliau valdyti biudžetą ir kartu įvertinti tiekėjų gebėjimą siūlyti kokybišką produktą už konkurencingą kainą.</w:t>
            </w:r>
          </w:p>
          <w:p w14:paraId="514D736C" w14:textId="7713BE50" w:rsidR="00532BE3" w:rsidRPr="00532BE3" w:rsidRDefault="00532BE3" w:rsidP="00532BE3">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ascii="Jost" w:eastAsia="Times New Roman" w:hAnsi="Jost"/>
                <w:color w:val="212121"/>
                <w:sz w:val="22"/>
                <w:szCs w:val="22"/>
                <w:bdr w:val="none" w:sz="0" w:space="0" w:color="auto"/>
                <w:lang w:val="lt-LT"/>
              </w:rPr>
            </w:pPr>
            <w:r w:rsidRPr="00532BE3">
              <w:rPr>
                <w:rFonts w:ascii="Jost" w:eastAsia="Times New Roman" w:hAnsi="Jost"/>
                <w:color w:val="212121"/>
                <w:sz w:val="22"/>
                <w:szCs w:val="22"/>
                <w:bdr w:val="none" w:sz="0" w:space="0" w:color="auto"/>
                <w:lang w:val="lt-LT"/>
              </w:rPr>
              <w:t xml:space="preserve">Jūsų siūlyta formulė </w:t>
            </w:r>
            <w:r w:rsidRPr="00532BE3">
              <w:rPr>
                <w:rFonts w:ascii="Jost" w:eastAsia="Times New Roman" w:hAnsi="Jost"/>
                <w:b/>
                <w:bCs/>
                <w:color w:val="212121"/>
                <w:sz w:val="22"/>
                <w:szCs w:val="22"/>
                <w:bdr w:val="none" w:sz="0" w:space="0" w:color="auto"/>
                <w:lang w:val="lt-LT"/>
              </w:rPr>
              <w:t>C = (</w:t>
            </w:r>
            <w:proofErr w:type="spellStart"/>
            <w:r w:rsidRPr="00532BE3">
              <w:rPr>
                <w:rFonts w:ascii="Jost" w:eastAsia="Times New Roman" w:hAnsi="Jost"/>
                <w:b/>
                <w:bCs/>
                <w:color w:val="212121"/>
                <w:sz w:val="22"/>
                <w:szCs w:val="22"/>
                <w:bdr w:val="none" w:sz="0" w:space="0" w:color="auto"/>
                <w:lang w:val="lt-LT"/>
              </w:rPr>
              <w:t>Cmin</w:t>
            </w:r>
            <w:proofErr w:type="spellEnd"/>
            <w:r w:rsidRPr="00532BE3">
              <w:rPr>
                <w:rFonts w:ascii="Jost" w:eastAsia="Times New Roman" w:hAnsi="Jost"/>
                <w:b/>
                <w:bCs/>
                <w:color w:val="212121"/>
                <w:sz w:val="22"/>
                <w:szCs w:val="22"/>
                <w:bdr w:val="none" w:sz="0" w:space="0" w:color="auto"/>
                <w:lang w:val="lt-LT"/>
              </w:rPr>
              <w:t xml:space="preserve"> / </w:t>
            </w:r>
            <w:proofErr w:type="spellStart"/>
            <w:r w:rsidRPr="00532BE3">
              <w:rPr>
                <w:rFonts w:ascii="Jost" w:eastAsia="Times New Roman" w:hAnsi="Jost"/>
                <w:b/>
                <w:bCs/>
                <w:color w:val="212121"/>
                <w:sz w:val="22"/>
                <w:szCs w:val="22"/>
                <w:bdr w:val="none" w:sz="0" w:space="0" w:color="auto"/>
                <w:lang w:val="lt-LT"/>
              </w:rPr>
              <w:t>Cpas</w:t>
            </w:r>
            <w:proofErr w:type="spellEnd"/>
            <w:r w:rsidRPr="00532BE3">
              <w:rPr>
                <w:rFonts w:ascii="Jost" w:eastAsia="Times New Roman" w:hAnsi="Jost"/>
                <w:b/>
                <w:bCs/>
                <w:color w:val="212121"/>
                <w:sz w:val="22"/>
                <w:szCs w:val="22"/>
                <w:bdr w:val="none" w:sz="0" w:space="0" w:color="auto"/>
                <w:lang w:val="lt-LT"/>
              </w:rPr>
              <w:t>) × X</w:t>
            </w:r>
            <w:r w:rsidRPr="00532BE3">
              <w:rPr>
                <w:rFonts w:ascii="Jost" w:eastAsia="Times New Roman" w:hAnsi="Jost"/>
                <w:color w:val="212121"/>
                <w:sz w:val="22"/>
                <w:szCs w:val="22"/>
                <w:bdr w:val="none" w:sz="0" w:space="0" w:color="auto"/>
                <w:lang w:val="lt-LT"/>
              </w:rPr>
              <w:t xml:space="preserve">, </w:t>
            </w:r>
            <w:r w:rsidR="00F510EE" w:rsidRPr="00A1210C">
              <w:rPr>
                <w:rFonts w:ascii="Jost" w:eastAsia="Times New Roman" w:hAnsi="Jost"/>
                <w:color w:val="212121"/>
                <w:sz w:val="22"/>
                <w:szCs w:val="22"/>
                <w:bdr w:val="none" w:sz="0" w:space="0" w:color="auto"/>
                <w:lang w:val="lt-LT"/>
              </w:rPr>
              <w:t>gali</w:t>
            </w:r>
            <w:r w:rsidRPr="00532BE3">
              <w:rPr>
                <w:rFonts w:ascii="Jost" w:eastAsia="Times New Roman" w:hAnsi="Jost"/>
                <w:color w:val="212121"/>
                <w:sz w:val="22"/>
                <w:szCs w:val="22"/>
                <w:bdr w:val="none" w:sz="0" w:space="0" w:color="auto"/>
                <w:lang w:val="lt-LT"/>
              </w:rPr>
              <w:t xml:space="preserve"> lemti reikšmingą skirtumą vertinime, net jei kitų tiekėjų pasiūlymai būtų objektyviai geresnės kokybės.</w:t>
            </w:r>
          </w:p>
          <w:p w14:paraId="2351CD27" w14:textId="3605D519" w:rsidR="00532BE3" w:rsidRPr="00532BE3" w:rsidRDefault="00532BE3" w:rsidP="00532BE3">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ascii="Jost" w:eastAsia="Times New Roman" w:hAnsi="Jost"/>
                <w:color w:val="212121"/>
                <w:sz w:val="22"/>
                <w:szCs w:val="22"/>
                <w:bdr w:val="none" w:sz="0" w:space="0" w:color="auto"/>
                <w:lang w:val="lt-LT"/>
              </w:rPr>
            </w:pPr>
            <w:r w:rsidRPr="00532BE3">
              <w:rPr>
                <w:rFonts w:ascii="Jost" w:eastAsia="Times New Roman" w:hAnsi="Jost"/>
                <w:b/>
                <w:bCs/>
                <w:color w:val="212121"/>
                <w:sz w:val="22"/>
                <w:szCs w:val="22"/>
                <w:bdr w:val="none" w:sz="0" w:space="0" w:color="auto"/>
                <w:lang w:val="lt-LT"/>
              </w:rPr>
              <w:t>Apibendrinant</w:t>
            </w:r>
            <w:r w:rsidRPr="00532BE3">
              <w:rPr>
                <w:rFonts w:ascii="Jost" w:eastAsia="Times New Roman" w:hAnsi="Jost"/>
                <w:color w:val="212121"/>
                <w:sz w:val="22"/>
                <w:szCs w:val="22"/>
                <w:bdr w:val="none" w:sz="0" w:space="0" w:color="auto"/>
                <w:lang w:val="lt-LT"/>
              </w:rPr>
              <w:t xml:space="preserve">, pasirinkta formulė neeliminuoja kainos svarbos, tačiau leidžia ją vertinti kontekste – neatsiejamai nuo kokybės kriterijų. Toks vertinimo būdas atitinka </w:t>
            </w:r>
            <w:r w:rsidRPr="00532BE3">
              <w:rPr>
                <w:rFonts w:ascii="Jost" w:eastAsia="Times New Roman" w:hAnsi="Jost"/>
                <w:b/>
                <w:bCs/>
                <w:color w:val="212121"/>
                <w:sz w:val="22"/>
                <w:szCs w:val="22"/>
                <w:bdr w:val="none" w:sz="0" w:space="0" w:color="auto"/>
                <w:lang w:val="lt-LT"/>
              </w:rPr>
              <w:t>proporcingumo, skaidrumo ir racionalumo principus</w:t>
            </w:r>
            <w:r w:rsidR="008D5AB6" w:rsidRPr="00A1210C">
              <w:rPr>
                <w:rFonts w:ascii="Jost" w:eastAsia="Times New Roman" w:hAnsi="Jost"/>
                <w:color w:val="212121"/>
                <w:sz w:val="22"/>
                <w:szCs w:val="22"/>
                <w:bdr w:val="none" w:sz="0" w:space="0" w:color="auto"/>
                <w:lang w:val="lt-LT"/>
              </w:rPr>
              <w:t>.</w:t>
            </w:r>
          </w:p>
          <w:p w14:paraId="6CEEE7A8" w14:textId="14381F9F" w:rsidR="00994596" w:rsidRPr="00A1210C" w:rsidRDefault="00994596" w:rsidP="00182E56">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ascii="Jost" w:eastAsia="Times New Roman" w:hAnsi="Jost"/>
                <w:i/>
                <w:iCs/>
                <w:color w:val="212121"/>
                <w:sz w:val="22"/>
                <w:szCs w:val="22"/>
                <w:bdr w:val="none" w:sz="0" w:space="0" w:color="auto"/>
                <w:lang w:val="lt-LT"/>
              </w:rPr>
            </w:pPr>
          </w:p>
        </w:tc>
      </w:tr>
    </w:tbl>
    <w:p w14:paraId="32521B86" w14:textId="77777777" w:rsidR="00994596" w:rsidRPr="00A1210C" w:rsidRDefault="00994596" w:rsidP="00A1210C">
      <w:pPr>
        <w:spacing w:line="288" w:lineRule="auto"/>
        <w:jc w:val="both"/>
        <w:rPr>
          <w:rFonts w:ascii="Jost" w:eastAsia="Times New Roman" w:hAnsi="Jost"/>
          <w:i/>
          <w:iCs/>
          <w:color w:val="212121"/>
          <w:sz w:val="22"/>
          <w:szCs w:val="22"/>
          <w:bdr w:val="none" w:sz="0" w:space="0" w:color="auto"/>
        </w:rPr>
      </w:pPr>
    </w:p>
    <w:p w14:paraId="27FA9198" w14:textId="68539291" w:rsidR="00182E56" w:rsidRPr="00A1210C" w:rsidRDefault="00182E56" w:rsidP="00182E56">
      <w:pPr>
        <w:spacing w:line="288" w:lineRule="auto"/>
        <w:ind w:firstLine="720"/>
        <w:jc w:val="both"/>
        <w:rPr>
          <w:rFonts w:ascii="Jost" w:eastAsia="Times New Roman" w:hAnsi="Jost"/>
          <w:i/>
          <w:iCs/>
          <w:color w:val="212121"/>
          <w:sz w:val="22"/>
          <w:szCs w:val="22"/>
          <w:bdr w:val="none" w:sz="0" w:space="0" w:color="auto"/>
        </w:rPr>
      </w:pPr>
      <w:r w:rsidRPr="00A1210C">
        <w:rPr>
          <w:rFonts w:ascii="Jost" w:hAnsi="Jost"/>
          <w:sz w:val="22"/>
          <w:szCs w:val="22"/>
        </w:rPr>
        <w:t xml:space="preserve">Informuojame, kad CPO LT viešojo pirkimo komisija, vadovaujantis VPĮ 40 str. 4 d. ir 5 d. ir Pirkimo dokumentų Bendrųjų sąlygų 5.3 p., </w:t>
      </w:r>
      <w:r w:rsidRPr="00A1210C">
        <w:rPr>
          <w:rFonts w:ascii="Jost" w:hAnsi="Jost"/>
          <w:b/>
          <w:bCs/>
          <w:sz w:val="22"/>
          <w:szCs w:val="22"/>
        </w:rPr>
        <w:t>nukelia pasiūlymo pateikimo terminą iš 2025-04-</w:t>
      </w:r>
      <w:r w:rsidR="0084090D" w:rsidRPr="00A1210C">
        <w:rPr>
          <w:rFonts w:ascii="Jost" w:hAnsi="Jost"/>
          <w:b/>
          <w:bCs/>
          <w:sz w:val="22"/>
          <w:szCs w:val="22"/>
        </w:rPr>
        <w:t>22</w:t>
      </w:r>
      <w:r w:rsidRPr="00A1210C">
        <w:rPr>
          <w:rFonts w:ascii="Jost" w:hAnsi="Jost"/>
          <w:b/>
          <w:bCs/>
          <w:sz w:val="22"/>
          <w:szCs w:val="22"/>
        </w:rPr>
        <w:t xml:space="preserve"> 9.00 val. į 2025-04-</w:t>
      </w:r>
      <w:r w:rsidR="0084090D" w:rsidRPr="00A1210C">
        <w:rPr>
          <w:rFonts w:ascii="Jost" w:hAnsi="Jost"/>
          <w:b/>
          <w:bCs/>
          <w:sz w:val="22"/>
          <w:szCs w:val="22"/>
        </w:rPr>
        <w:t>30</w:t>
      </w:r>
      <w:r w:rsidRPr="00A1210C">
        <w:rPr>
          <w:rFonts w:ascii="Jost" w:hAnsi="Jost"/>
          <w:b/>
          <w:bCs/>
          <w:sz w:val="22"/>
          <w:szCs w:val="22"/>
        </w:rPr>
        <w:t xml:space="preserve">  9.00 val</w:t>
      </w:r>
      <w:r w:rsidRPr="00A1210C">
        <w:rPr>
          <w:rFonts w:ascii="Jost" w:hAnsi="Jost"/>
          <w:sz w:val="22"/>
          <w:szCs w:val="22"/>
        </w:rPr>
        <w:t>.</w:t>
      </w:r>
    </w:p>
    <w:p w14:paraId="704F60C5" w14:textId="77777777" w:rsidR="0003210A" w:rsidRPr="00A1210C" w:rsidRDefault="0003210A" w:rsidP="0003210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Jost" w:eastAsiaTheme="minorHAnsi" w:hAnsi="Jost"/>
          <w:sz w:val="22"/>
          <w:szCs w:val="22"/>
          <w:bdr w:val="none" w:sz="0" w:space="0" w:color="auto"/>
          <w14:ligatures w14:val="standardContextual"/>
        </w:rPr>
      </w:pPr>
    </w:p>
    <w:p w14:paraId="4DED9DB4" w14:textId="46866629" w:rsidR="004724B7" w:rsidRPr="00A1210C" w:rsidRDefault="004724B7" w:rsidP="007B6994">
      <w:pPr>
        <w:tabs>
          <w:tab w:val="left" w:pos="1605"/>
        </w:tabs>
        <w:spacing w:line="288" w:lineRule="auto"/>
        <w:jc w:val="both"/>
        <w:rPr>
          <w:rFonts w:ascii="Jost" w:hAnsi="Jost" w:hint="eastAsia"/>
          <w:sz w:val="22"/>
          <w:szCs w:val="22"/>
        </w:rPr>
      </w:pPr>
    </w:p>
    <w:p w14:paraId="0CA8E2EB" w14:textId="77777777" w:rsidR="00277C45" w:rsidRPr="00A1210C" w:rsidRDefault="00277C45" w:rsidP="007B6994">
      <w:pPr>
        <w:tabs>
          <w:tab w:val="left" w:pos="1605"/>
        </w:tabs>
        <w:spacing w:line="288" w:lineRule="auto"/>
        <w:jc w:val="both"/>
        <w:rPr>
          <w:rFonts w:ascii="Jost" w:hAnsi="Jost" w:hint="eastAsia"/>
          <w:sz w:val="22"/>
          <w:szCs w:val="22"/>
        </w:rPr>
      </w:pPr>
    </w:p>
    <w:p w14:paraId="24581294" w14:textId="53DB94C1" w:rsidR="004724B7" w:rsidRPr="00A1210C" w:rsidRDefault="004724B7" w:rsidP="00277C45">
      <w:pPr>
        <w:tabs>
          <w:tab w:val="left" w:pos="1605"/>
        </w:tabs>
        <w:spacing w:line="288" w:lineRule="auto"/>
        <w:jc w:val="both"/>
        <w:rPr>
          <w:rFonts w:ascii="Jost" w:eastAsia="Times New Roman" w:hAnsi="Jost"/>
          <w:color w:val="000000"/>
          <w:sz w:val="22"/>
          <w:szCs w:val="22"/>
        </w:rPr>
      </w:pPr>
      <w:r w:rsidRPr="00A1210C">
        <w:rPr>
          <w:rFonts w:ascii="Jost" w:eastAsia="Times New Roman" w:hAnsi="Jost"/>
          <w:color w:val="000000"/>
          <w:sz w:val="22"/>
          <w:szCs w:val="22"/>
        </w:rPr>
        <w:t>Pagarbiai</w:t>
      </w:r>
      <w:r w:rsidR="006D6878" w:rsidRPr="00A1210C">
        <w:rPr>
          <w:rFonts w:ascii="Jost" w:eastAsia="Times New Roman" w:hAnsi="Jost"/>
          <w:color w:val="000000"/>
          <w:sz w:val="22"/>
          <w:szCs w:val="22"/>
        </w:rPr>
        <w:t>,</w:t>
      </w:r>
    </w:p>
    <w:p w14:paraId="7478A476" w14:textId="081681EA" w:rsidR="00E4040A" w:rsidRPr="00A1210C" w:rsidRDefault="004724B7" w:rsidP="000A535B">
      <w:pPr>
        <w:tabs>
          <w:tab w:val="left" w:pos="1605"/>
        </w:tabs>
        <w:spacing w:line="288" w:lineRule="auto"/>
        <w:jc w:val="both"/>
        <w:rPr>
          <w:rFonts w:ascii="Jost" w:hAnsi="Jost" w:hint="eastAsia"/>
          <w:sz w:val="22"/>
          <w:szCs w:val="22"/>
        </w:rPr>
      </w:pPr>
      <w:r w:rsidRPr="00A1210C">
        <w:rPr>
          <w:rFonts w:ascii="Jost" w:eastAsia="Times New Roman" w:hAnsi="Jost"/>
          <w:color w:val="000000"/>
          <w:sz w:val="22"/>
          <w:szCs w:val="22"/>
        </w:rPr>
        <w:t>Komisija</w:t>
      </w:r>
    </w:p>
    <w:sectPr w:rsidR="00E4040A" w:rsidRPr="00A1210C" w:rsidSect="0003210A">
      <w:headerReference w:type="default" r:id="rId8"/>
      <w:footerReference w:type="default" r:id="rId9"/>
      <w:headerReference w:type="first" r:id="rId10"/>
      <w:pgSz w:w="11900" w:h="16840"/>
      <w:pgMar w:top="1152" w:right="576" w:bottom="1008" w:left="158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4890F" w14:textId="77777777" w:rsidR="00BD1B6E" w:rsidRDefault="00BD1B6E" w:rsidP="000F17D6">
      <w:r>
        <w:separator/>
      </w:r>
    </w:p>
  </w:endnote>
  <w:endnote w:type="continuationSeparator" w:id="0">
    <w:p w14:paraId="1B86DD4D" w14:textId="77777777" w:rsidR="00BD1B6E" w:rsidRDefault="00BD1B6E"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BEF8" w14:textId="77777777" w:rsidR="00BD1B6E" w:rsidRDefault="00BD1B6E" w:rsidP="000F17D6">
      <w:r>
        <w:separator/>
      </w:r>
    </w:p>
  </w:footnote>
  <w:footnote w:type="continuationSeparator" w:id="0">
    <w:p w14:paraId="1DB12E27" w14:textId="77777777" w:rsidR="00BD1B6E" w:rsidRDefault="00BD1B6E"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hint="eastAsia"/>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119"/>
    <w:multiLevelType w:val="multilevel"/>
    <w:tmpl w:val="8EA4B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404577"/>
    <w:multiLevelType w:val="multilevel"/>
    <w:tmpl w:val="5E84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930672">
    <w:abstractNumId w:val="0"/>
  </w:num>
  <w:num w:numId="2" w16cid:durableId="934439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21AAF"/>
    <w:rsid w:val="0003099E"/>
    <w:rsid w:val="0003210A"/>
    <w:rsid w:val="00042F51"/>
    <w:rsid w:val="00051BE0"/>
    <w:rsid w:val="000673B7"/>
    <w:rsid w:val="000841CC"/>
    <w:rsid w:val="00095D5F"/>
    <w:rsid w:val="000A5018"/>
    <w:rsid w:val="000A535B"/>
    <w:rsid w:val="000B64AE"/>
    <w:rsid w:val="000C2477"/>
    <w:rsid w:val="000C3954"/>
    <w:rsid w:val="000F17D6"/>
    <w:rsid w:val="000F3B8C"/>
    <w:rsid w:val="001059DF"/>
    <w:rsid w:val="00126391"/>
    <w:rsid w:val="001276CB"/>
    <w:rsid w:val="001330B6"/>
    <w:rsid w:val="001424B9"/>
    <w:rsid w:val="001558F6"/>
    <w:rsid w:val="00180221"/>
    <w:rsid w:val="00182E56"/>
    <w:rsid w:val="00191B5C"/>
    <w:rsid w:val="001954C2"/>
    <w:rsid w:val="001B06AB"/>
    <w:rsid w:val="001C257D"/>
    <w:rsid w:val="001C2DC1"/>
    <w:rsid w:val="001F7BFC"/>
    <w:rsid w:val="00206126"/>
    <w:rsid w:val="00220836"/>
    <w:rsid w:val="002272A5"/>
    <w:rsid w:val="0023122B"/>
    <w:rsid w:val="002400CB"/>
    <w:rsid w:val="00240BAB"/>
    <w:rsid w:val="00246A5A"/>
    <w:rsid w:val="00260384"/>
    <w:rsid w:val="0027706E"/>
    <w:rsid w:val="00277C45"/>
    <w:rsid w:val="00277E0C"/>
    <w:rsid w:val="00283410"/>
    <w:rsid w:val="002C2FA8"/>
    <w:rsid w:val="002C68B1"/>
    <w:rsid w:val="002D59EC"/>
    <w:rsid w:val="002E0DBC"/>
    <w:rsid w:val="002F14A4"/>
    <w:rsid w:val="00300312"/>
    <w:rsid w:val="003145D1"/>
    <w:rsid w:val="00322AFC"/>
    <w:rsid w:val="0032721B"/>
    <w:rsid w:val="0036075B"/>
    <w:rsid w:val="00361521"/>
    <w:rsid w:val="00362939"/>
    <w:rsid w:val="00376B34"/>
    <w:rsid w:val="00386116"/>
    <w:rsid w:val="003919B7"/>
    <w:rsid w:val="003B217B"/>
    <w:rsid w:val="003B610D"/>
    <w:rsid w:val="003B6880"/>
    <w:rsid w:val="003C1549"/>
    <w:rsid w:val="003C5712"/>
    <w:rsid w:val="003C6C5D"/>
    <w:rsid w:val="003D08CE"/>
    <w:rsid w:val="003E1BFD"/>
    <w:rsid w:val="003E5DA8"/>
    <w:rsid w:val="003E6BB5"/>
    <w:rsid w:val="00405775"/>
    <w:rsid w:val="00427EEC"/>
    <w:rsid w:val="00442B1B"/>
    <w:rsid w:val="00445645"/>
    <w:rsid w:val="00450B1C"/>
    <w:rsid w:val="004657AE"/>
    <w:rsid w:val="004724B7"/>
    <w:rsid w:val="004744D7"/>
    <w:rsid w:val="0048126B"/>
    <w:rsid w:val="004841E0"/>
    <w:rsid w:val="00490A3C"/>
    <w:rsid w:val="00494710"/>
    <w:rsid w:val="00494CBC"/>
    <w:rsid w:val="004A5103"/>
    <w:rsid w:val="004B4631"/>
    <w:rsid w:val="004B4774"/>
    <w:rsid w:val="004B73A5"/>
    <w:rsid w:val="004D1F07"/>
    <w:rsid w:val="004D335D"/>
    <w:rsid w:val="004D7B2C"/>
    <w:rsid w:val="004F1655"/>
    <w:rsid w:val="004F6AD6"/>
    <w:rsid w:val="00512F79"/>
    <w:rsid w:val="0051460F"/>
    <w:rsid w:val="00524056"/>
    <w:rsid w:val="00524A33"/>
    <w:rsid w:val="00524B8D"/>
    <w:rsid w:val="00532BE3"/>
    <w:rsid w:val="005525EB"/>
    <w:rsid w:val="00552A50"/>
    <w:rsid w:val="005642C6"/>
    <w:rsid w:val="005718E6"/>
    <w:rsid w:val="00571FBB"/>
    <w:rsid w:val="00575768"/>
    <w:rsid w:val="005A6BC8"/>
    <w:rsid w:val="005B2B66"/>
    <w:rsid w:val="005B4238"/>
    <w:rsid w:val="005C503C"/>
    <w:rsid w:val="005D01EA"/>
    <w:rsid w:val="006469FC"/>
    <w:rsid w:val="006810B3"/>
    <w:rsid w:val="006862E0"/>
    <w:rsid w:val="00690099"/>
    <w:rsid w:val="006908B5"/>
    <w:rsid w:val="006A2FA8"/>
    <w:rsid w:val="006A3975"/>
    <w:rsid w:val="006A3CEF"/>
    <w:rsid w:val="006D6878"/>
    <w:rsid w:val="006F5CF6"/>
    <w:rsid w:val="007150FC"/>
    <w:rsid w:val="00717D5C"/>
    <w:rsid w:val="007254B9"/>
    <w:rsid w:val="007271E9"/>
    <w:rsid w:val="00760E25"/>
    <w:rsid w:val="00774325"/>
    <w:rsid w:val="007772DB"/>
    <w:rsid w:val="0078244E"/>
    <w:rsid w:val="007B6994"/>
    <w:rsid w:val="007C7652"/>
    <w:rsid w:val="007F0445"/>
    <w:rsid w:val="007F072F"/>
    <w:rsid w:val="00801512"/>
    <w:rsid w:val="00801E82"/>
    <w:rsid w:val="0080655C"/>
    <w:rsid w:val="00811008"/>
    <w:rsid w:val="0081367D"/>
    <w:rsid w:val="00814E9E"/>
    <w:rsid w:val="008371E9"/>
    <w:rsid w:val="0084090D"/>
    <w:rsid w:val="0085593F"/>
    <w:rsid w:val="0085689A"/>
    <w:rsid w:val="00860FEB"/>
    <w:rsid w:val="008656C9"/>
    <w:rsid w:val="00876804"/>
    <w:rsid w:val="00876EDD"/>
    <w:rsid w:val="008814A7"/>
    <w:rsid w:val="0088508D"/>
    <w:rsid w:val="00892698"/>
    <w:rsid w:val="00897490"/>
    <w:rsid w:val="008A0F0E"/>
    <w:rsid w:val="008B197C"/>
    <w:rsid w:val="008B59AC"/>
    <w:rsid w:val="008D5AB6"/>
    <w:rsid w:val="008D7719"/>
    <w:rsid w:val="008F2BE0"/>
    <w:rsid w:val="00901F52"/>
    <w:rsid w:val="00913764"/>
    <w:rsid w:val="009300FE"/>
    <w:rsid w:val="00935834"/>
    <w:rsid w:val="00940C42"/>
    <w:rsid w:val="00940E74"/>
    <w:rsid w:val="00943813"/>
    <w:rsid w:val="009732A3"/>
    <w:rsid w:val="00974E60"/>
    <w:rsid w:val="00982E48"/>
    <w:rsid w:val="00985A9F"/>
    <w:rsid w:val="00992541"/>
    <w:rsid w:val="00994596"/>
    <w:rsid w:val="009A53D3"/>
    <w:rsid w:val="009A6FF3"/>
    <w:rsid w:val="009A7E52"/>
    <w:rsid w:val="009C4816"/>
    <w:rsid w:val="009C5BA6"/>
    <w:rsid w:val="009C6D53"/>
    <w:rsid w:val="009D7E2C"/>
    <w:rsid w:val="009E5672"/>
    <w:rsid w:val="009F3B08"/>
    <w:rsid w:val="00A0048D"/>
    <w:rsid w:val="00A02554"/>
    <w:rsid w:val="00A1210C"/>
    <w:rsid w:val="00A1363C"/>
    <w:rsid w:val="00A25314"/>
    <w:rsid w:val="00A67D15"/>
    <w:rsid w:val="00A71CBF"/>
    <w:rsid w:val="00A7668B"/>
    <w:rsid w:val="00A84892"/>
    <w:rsid w:val="00A912EF"/>
    <w:rsid w:val="00AB476D"/>
    <w:rsid w:val="00AB7038"/>
    <w:rsid w:val="00AC0DC4"/>
    <w:rsid w:val="00AC3429"/>
    <w:rsid w:val="00AD0C9D"/>
    <w:rsid w:val="00AE132D"/>
    <w:rsid w:val="00AE3A25"/>
    <w:rsid w:val="00B06F9C"/>
    <w:rsid w:val="00B20052"/>
    <w:rsid w:val="00B6175A"/>
    <w:rsid w:val="00B62F87"/>
    <w:rsid w:val="00B635A5"/>
    <w:rsid w:val="00B6675B"/>
    <w:rsid w:val="00B77E46"/>
    <w:rsid w:val="00B83BD1"/>
    <w:rsid w:val="00B97968"/>
    <w:rsid w:val="00BC2075"/>
    <w:rsid w:val="00BC4BBB"/>
    <w:rsid w:val="00BD075A"/>
    <w:rsid w:val="00BD1B6E"/>
    <w:rsid w:val="00BD3FF5"/>
    <w:rsid w:val="00BD61F3"/>
    <w:rsid w:val="00C0001C"/>
    <w:rsid w:val="00C0467F"/>
    <w:rsid w:val="00C04902"/>
    <w:rsid w:val="00C36859"/>
    <w:rsid w:val="00C43CEE"/>
    <w:rsid w:val="00C628F6"/>
    <w:rsid w:val="00C72B1F"/>
    <w:rsid w:val="00C802B5"/>
    <w:rsid w:val="00C918C4"/>
    <w:rsid w:val="00CA62BE"/>
    <w:rsid w:val="00CB6EAD"/>
    <w:rsid w:val="00CC5F6C"/>
    <w:rsid w:val="00CD1404"/>
    <w:rsid w:val="00CD4EB5"/>
    <w:rsid w:val="00CE02EE"/>
    <w:rsid w:val="00CE0EA3"/>
    <w:rsid w:val="00CF785D"/>
    <w:rsid w:val="00D016B6"/>
    <w:rsid w:val="00D163F3"/>
    <w:rsid w:val="00D463CD"/>
    <w:rsid w:val="00D66B6A"/>
    <w:rsid w:val="00D81EC0"/>
    <w:rsid w:val="00D9422C"/>
    <w:rsid w:val="00DA0901"/>
    <w:rsid w:val="00DA4742"/>
    <w:rsid w:val="00DB5547"/>
    <w:rsid w:val="00DC1758"/>
    <w:rsid w:val="00DD3F9D"/>
    <w:rsid w:val="00DD4DA4"/>
    <w:rsid w:val="00DE0558"/>
    <w:rsid w:val="00DE0A01"/>
    <w:rsid w:val="00DF3CE3"/>
    <w:rsid w:val="00E04159"/>
    <w:rsid w:val="00E27A21"/>
    <w:rsid w:val="00E362BA"/>
    <w:rsid w:val="00E4040A"/>
    <w:rsid w:val="00E605AD"/>
    <w:rsid w:val="00E62888"/>
    <w:rsid w:val="00E65F29"/>
    <w:rsid w:val="00E7610C"/>
    <w:rsid w:val="00E806E2"/>
    <w:rsid w:val="00E9653F"/>
    <w:rsid w:val="00EA2FD6"/>
    <w:rsid w:val="00EA3DE5"/>
    <w:rsid w:val="00ED5612"/>
    <w:rsid w:val="00EE5266"/>
    <w:rsid w:val="00F01AB0"/>
    <w:rsid w:val="00F02363"/>
    <w:rsid w:val="00F04D26"/>
    <w:rsid w:val="00F13D81"/>
    <w:rsid w:val="00F313EE"/>
    <w:rsid w:val="00F36B90"/>
    <w:rsid w:val="00F37442"/>
    <w:rsid w:val="00F40979"/>
    <w:rsid w:val="00F510EE"/>
    <w:rsid w:val="00F52AEA"/>
    <w:rsid w:val="00F67EB9"/>
    <w:rsid w:val="00F71DC1"/>
    <w:rsid w:val="00F91071"/>
    <w:rsid w:val="00F9235A"/>
    <w:rsid w:val="00F93255"/>
    <w:rsid w:val="00FC6AE4"/>
    <w:rsid w:val="00FC6BEF"/>
    <w:rsid w:val="00FE42AE"/>
    <w:rsid w:val="00FF0877"/>
    <w:rsid w:val="00FF1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uiPriority w:val="59"/>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paragraph" w:styleId="Puslapioinaostekstas">
    <w:name w:val="footnote text"/>
    <w:aliases w:val=" Char,Footnote,Footnote Text Char Char,Fußnotentextf, Diagrama1,Diagrama1"/>
    <w:basedOn w:val="prastasis"/>
    <w:link w:val="PuslapioinaostekstasDiagrama"/>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 Char Diagrama,Footnote Diagrama,Footnote Text Char Char Diagrama,Fußnotentextf Diagrama, Diagrama1 Diagrama,Diagrama1 Diagrama"/>
    <w:basedOn w:val="Numatytasispastraiposriftas"/>
    <w:link w:val="Puslapioinaostekstas"/>
    <w:uiPriority w:val="99"/>
    <w:rsid w:val="00940E74"/>
    <w:rPr>
      <w:rFonts w:ascii="Times New Roman" w:eastAsia="Times New Roman" w:hAnsi="Times New Roman" w:cs="Times New Roman"/>
      <w:sz w:val="20"/>
      <w:szCs w:val="20"/>
      <w14:ligatures w14:val="none"/>
    </w:rPr>
  </w:style>
  <w:style w:type="character" w:styleId="Puslapioinaosnuoroda">
    <w:name w:val="footnote reference"/>
    <w:aliases w:val="fr"/>
    <w:basedOn w:val="Numatytasispastraiposriftas"/>
    <w:uiPriority w:val="99"/>
    <w:unhideWhenUsed/>
    <w:rsid w:val="00940E74"/>
    <w:rPr>
      <w:vertAlign w:val="superscript"/>
    </w:rPr>
  </w:style>
  <w:style w:type="character" w:customStyle="1" w:styleId="normaltextrun">
    <w:name w:val="normaltextrun"/>
    <w:basedOn w:val="Numatytasispastraiposriftas"/>
    <w:rsid w:val="007271E9"/>
  </w:style>
  <w:style w:type="paragraph" w:styleId="Pataisymai">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character" w:styleId="Hipersaitas">
    <w:name w:val="Hyperlink"/>
    <w:basedOn w:val="Numatytasispastraiposriftas"/>
    <w:uiPriority w:val="99"/>
    <w:unhideWhenUsed/>
    <w:rsid w:val="00361521"/>
    <w:rPr>
      <w:color w:val="467886" w:themeColor="hyperlink"/>
      <w:u w:val="single"/>
    </w:rPr>
  </w:style>
  <w:style w:type="character" w:styleId="Neapdorotaspaminjimas">
    <w:name w:val="Unresolved Mention"/>
    <w:basedOn w:val="Numatytasispastraiposriftas"/>
    <w:uiPriority w:val="99"/>
    <w:semiHidden/>
    <w:unhideWhenUsed/>
    <w:rsid w:val="00361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8921">
      <w:bodyDiv w:val="1"/>
      <w:marLeft w:val="0"/>
      <w:marRight w:val="0"/>
      <w:marTop w:val="0"/>
      <w:marBottom w:val="0"/>
      <w:divBdr>
        <w:top w:val="none" w:sz="0" w:space="0" w:color="auto"/>
        <w:left w:val="none" w:sz="0" w:space="0" w:color="auto"/>
        <w:bottom w:val="none" w:sz="0" w:space="0" w:color="auto"/>
        <w:right w:val="none" w:sz="0" w:space="0" w:color="auto"/>
      </w:divBdr>
    </w:div>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09535202">
      <w:bodyDiv w:val="1"/>
      <w:marLeft w:val="0"/>
      <w:marRight w:val="0"/>
      <w:marTop w:val="0"/>
      <w:marBottom w:val="0"/>
      <w:divBdr>
        <w:top w:val="none" w:sz="0" w:space="0" w:color="auto"/>
        <w:left w:val="none" w:sz="0" w:space="0" w:color="auto"/>
        <w:bottom w:val="none" w:sz="0" w:space="0" w:color="auto"/>
        <w:right w:val="none" w:sz="0" w:space="0" w:color="auto"/>
      </w:divBdr>
    </w:div>
    <w:div w:id="345251085">
      <w:bodyDiv w:val="1"/>
      <w:marLeft w:val="0"/>
      <w:marRight w:val="0"/>
      <w:marTop w:val="0"/>
      <w:marBottom w:val="0"/>
      <w:divBdr>
        <w:top w:val="none" w:sz="0" w:space="0" w:color="auto"/>
        <w:left w:val="none" w:sz="0" w:space="0" w:color="auto"/>
        <w:bottom w:val="none" w:sz="0" w:space="0" w:color="auto"/>
        <w:right w:val="none" w:sz="0" w:space="0" w:color="auto"/>
      </w:divBdr>
    </w:div>
    <w:div w:id="588975570">
      <w:bodyDiv w:val="1"/>
      <w:marLeft w:val="0"/>
      <w:marRight w:val="0"/>
      <w:marTop w:val="0"/>
      <w:marBottom w:val="0"/>
      <w:divBdr>
        <w:top w:val="none" w:sz="0" w:space="0" w:color="auto"/>
        <w:left w:val="none" w:sz="0" w:space="0" w:color="auto"/>
        <w:bottom w:val="none" w:sz="0" w:space="0" w:color="auto"/>
        <w:right w:val="none" w:sz="0" w:space="0" w:color="auto"/>
      </w:divBdr>
      <w:divsChild>
        <w:div w:id="522089101">
          <w:marLeft w:val="0"/>
          <w:marRight w:val="0"/>
          <w:marTop w:val="0"/>
          <w:marBottom w:val="0"/>
          <w:divBdr>
            <w:top w:val="none" w:sz="0" w:space="0" w:color="auto"/>
            <w:left w:val="none" w:sz="0" w:space="0" w:color="auto"/>
            <w:bottom w:val="none" w:sz="0" w:space="0" w:color="auto"/>
            <w:right w:val="none" w:sz="0" w:space="0" w:color="auto"/>
          </w:divBdr>
        </w:div>
        <w:div w:id="642009367">
          <w:marLeft w:val="0"/>
          <w:marRight w:val="0"/>
          <w:marTop w:val="0"/>
          <w:marBottom w:val="0"/>
          <w:divBdr>
            <w:top w:val="none" w:sz="0" w:space="0" w:color="auto"/>
            <w:left w:val="none" w:sz="0" w:space="0" w:color="auto"/>
            <w:bottom w:val="none" w:sz="0" w:space="0" w:color="auto"/>
            <w:right w:val="none" w:sz="0" w:space="0" w:color="auto"/>
          </w:divBdr>
        </w:div>
      </w:divsChild>
    </w:div>
    <w:div w:id="964121887">
      <w:bodyDiv w:val="1"/>
      <w:marLeft w:val="0"/>
      <w:marRight w:val="0"/>
      <w:marTop w:val="0"/>
      <w:marBottom w:val="0"/>
      <w:divBdr>
        <w:top w:val="none" w:sz="0" w:space="0" w:color="auto"/>
        <w:left w:val="none" w:sz="0" w:space="0" w:color="auto"/>
        <w:bottom w:val="none" w:sz="0" w:space="0" w:color="auto"/>
        <w:right w:val="none" w:sz="0" w:space="0" w:color="auto"/>
      </w:divBdr>
    </w:div>
    <w:div w:id="1188131136">
      <w:bodyDiv w:val="1"/>
      <w:marLeft w:val="0"/>
      <w:marRight w:val="0"/>
      <w:marTop w:val="0"/>
      <w:marBottom w:val="0"/>
      <w:divBdr>
        <w:top w:val="none" w:sz="0" w:space="0" w:color="auto"/>
        <w:left w:val="none" w:sz="0" w:space="0" w:color="auto"/>
        <w:bottom w:val="none" w:sz="0" w:space="0" w:color="auto"/>
        <w:right w:val="none" w:sz="0" w:space="0" w:color="auto"/>
      </w:divBdr>
    </w:div>
    <w:div w:id="1279141272">
      <w:bodyDiv w:val="1"/>
      <w:marLeft w:val="0"/>
      <w:marRight w:val="0"/>
      <w:marTop w:val="0"/>
      <w:marBottom w:val="0"/>
      <w:divBdr>
        <w:top w:val="none" w:sz="0" w:space="0" w:color="auto"/>
        <w:left w:val="none" w:sz="0" w:space="0" w:color="auto"/>
        <w:bottom w:val="none" w:sz="0" w:space="0" w:color="auto"/>
        <w:right w:val="none" w:sz="0" w:space="0" w:color="auto"/>
      </w:divBdr>
      <w:divsChild>
        <w:div w:id="1251156382">
          <w:marLeft w:val="0"/>
          <w:marRight w:val="0"/>
          <w:marTop w:val="0"/>
          <w:marBottom w:val="0"/>
          <w:divBdr>
            <w:top w:val="none" w:sz="0" w:space="0" w:color="auto"/>
            <w:left w:val="none" w:sz="0" w:space="0" w:color="auto"/>
            <w:bottom w:val="none" w:sz="0" w:space="0" w:color="auto"/>
            <w:right w:val="none" w:sz="0" w:space="0" w:color="auto"/>
          </w:divBdr>
        </w:div>
        <w:div w:id="1233807112">
          <w:marLeft w:val="0"/>
          <w:marRight w:val="0"/>
          <w:marTop w:val="0"/>
          <w:marBottom w:val="0"/>
          <w:divBdr>
            <w:top w:val="none" w:sz="0" w:space="0" w:color="auto"/>
            <w:left w:val="none" w:sz="0" w:space="0" w:color="auto"/>
            <w:bottom w:val="none" w:sz="0" w:space="0" w:color="auto"/>
            <w:right w:val="none" w:sz="0" w:space="0" w:color="auto"/>
          </w:divBdr>
        </w:div>
      </w:divsChild>
    </w:div>
    <w:div w:id="1357198739">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C669-32ED-4407-8C87-A2078827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5150</Words>
  <Characters>2937</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Ana Sosulina</cp:lastModifiedBy>
  <cp:revision>3</cp:revision>
  <dcterms:created xsi:type="dcterms:W3CDTF">2025-04-22T14:52:00Z</dcterms:created>
  <dcterms:modified xsi:type="dcterms:W3CDTF">2025-04-22T15:13:00Z</dcterms:modified>
</cp:coreProperties>
</file>