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75249CD7" w:rsidR="00132486" w:rsidRDefault="00132486" w:rsidP="00497F13">
      <w:pPr>
        <w:keepNext/>
        <w:keepLines/>
        <w:pBdr>
          <w:bottom w:val="single" w:sz="4" w:space="0"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 xml:space="preserve">Pirkimo sąlygų </w:t>
      </w:r>
      <w:r w:rsidR="00C363D0">
        <w:rPr>
          <w:rFonts w:eastAsiaTheme="majorEastAsia" w:cstheme="minorHAnsi"/>
          <w:b/>
          <w:sz w:val="24"/>
          <w:szCs w:val="24"/>
          <w:lang w:eastAsia="lt-LT"/>
        </w:rPr>
        <w:t>2</w:t>
      </w:r>
      <w:r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Pr="00B06E14">
        <w:rPr>
          <w:rFonts w:eastAsiaTheme="majorEastAsia" w:cstheme="minorHAnsi"/>
          <w:b/>
          <w:sz w:val="24"/>
          <w:szCs w:val="24"/>
          <w:lang w:eastAsia="lt-LT"/>
        </w:rPr>
        <w:t>“</w:t>
      </w:r>
      <w:bookmarkEnd w:id="0"/>
    </w:p>
    <w:p w14:paraId="22A7E4A5" w14:textId="77777777" w:rsidR="00605B33" w:rsidRPr="009C24CC" w:rsidRDefault="00605B33" w:rsidP="00497F13">
      <w:pPr>
        <w:ind w:left="567"/>
        <w:jc w:val="center"/>
        <w:rPr>
          <w:rFonts w:ascii="Times New Roman" w:hAnsi="Times New Roman" w:cs="Times New Roman"/>
          <w:b/>
          <w:bCs/>
          <w:color w:val="000000"/>
          <w:sz w:val="24"/>
          <w:szCs w:val="24"/>
        </w:rPr>
      </w:pPr>
    </w:p>
    <w:p w14:paraId="2D02EB4D" w14:textId="4A2E5EF2" w:rsidR="005138C7" w:rsidRPr="009C24CC" w:rsidRDefault="009C24CC" w:rsidP="005138C7">
      <w:pPr>
        <w:jc w:val="center"/>
        <w:rPr>
          <w:rFonts w:ascii="Times New Roman" w:hAnsi="Times New Roman" w:cs="Times New Roman"/>
          <w:b/>
          <w:bCs/>
        </w:rPr>
      </w:pPr>
      <w:r w:rsidRPr="009C24CC">
        <w:rPr>
          <w:rFonts w:ascii="Times New Roman" w:hAnsi="Times New Roman" w:cs="Times New Roman"/>
          <w:b/>
          <w:bCs/>
        </w:rPr>
        <w:t>REALAUS LAIKO SIMULIAVIMO IR MODELIAVIMO PROGRAMINĖ ĮRANGA</w:t>
      </w:r>
    </w:p>
    <w:p w14:paraId="6AA71FF3" w14:textId="77777777" w:rsidR="00497F13" w:rsidRPr="0082420E" w:rsidRDefault="00497F13" w:rsidP="00497F13">
      <w:pPr>
        <w:rPr>
          <w:rFonts w:asciiTheme="majorBidi" w:hAnsiTheme="majorBidi" w:cstheme="majorBidi"/>
          <w:b/>
          <w:color w:val="000000" w:themeColor="text1"/>
        </w:rPr>
      </w:pPr>
    </w:p>
    <w:p w14:paraId="2881AF94" w14:textId="77777777" w:rsidR="00497F13" w:rsidRDefault="00497F13" w:rsidP="00497F13">
      <w:pPr>
        <w:jc w:val="center"/>
        <w:rPr>
          <w:rFonts w:ascii="Times New Roman" w:hAnsi="Times New Roman"/>
          <w:b/>
          <w:color w:val="000000" w:themeColor="text1"/>
        </w:rPr>
      </w:pPr>
      <w:r w:rsidRPr="0082420E">
        <w:rPr>
          <w:rFonts w:ascii="Times New Roman" w:hAnsi="Times New Roman"/>
          <w:b/>
          <w:color w:val="000000" w:themeColor="text1"/>
        </w:rPr>
        <w:t xml:space="preserve">BENDRIEJI REIKALAVIMAI </w:t>
      </w:r>
    </w:p>
    <w:p w14:paraId="123995BD" w14:textId="77777777" w:rsidR="00497F13" w:rsidRPr="0082420E" w:rsidRDefault="00497F13" w:rsidP="00497F13">
      <w:pPr>
        <w:spacing w:after="0" w:line="240" w:lineRule="auto"/>
        <w:ind w:firstLine="720"/>
        <w:jc w:val="both"/>
        <w:rPr>
          <w:rFonts w:ascii="Times New Roman" w:hAnsi="Times New Roman"/>
        </w:rPr>
      </w:pPr>
      <w:bookmarkStart w:id="1" w:name="_Hlk159847110"/>
      <w:r w:rsidRPr="0082420E">
        <w:rPr>
          <w:rFonts w:ascii="Times New Roman" w:hAnsi="Times New Roman"/>
        </w:rPr>
        <w:t xml:space="preserve">Kauno technologijos universitetas įgyvendina projektą „Misijomis grįstų mokslo ir inovacijų programų įgyvendinimas“  Nr. 02-002-P-001, finansuojamą 2021-2027 m. Europos sąjungos fondų, Ekonomikos gaivinimo ir atsparumo didinimo „Naujos kartos Lietuva“ priemonės ir </w:t>
      </w:r>
      <w:r w:rsidRPr="0082420E">
        <w:rPr>
          <w:rFonts w:ascii="Times New Roman" w:eastAsiaTheme="minorEastAsia" w:hAnsi="Times New Roman"/>
        </w:rPr>
        <w:t>Lietuvos</w:t>
      </w:r>
      <w:r w:rsidRPr="0082420E">
        <w:rPr>
          <w:rFonts w:ascii="Times New Roman" w:hAnsi="Times New Roman"/>
        </w:rPr>
        <w:t xml:space="preserve"> Respublikos valstybės biudžeto lėšomis. </w:t>
      </w:r>
    </w:p>
    <w:bookmarkEnd w:id="1"/>
    <w:p w14:paraId="46322663" w14:textId="42EB721F" w:rsidR="00497F13" w:rsidRDefault="00497F13" w:rsidP="00497F13">
      <w:pPr>
        <w:spacing w:after="0" w:line="240" w:lineRule="auto"/>
        <w:ind w:firstLine="720"/>
        <w:jc w:val="both"/>
        <w:rPr>
          <w:rFonts w:ascii="Times New Roman" w:hAnsi="Times New Roman"/>
        </w:rPr>
      </w:pPr>
      <w:r w:rsidRPr="0082420E">
        <w:rPr>
          <w:rFonts w:ascii="Times New Roman" w:hAnsi="Times New Roman"/>
        </w:rPr>
        <w:t xml:space="preserve">Pirkimo objektas – </w:t>
      </w:r>
      <w:r w:rsidR="000D3D54">
        <w:rPr>
          <w:rFonts w:ascii="Times New Roman" w:hAnsi="Times New Roman"/>
        </w:rPr>
        <w:t>realaus laiko</w:t>
      </w:r>
      <w:r w:rsidR="00BC0E3E">
        <w:rPr>
          <w:rFonts w:ascii="Times New Roman" w:hAnsi="Times New Roman"/>
        </w:rPr>
        <w:t xml:space="preserve"> </w:t>
      </w:r>
      <w:r w:rsidR="00BC0E3E" w:rsidRPr="00622A9F">
        <w:rPr>
          <w:rFonts w:ascii="Times New Roman" w:hAnsi="Times New Roman"/>
        </w:rPr>
        <w:t>elektros tinklo</w:t>
      </w:r>
      <w:r w:rsidR="00C3325C" w:rsidRPr="00622A9F">
        <w:rPr>
          <w:rFonts w:ascii="Times New Roman" w:hAnsi="Times New Roman"/>
        </w:rPr>
        <w:t xml:space="preserve"> procesų</w:t>
      </w:r>
      <w:r w:rsidR="00BC0E3E" w:rsidRPr="00BC0E3E">
        <w:rPr>
          <w:rFonts w:ascii="Times New Roman" w:hAnsi="Times New Roman"/>
          <w:color w:val="FF0000"/>
        </w:rPr>
        <w:t xml:space="preserve"> </w:t>
      </w:r>
      <w:r w:rsidR="000D3D54" w:rsidRPr="00BC0E3E">
        <w:rPr>
          <w:rFonts w:ascii="Times New Roman" w:hAnsi="Times New Roman"/>
          <w:color w:val="FF0000"/>
        </w:rPr>
        <w:t xml:space="preserve"> </w:t>
      </w:r>
      <w:r w:rsidR="000D3D54">
        <w:rPr>
          <w:rFonts w:ascii="Times New Roman" w:hAnsi="Times New Roman"/>
        </w:rPr>
        <w:t>simuliavimo ir modeliavimo programinė įranga</w:t>
      </w:r>
      <w:r w:rsidRPr="0082420E">
        <w:rPr>
          <w:rFonts w:ascii="Times New Roman" w:hAnsi="Times New Roman"/>
        </w:rPr>
        <w:t xml:space="preserve"> Kauno technologijos universiteto </w:t>
      </w:r>
      <w:r w:rsidRPr="00B1291F">
        <w:rPr>
          <w:rFonts w:ascii="Times New Roman" w:hAnsi="Times New Roman" w:cs="Times New Roman"/>
        </w:rPr>
        <w:t xml:space="preserve">kuriamam </w:t>
      </w:r>
      <w:proofErr w:type="spellStart"/>
      <w:r w:rsidRPr="00B1291F">
        <w:rPr>
          <w:rFonts w:ascii="Times New Roman" w:hAnsi="Times New Roman" w:cs="Times New Roman"/>
        </w:rPr>
        <w:t>SmartEcoTech</w:t>
      </w:r>
      <w:proofErr w:type="spellEnd"/>
      <w:r w:rsidRPr="00B1291F">
        <w:rPr>
          <w:rFonts w:ascii="Times New Roman" w:hAnsi="Times New Roman" w:cs="Times New Roman"/>
        </w:rPr>
        <w:t xml:space="preserve"> kompetencijų centrui („Sumani ir klimatui neutrali Lietuva“) (toliau – Prekė)</w:t>
      </w:r>
    </w:p>
    <w:p w14:paraId="0CF77CAF" w14:textId="32F1C800" w:rsidR="00497F13" w:rsidRPr="0082420E" w:rsidRDefault="00497F13" w:rsidP="00497F13">
      <w:pPr>
        <w:spacing w:after="0" w:line="240" w:lineRule="auto"/>
        <w:ind w:firstLine="720"/>
        <w:jc w:val="both"/>
        <w:rPr>
          <w:rFonts w:ascii="Times New Roman" w:hAnsi="Times New Roman"/>
        </w:rPr>
      </w:pPr>
      <w:r w:rsidRPr="0082420E">
        <w:rPr>
          <w:rFonts w:ascii="Times New Roman" w:hAnsi="Times New Roman"/>
        </w:rPr>
        <w:t>Pirkimo objekto  pagrindinis kodas pagal Bendrą</w:t>
      </w:r>
      <w:r>
        <w:rPr>
          <w:rFonts w:ascii="Times New Roman" w:hAnsi="Times New Roman"/>
        </w:rPr>
        <w:t>jį</w:t>
      </w:r>
      <w:r w:rsidRPr="0082420E">
        <w:rPr>
          <w:rFonts w:ascii="Times New Roman" w:hAnsi="Times New Roman"/>
        </w:rPr>
        <w:t xml:space="preserve"> viešųjų pirkimų žodyną</w:t>
      </w:r>
      <w:r w:rsidRPr="00CF7845">
        <w:rPr>
          <w:rFonts w:ascii="Times New Roman" w:hAnsi="Times New Roman"/>
        </w:rPr>
        <w:t xml:space="preserve">: </w:t>
      </w:r>
      <w:bookmarkStart w:id="2" w:name="_Hlk147224062"/>
      <w:r w:rsidR="000B67C2">
        <w:rPr>
          <w:rFonts w:ascii="Times New Roman" w:hAnsi="Times New Roman"/>
        </w:rPr>
        <w:t>48517000</w:t>
      </w:r>
      <w:r w:rsidRPr="00CF7845">
        <w:rPr>
          <w:rFonts w:ascii="Times New Roman" w:hAnsi="Times New Roman"/>
        </w:rPr>
        <w:t>-</w:t>
      </w:r>
      <w:r w:rsidR="000B67C2">
        <w:rPr>
          <w:rFonts w:ascii="Times New Roman" w:hAnsi="Times New Roman"/>
        </w:rPr>
        <w:t>5</w:t>
      </w:r>
      <w:r w:rsidRPr="00CF7845">
        <w:rPr>
          <w:rFonts w:ascii="Times New Roman" w:hAnsi="Times New Roman"/>
        </w:rPr>
        <w:t xml:space="preserve"> – </w:t>
      </w:r>
      <w:bookmarkEnd w:id="2"/>
      <w:r w:rsidR="000B67C2">
        <w:rPr>
          <w:rFonts w:ascii="Times New Roman" w:hAnsi="Times New Roman"/>
        </w:rPr>
        <w:t>Informacinių technologijų programinės įrangos paketai</w:t>
      </w:r>
      <w:r w:rsidRPr="00CF7845">
        <w:rPr>
          <w:rFonts w:ascii="Times New Roman" w:hAnsi="Times New Roman"/>
        </w:rPr>
        <w:t>.</w:t>
      </w:r>
    </w:p>
    <w:p w14:paraId="0D76FB73" w14:textId="77777777" w:rsidR="00497F13" w:rsidRDefault="00497F13" w:rsidP="00497F13">
      <w:pPr>
        <w:spacing w:after="0" w:line="240" w:lineRule="auto"/>
        <w:ind w:firstLine="720"/>
        <w:jc w:val="both"/>
        <w:rPr>
          <w:rFonts w:ascii="Times New Roman" w:hAnsi="Times New Roman"/>
        </w:rPr>
      </w:pPr>
      <w:r w:rsidRPr="0082420E">
        <w:rPr>
          <w:rFonts w:ascii="Times New Roman" w:hAnsi="Times New Roman"/>
        </w:rPr>
        <w:t xml:space="preserve">Pirkimo objektas į dalis neskaidomas. </w:t>
      </w:r>
    </w:p>
    <w:p w14:paraId="189CED96" w14:textId="00D6527A" w:rsidR="00497F13" w:rsidRPr="0082420E" w:rsidRDefault="00497F13" w:rsidP="00497F13">
      <w:pPr>
        <w:spacing w:after="0" w:line="240" w:lineRule="auto"/>
        <w:ind w:firstLine="720"/>
        <w:jc w:val="both"/>
        <w:rPr>
          <w:rFonts w:ascii="Times New Roman" w:hAnsi="Times New Roman"/>
        </w:rPr>
      </w:pPr>
      <w:r w:rsidRPr="00AA33CB">
        <w:rPr>
          <w:rFonts w:ascii="Times New Roman" w:hAnsi="Times New Roman"/>
        </w:rPr>
        <w:t xml:space="preserve">Maksimali pirkimui skirtų lėšų suma be PVM – </w:t>
      </w:r>
      <w:r w:rsidR="00AA33CB" w:rsidRPr="00AA33CB">
        <w:rPr>
          <w:rFonts w:ascii="Times New Roman" w:hAnsi="Times New Roman"/>
        </w:rPr>
        <w:t xml:space="preserve">16 340,00 </w:t>
      </w:r>
      <w:r w:rsidRPr="00AA33CB">
        <w:rPr>
          <w:rFonts w:ascii="Times New Roman" w:hAnsi="Times New Roman"/>
        </w:rPr>
        <w:t xml:space="preserve"> EUR.</w:t>
      </w:r>
      <w:r w:rsidRPr="00AA33CB">
        <w:rPr>
          <w:rFonts w:ascii="Times New Roman" w:hAnsi="Times New Roman"/>
          <w:strike/>
        </w:rPr>
        <w:t xml:space="preserve"> </w:t>
      </w:r>
    </w:p>
    <w:p w14:paraId="57534757" w14:textId="77777777" w:rsidR="00497F13" w:rsidRPr="00E641E2" w:rsidRDefault="00497F13" w:rsidP="00497F13">
      <w:pPr>
        <w:spacing w:after="0" w:line="240" w:lineRule="auto"/>
        <w:ind w:firstLine="720"/>
        <w:jc w:val="both"/>
        <w:rPr>
          <w:rFonts w:ascii="Times New Roman" w:hAnsi="Times New Roman"/>
        </w:rPr>
      </w:pPr>
      <w:r w:rsidRPr="00E641E2">
        <w:rPr>
          <w:rFonts w:ascii="Times New Roman" w:hAnsi="Times New Roman"/>
        </w:rPr>
        <w:t>Šis pirkimas apima:</w:t>
      </w:r>
    </w:p>
    <w:p w14:paraId="30E4C91F" w14:textId="68920D79" w:rsidR="00497F13" w:rsidRPr="00E641E2" w:rsidRDefault="00497F13" w:rsidP="00497F13">
      <w:pPr>
        <w:spacing w:after="0" w:line="240" w:lineRule="auto"/>
        <w:ind w:firstLine="720"/>
        <w:jc w:val="both"/>
        <w:rPr>
          <w:rFonts w:ascii="Times New Roman" w:hAnsi="Times New Roman"/>
        </w:rPr>
      </w:pPr>
      <w:r w:rsidRPr="00E641E2">
        <w:rPr>
          <w:rFonts w:ascii="Times New Roman" w:hAnsi="Times New Roman"/>
        </w:rPr>
        <w:t>•</w:t>
      </w:r>
      <w:r w:rsidRPr="00E641E2">
        <w:rPr>
          <w:rFonts w:ascii="Times New Roman" w:hAnsi="Times New Roman"/>
        </w:rPr>
        <w:tab/>
      </w:r>
      <w:r w:rsidR="000B67C2" w:rsidRPr="00E641E2">
        <w:rPr>
          <w:rFonts w:ascii="Times New Roman" w:hAnsi="Times New Roman"/>
        </w:rPr>
        <w:t>realaus laiko</w:t>
      </w:r>
      <w:r w:rsidR="00465BC7">
        <w:rPr>
          <w:rFonts w:ascii="Times New Roman" w:hAnsi="Times New Roman"/>
        </w:rPr>
        <w:t xml:space="preserve"> </w:t>
      </w:r>
      <w:r w:rsidR="00465BC7" w:rsidRPr="00622A9F">
        <w:rPr>
          <w:rFonts w:ascii="Times New Roman" w:hAnsi="Times New Roman"/>
        </w:rPr>
        <w:t xml:space="preserve">elektros tinklo </w:t>
      </w:r>
      <w:r w:rsidR="00C3325C" w:rsidRPr="00622A9F">
        <w:rPr>
          <w:rFonts w:ascii="Times New Roman" w:hAnsi="Times New Roman"/>
        </w:rPr>
        <w:t>procesų</w:t>
      </w:r>
      <w:r w:rsidR="00465BC7" w:rsidRPr="00BC0E3E">
        <w:rPr>
          <w:rFonts w:ascii="Times New Roman" w:hAnsi="Times New Roman"/>
          <w:color w:val="FF0000"/>
        </w:rPr>
        <w:t xml:space="preserve"> </w:t>
      </w:r>
      <w:r w:rsidR="000B67C2" w:rsidRPr="00E641E2">
        <w:rPr>
          <w:rFonts w:ascii="Times New Roman" w:hAnsi="Times New Roman"/>
        </w:rPr>
        <w:t>simuliavimo ir modeliavimo</w:t>
      </w:r>
      <w:r w:rsidR="008A652B" w:rsidRPr="00E641E2">
        <w:rPr>
          <w:rFonts w:ascii="Times New Roman" w:hAnsi="Times New Roman"/>
        </w:rPr>
        <w:t xml:space="preserve"> programinės įrangos </w:t>
      </w:r>
      <w:r w:rsidRPr="00E641E2">
        <w:rPr>
          <w:rFonts w:ascii="Times New Roman" w:hAnsi="Times New Roman"/>
        </w:rPr>
        <w:t>–</w:t>
      </w:r>
      <w:r w:rsidR="008A652B" w:rsidRPr="00E641E2">
        <w:rPr>
          <w:rFonts w:ascii="Times New Roman" w:hAnsi="Times New Roman"/>
        </w:rPr>
        <w:t xml:space="preserve"> </w:t>
      </w:r>
      <w:r w:rsidRPr="00E641E2">
        <w:rPr>
          <w:rFonts w:ascii="Times New Roman" w:hAnsi="Times New Roman"/>
        </w:rPr>
        <w:t>pristatymą, instaliavimą;</w:t>
      </w:r>
    </w:p>
    <w:p w14:paraId="54046F0C" w14:textId="6081A02B" w:rsidR="00497F13" w:rsidRPr="0082420E" w:rsidRDefault="00497F13" w:rsidP="00497F13">
      <w:pPr>
        <w:spacing w:after="0" w:line="240" w:lineRule="auto"/>
        <w:ind w:firstLine="720"/>
        <w:jc w:val="both"/>
        <w:rPr>
          <w:rFonts w:ascii="Times New Roman" w:hAnsi="Times New Roman"/>
        </w:rPr>
      </w:pPr>
      <w:r w:rsidRPr="00E641E2">
        <w:rPr>
          <w:rFonts w:ascii="Times New Roman" w:hAnsi="Times New Roman"/>
        </w:rPr>
        <w:t>•</w:t>
      </w:r>
      <w:r w:rsidRPr="00E641E2">
        <w:rPr>
          <w:rFonts w:ascii="Times New Roman" w:hAnsi="Times New Roman"/>
        </w:rPr>
        <w:tab/>
      </w:r>
      <w:r w:rsidR="00075408" w:rsidRPr="00E641E2">
        <w:rPr>
          <w:rFonts w:ascii="Times New Roman" w:hAnsi="Times New Roman"/>
        </w:rPr>
        <w:t>programinės į</w:t>
      </w:r>
      <w:r w:rsidRPr="00E641E2">
        <w:rPr>
          <w:rFonts w:ascii="Times New Roman" w:hAnsi="Times New Roman"/>
        </w:rPr>
        <w:t>rangos išbandymą, jos veikimo ir valdymo funkcijų išsamų pademonstravimą</w:t>
      </w:r>
      <w:r w:rsidR="00956DDE" w:rsidRPr="00E641E2">
        <w:rPr>
          <w:rFonts w:ascii="Times New Roman" w:hAnsi="Times New Roman"/>
        </w:rPr>
        <w:t xml:space="preserve"> (</w:t>
      </w:r>
      <w:r w:rsidR="00116A72" w:rsidRPr="00E641E2">
        <w:rPr>
          <w:rFonts w:ascii="Times New Roman" w:hAnsi="Times New Roman"/>
        </w:rPr>
        <w:t>programinės įrangos pristatymo vietoje ar nuotoliniu būdu)</w:t>
      </w:r>
      <w:r w:rsidRPr="00E641E2">
        <w:rPr>
          <w:rFonts w:ascii="Times New Roman" w:hAnsi="Times New Roman"/>
        </w:rPr>
        <w:t>.</w:t>
      </w:r>
    </w:p>
    <w:p w14:paraId="4924EF75" w14:textId="21E90843" w:rsidR="00497F13" w:rsidRPr="0082420E" w:rsidRDefault="00993D1D" w:rsidP="00497F13">
      <w:pPr>
        <w:spacing w:after="0" w:line="240" w:lineRule="auto"/>
        <w:ind w:firstLine="720"/>
        <w:jc w:val="both"/>
        <w:rPr>
          <w:rFonts w:ascii="Times New Roman" w:hAnsi="Times New Roman"/>
        </w:rPr>
      </w:pPr>
      <w:r w:rsidRPr="00E16C03">
        <w:rPr>
          <w:rFonts w:ascii="Times New Roman" w:hAnsi="Times New Roman"/>
        </w:rPr>
        <w:t>Programinė</w:t>
      </w:r>
      <w:r w:rsidR="00497F13" w:rsidRPr="00E16C03">
        <w:rPr>
          <w:rFonts w:ascii="Times New Roman" w:hAnsi="Times New Roman"/>
        </w:rPr>
        <w:t xml:space="preserve"> įranga turi būti </w:t>
      </w:r>
      <w:r w:rsidRPr="00E16C03">
        <w:rPr>
          <w:rFonts w:ascii="Times New Roman" w:hAnsi="Times New Roman"/>
        </w:rPr>
        <w:t xml:space="preserve">instaliuota Kauno technologijos universiteto </w:t>
      </w:r>
      <w:r w:rsidR="001F3A4D" w:rsidRPr="00E16C03">
        <w:rPr>
          <w:rFonts w:ascii="Times New Roman" w:hAnsi="Times New Roman"/>
        </w:rPr>
        <w:t>patalpose esančiuose ir atsakingo už sutarties vykdymą KTU darbuotojo nurodytuose kompiuteriuose.</w:t>
      </w:r>
    </w:p>
    <w:p w14:paraId="29033C03" w14:textId="612566F9" w:rsidR="00497F13" w:rsidRPr="0082420E" w:rsidRDefault="00497F13" w:rsidP="00497F13">
      <w:pPr>
        <w:spacing w:after="0" w:line="240" w:lineRule="auto"/>
        <w:ind w:firstLine="720"/>
        <w:jc w:val="both"/>
        <w:rPr>
          <w:rFonts w:ascii="Times New Roman" w:hAnsi="Times New Roman"/>
        </w:rPr>
      </w:pPr>
      <w:r w:rsidRPr="0093257B">
        <w:rPr>
          <w:rFonts w:ascii="Times New Roman" w:hAnsi="Times New Roman"/>
        </w:rPr>
        <w:t xml:space="preserve">Į prekių kainą privalo būti įskaičiuotos visos išlaidos: pristatymo, instaliavimo, su </w:t>
      </w:r>
      <w:r w:rsidR="00E16C03" w:rsidRPr="0093257B">
        <w:rPr>
          <w:rFonts w:ascii="Times New Roman" w:hAnsi="Times New Roman"/>
        </w:rPr>
        <w:t>programinės įrangos instaliavimu</w:t>
      </w:r>
      <w:r w:rsidRPr="0093257B">
        <w:rPr>
          <w:rFonts w:ascii="Times New Roman" w:hAnsi="Times New Roman"/>
        </w:rPr>
        <w:t xml:space="preserve"> susijusios išlaidos, taip pat visi mokesčiai.</w:t>
      </w:r>
    </w:p>
    <w:p w14:paraId="7C221721" w14:textId="246A6A3F" w:rsidR="00497F13" w:rsidRPr="0082420E" w:rsidRDefault="00F02328" w:rsidP="00497F13">
      <w:pPr>
        <w:spacing w:after="0" w:line="240" w:lineRule="auto"/>
        <w:ind w:firstLine="720"/>
        <w:jc w:val="both"/>
        <w:rPr>
          <w:rFonts w:ascii="Times New Roman" w:hAnsi="Times New Roman"/>
        </w:rPr>
      </w:pPr>
      <w:r>
        <w:rPr>
          <w:rFonts w:ascii="Times New Roman" w:hAnsi="Times New Roman"/>
        </w:rPr>
        <w:t>Programinė</w:t>
      </w:r>
      <w:r w:rsidR="00497F13" w:rsidRPr="0082420E">
        <w:rPr>
          <w:rFonts w:ascii="Times New Roman" w:hAnsi="Times New Roman"/>
        </w:rPr>
        <w:t xml:space="preserve"> įranga turi būti pristatyta per </w:t>
      </w:r>
      <w:r>
        <w:rPr>
          <w:rFonts w:ascii="Times New Roman" w:hAnsi="Times New Roman"/>
        </w:rPr>
        <w:t>4</w:t>
      </w:r>
      <w:r w:rsidR="00497F13" w:rsidRPr="0082420E">
        <w:rPr>
          <w:rFonts w:ascii="Times New Roman" w:hAnsi="Times New Roman"/>
        </w:rPr>
        <w:t xml:space="preserve"> </w:t>
      </w:r>
      <w:r>
        <w:rPr>
          <w:rFonts w:ascii="Times New Roman" w:hAnsi="Times New Roman"/>
        </w:rPr>
        <w:t>savaites</w:t>
      </w:r>
      <w:r w:rsidR="00497F13" w:rsidRPr="0082420E">
        <w:rPr>
          <w:rFonts w:ascii="Times New Roman" w:hAnsi="Times New Roman"/>
        </w:rPr>
        <w:t xml:space="preserve"> nuo sutarties įsigaliojimo.</w:t>
      </w:r>
    </w:p>
    <w:p w14:paraId="42DE373D" w14:textId="6BBFCDC8" w:rsidR="00497F13" w:rsidRPr="0082420E" w:rsidRDefault="00497F13" w:rsidP="00497F13">
      <w:pPr>
        <w:spacing w:after="0" w:line="240" w:lineRule="auto"/>
        <w:ind w:firstLine="720"/>
        <w:jc w:val="both"/>
        <w:rPr>
          <w:rFonts w:ascii="Times New Roman" w:hAnsi="Times New Roman"/>
        </w:rPr>
      </w:pPr>
      <w:r w:rsidRPr="00B21FAD">
        <w:rPr>
          <w:rFonts w:ascii="Times New Roman" w:hAnsi="Times New Roman"/>
        </w:rPr>
        <w:t>Kartu su pristatyta įranga turi būti pateikiamos darbo ir / ar eksploatavimo ir / ar priežiūros naudojimosi vadovas (instrukcijos) anglų kalba.</w:t>
      </w:r>
    </w:p>
    <w:p w14:paraId="61F9E883" w14:textId="253431C3" w:rsidR="00497F13" w:rsidRPr="0082420E" w:rsidRDefault="00497F13" w:rsidP="00497F13">
      <w:pPr>
        <w:spacing w:after="0" w:line="240" w:lineRule="auto"/>
        <w:ind w:firstLine="720"/>
        <w:jc w:val="both"/>
        <w:rPr>
          <w:rFonts w:ascii="Times New Roman" w:hAnsi="Times New Roman"/>
        </w:rPr>
      </w:pPr>
      <w:bookmarkStart w:id="3" w:name="_Hlk121737378"/>
      <w:r w:rsidRPr="00DA072B">
        <w:rPr>
          <w:rFonts w:ascii="Times New Roman" w:hAnsi="Times New Roman"/>
        </w:rPr>
        <w:t xml:space="preserve">Įsigyta įranga bus priimama iš tiekėjo tik tada, </w:t>
      </w:r>
      <w:r w:rsidR="00E418B5">
        <w:rPr>
          <w:rFonts w:ascii="Times New Roman" w:hAnsi="Times New Roman"/>
        </w:rPr>
        <w:t>kai programinė įranga</w:t>
      </w:r>
      <w:r w:rsidRPr="00DA072B">
        <w:rPr>
          <w:rFonts w:ascii="Times New Roman" w:hAnsi="Times New Roman"/>
        </w:rPr>
        <w:t xml:space="preserve"> bus visiškai veikianti perkančiosios organizacijos </w:t>
      </w:r>
      <w:r w:rsidR="00DE136A">
        <w:rPr>
          <w:rFonts w:ascii="Times New Roman" w:hAnsi="Times New Roman"/>
        </w:rPr>
        <w:t>kompiuteriuose</w:t>
      </w:r>
      <w:r w:rsidR="00324127">
        <w:rPr>
          <w:rFonts w:ascii="Times New Roman" w:hAnsi="Times New Roman"/>
        </w:rPr>
        <w:t>,</w:t>
      </w:r>
      <w:r w:rsidRPr="00DA072B">
        <w:rPr>
          <w:rFonts w:ascii="Times New Roman" w:hAnsi="Times New Roman"/>
        </w:rPr>
        <w:t xml:space="preserve"> išbandyta, pademonstruotas įrangos veikimas ir valdymo funkcionavimas.</w:t>
      </w:r>
    </w:p>
    <w:bookmarkEnd w:id="3"/>
    <w:p w14:paraId="70022BFD" w14:textId="12666211" w:rsidR="00497F13" w:rsidRPr="0082420E" w:rsidRDefault="00F015F3" w:rsidP="00C356A0">
      <w:pPr>
        <w:spacing w:after="0" w:line="240" w:lineRule="auto"/>
        <w:ind w:firstLine="720"/>
        <w:jc w:val="both"/>
        <w:rPr>
          <w:rFonts w:ascii="Times New Roman" w:hAnsi="Times New Roman"/>
          <w:color w:val="000000" w:themeColor="text1"/>
        </w:rPr>
      </w:pPr>
      <w:r w:rsidRPr="00DC5F35">
        <w:rPr>
          <w:rFonts w:ascii="Times New Roman" w:hAnsi="Times New Roman"/>
        </w:rPr>
        <w:t>Tiekėjas turi garantuoti nemokamą techninį programinės įrangos palaikymą ir atnaujinimą ne mažiau kaip 12 mėn.</w:t>
      </w:r>
      <w:r w:rsidR="004A5B3C" w:rsidRPr="00DC5F35">
        <w:rPr>
          <w:rFonts w:ascii="Times New Roman" w:hAnsi="Times New Roman"/>
        </w:rPr>
        <w:t xml:space="preserve"> nuo </w:t>
      </w:r>
      <w:r w:rsidR="004F63F2">
        <w:rPr>
          <w:rFonts w:ascii="Times New Roman" w:hAnsi="Times New Roman"/>
        </w:rPr>
        <w:t xml:space="preserve">prekių perdavimo-priėmimo akto </w:t>
      </w:r>
      <w:r w:rsidR="00614E8E">
        <w:rPr>
          <w:rFonts w:ascii="Times New Roman" w:hAnsi="Times New Roman"/>
        </w:rPr>
        <w:t>pasirašymo dienos.</w:t>
      </w:r>
      <w:r w:rsidR="00AC1D7B" w:rsidRPr="00DC5F35">
        <w:rPr>
          <w:rFonts w:ascii="Times New Roman" w:hAnsi="Times New Roman"/>
        </w:rPr>
        <w:t xml:space="preserve"> </w:t>
      </w:r>
      <w:r w:rsidR="00C356A0" w:rsidRPr="00DC5F35">
        <w:rPr>
          <w:rFonts w:ascii="Times New Roman" w:hAnsi="Times New Roman"/>
        </w:rPr>
        <w:t xml:space="preserve">Šiuo </w:t>
      </w:r>
      <w:r w:rsidR="00497F13" w:rsidRPr="00DC5F35">
        <w:rPr>
          <w:rFonts w:ascii="Times New Roman" w:hAnsi="Times New Roman"/>
          <w:color w:val="000000" w:themeColor="text1"/>
        </w:rPr>
        <w:t>laikotarpiu tiekėjas turi užtikrinti pirkėjui konsultacijų teikimą telefonu arba nuotoliniu būdu (el. paštu ar kitokiomis nuotolinio vaizdo ir (ar) garso ryšių priemonėmis  ir (ar) kitomis elektroninių ryšių technologijų priemonėmis) pagal poreikį.</w:t>
      </w:r>
    </w:p>
    <w:p w14:paraId="1E5E8285" w14:textId="77777777" w:rsidR="00497F13" w:rsidRPr="0082420E" w:rsidRDefault="00497F13" w:rsidP="00497F13">
      <w:pPr>
        <w:ind w:firstLine="720"/>
        <w:jc w:val="both"/>
        <w:rPr>
          <w:rFonts w:ascii="Times New Roman" w:hAnsi="Times New Roman"/>
          <w:b/>
        </w:rPr>
      </w:pPr>
      <w:r w:rsidRPr="0082420E">
        <w:rPr>
          <w:rFonts w:ascii="Times New Roman" w:hAnsi="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w:t>
      </w:r>
      <w:r w:rsidRPr="0082420E">
        <w:rPr>
          <w:rFonts w:ascii="Times New Roman" w:hAnsi="Times New Roman"/>
          <w:color w:val="000000" w:themeColor="text1"/>
        </w:rPr>
        <w:t>versiją).</w:t>
      </w:r>
    </w:p>
    <w:p w14:paraId="2AC1FAAA" w14:textId="77777777" w:rsidR="00497F13" w:rsidRPr="0082420E" w:rsidRDefault="00497F13" w:rsidP="00497F13">
      <w:pPr>
        <w:ind w:firstLine="720"/>
        <w:jc w:val="both"/>
        <w:rPr>
          <w:rFonts w:ascii="Times New Roman" w:hAnsi="Times New Roman"/>
          <w:color w:val="000000" w:themeColor="text1"/>
        </w:rPr>
      </w:pPr>
      <w:r w:rsidRPr="0082420E">
        <w:rPr>
          <w:rFonts w:ascii="Times New Roman" w:hAnsi="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82420E">
        <w:rPr>
          <w:rFonts w:ascii="Times New Roman" w:hAnsi="Times New Roman"/>
        </w:rPr>
        <w:t>ūs reikalavimai. Tiekėjai gali siūlyti geresnių charakteristikų pirkimo objektą.</w:t>
      </w:r>
    </w:p>
    <w:p w14:paraId="6EBA1722" w14:textId="77777777" w:rsidR="00497F13" w:rsidRDefault="00497F13" w:rsidP="00497F13">
      <w:pPr>
        <w:jc w:val="center"/>
        <w:rPr>
          <w:rFonts w:ascii="Times New Roman" w:hAnsi="Times New Roman"/>
          <w:b/>
          <w:bCs/>
          <w:color w:val="000000" w:themeColor="text1"/>
        </w:rPr>
      </w:pPr>
      <w:r w:rsidRPr="0082420E">
        <w:rPr>
          <w:rFonts w:ascii="Times New Roman" w:hAnsi="Times New Roman"/>
          <w:b/>
        </w:rPr>
        <w:br w:type="page"/>
      </w:r>
      <w:r w:rsidRPr="0082420E">
        <w:rPr>
          <w:rFonts w:ascii="Times New Roman" w:hAnsi="Times New Roman"/>
          <w:b/>
          <w:bCs/>
          <w:color w:val="000000" w:themeColor="text1"/>
        </w:rPr>
        <w:lastRenderedPageBreak/>
        <w:t>DETALI TECHNINĖ SPECIFIKACIJA</w:t>
      </w:r>
    </w:p>
    <w:p w14:paraId="0F949A6C" w14:textId="77777777" w:rsidR="00C522F1" w:rsidRPr="0082420E" w:rsidRDefault="00C522F1" w:rsidP="00497F13">
      <w:pPr>
        <w:jc w:val="center"/>
        <w:rPr>
          <w:rFonts w:ascii="Times New Roman" w:hAnsi="Times New Roman"/>
          <w:b/>
          <w:bCs/>
          <w:color w:val="000000" w:themeColor="text1"/>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36"/>
        <w:gridCol w:w="3187"/>
        <w:gridCol w:w="2588"/>
        <w:gridCol w:w="4357"/>
      </w:tblGrid>
      <w:tr w:rsidR="00A418A7" w:rsidRPr="00D05D29" w14:paraId="4493E7B8" w14:textId="77777777" w:rsidTr="008B3FE9">
        <w:trPr>
          <w:trHeight w:val="1364"/>
        </w:trPr>
        <w:tc>
          <w:tcPr>
            <w:tcW w:w="636" w:type="dxa"/>
            <w:shd w:val="clear" w:color="auto" w:fill="FFFFFF" w:themeFill="background1"/>
            <w:vAlign w:val="center"/>
          </w:tcPr>
          <w:p w14:paraId="56849010" w14:textId="77777777" w:rsidR="00A418A7" w:rsidRPr="00D05D29" w:rsidRDefault="00A418A7" w:rsidP="00177D37">
            <w:pPr>
              <w:rPr>
                <w:rFonts w:ascii="Times New Roman" w:hAnsi="Times New Roman" w:cs="Times New Roman"/>
                <w:b/>
                <w:bCs/>
              </w:rPr>
            </w:pPr>
            <w:r w:rsidRPr="00D05D29">
              <w:rPr>
                <w:rFonts w:ascii="Times New Roman" w:hAnsi="Times New Roman" w:cs="Times New Roman"/>
                <w:b/>
                <w:bCs/>
              </w:rPr>
              <w:t>Eil. Nr.</w:t>
            </w:r>
          </w:p>
        </w:tc>
        <w:tc>
          <w:tcPr>
            <w:tcW w:w="3187" w:type="dxa"/>
            <w:shd w:val="clear" w:color="auto" w:fill="FFFFFF" w:themeFill="background1"/>
            <w:vAlign w:val="center"/>
          </w:tcPr>
          <w:p w14:paraId="36978BC2" w14:textId="77777777" w:rsidR="00A418A7" w:rsidRPr="00D05D29" w:rsidRDefault="00A418A7" w:rsidP="00177D37">
            <w:pPr>
              <w:jc w:val="both"/>
              <w:rPr>
                <w:rFonts w:ascii="Times New Roman" w:hAnsi="Times New Roman" w:cs="Times New Roman"/>
                <w:b/>
                <w:bCs/>
              </w:rPr>
            </w:pPr>
            <w:r w:rsidRPr="00D05D29">
              <w:rPr>
                <w:rFonts w:ascii="Times New Roman" w:hAnsi="Times New Roman" w:cs="Times New Roman"/>
                <w:b/>
                <w:bCs/>
              </w:rPr>
              <w:t>Parametras, charakteristika</w:t>
            </w:r>
          </w:p>
        </w:tc>
        <w:tc>
          <w:tcPr>
            <w:tcW w:w="2588" w:type="dxa"/>
            <w:shd w:val="clear" w:color="auto" w:fill="FFFFFF" w:themeFill="background1"/>
            <w:vAlign w:val="center"/>
          </w:tcPr>
          <w:p w14:paraId="6ED95210"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b/>
                <w:lang w:eastAsia="lt-LT"/>
              </w:rPr>
              <w:t>Minimalios reikalaujamos techninių charakteristikų ir parametrų reikšmės</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F932AE" w14:textId="11D83117" w:rsidR="007F2769" w:rsidRDefault="00A418A7" w:rsidP="00684AEC">
            <w:pPr>
              <w:jc w:val="both"/>
              <w:rPr>
                <w:rFonts w:ascii="Times New Roman" w:hAnsi="Times New Roman" w:cs="Times New Roman"/>
                <w:b/>
                <w:lang w:eastAsia="lt-LT"/>
              </w:rPr>
            </w:pPr>
            <w:r w:rsidRPr="00D05D29">
              <w:rPr>
                <w:rFonts w:ascii="Times New Roman" w:hAnsi="Times New Roman" w:cs="Times New Roman"/>
                <w:b/>
                <w:lang w:eastAsia="lt-LT"/>
              </w:rPr>
              <w:t>Siūloma charakteristika ar parametras</w:t>
            </w:r>
            <w:r w:rsidR="007F2769">
              <w:rPr>
                <w:rFonts w:ascii="Times New Roman" w:hAnsi="Times New Roman" w:cs="Times New Roman"/>
                <w:b/>
                <w:lang w:eastAsia="lt-LT"/>
              </w:rPr>
              <w:t xml:space="preserve">, modelis (versija), gamintojas </w:t>
            </w:r>
          </w:p>
          <w:p w14:paraId="5E823764" w14:textId="32E09972" w:rsidR="00897409" w:rsidRPr="00D05D29" w:rsidRDefault="001802CC" w:rsidP="00684AEC">
            <w:pPr>
              <w:jc w:val="both"/>
              <w:rPr>
                <w:rFonts w:ascii="Times New Roman" w:hAnsi="Times New Roman" w:cs="Times New Roman"/>
                <w:bCs/>
              </w:rPr>
            </w:pPr>
            <w:r>
              <w:rPr>
                <w:rFonts w:ascii="Times New Roman" w:hAnsi="Times New Roman" w:cs="Times New Roman"/>
                <w:b/>
                <w:lang w:eastAsia="lt-LT"/>
              </w:rPr>
              <w:t xml:space="preserve"> </w:t>
            </w:r>
            <w:r w:rsidR="00A418A7" w:rsidRPr="00D05D29">
              <w:rPr>
                <w:rFonts w:ascii="Times New Roman" w:hAnsi="Times New Roman" w:cs="Times New Roman"/>
                <w:bCs/>
              </w:rPr>
              <w:t>(nurodykite konkrečias siūlomos prekės charakteristikų ir/ar parametrų: reikšmes, pavadinimus ir pan.</w:t>
            </w:r>
            <w:r w:rsidR="002618DE" w:rsidRPr="00D05D29">
              <w:rPr>
                <w:rFonts w:ascii="Times New Roman" w:hAnsi="Times New Roman" w:cs="Times New Roman"/>
                <w:bCs/>
              </w:rPr>
              <w:t xml:space="preserve"> </w:t>
            </w:r>
          </w:p>
        </w:tc>
      </w:tr>
      <w:tr w:rsidR="002618DE" w:rsidRPr="00D05D29" w14:paraId="6D0F22A8" w14:textId="77777777" w:rsidTr="008B3FE9">
        <w:trPr>
          <w:trHeight w:val="498"/>
        </w:trPr>
        <w:tc>
          <w:tcPr>
            <w:tcW w:w="636" w:type="dxa"/>
            <w:shd w:val="clear" w:color="auto" w:fill="FFFFFF" w:themeFill="background1"/>
            <w:vAlign w:val="center"/>
          </w:tcPr>
          <w:p w14:paraId="53D369CC" w14:textId="77777777" w:rsidR="002618DE" w:rsidRPr="00D05D29" w:rsidRDefault="002618DE" w:rsidP="00177D37">
            <w:pPr>
              <w:rPr>
                <w:rFonts w:ascii="Times New Roman" w:hAnsi="Times New Roman" w:cs="Times New Roman"/>
                <w:b/>
                <w:bCs/>
              </w:rPr>
            </w:pPr>
          </w:p>
        </w:tc>
        <w:tc>
          <w:tcPr>
            <w:tcW w:w="10132" w:type="dxa"/>
            <w:gridSpan w:val="3"/>
            <w:tcBorders>
              <w:right w:val="single" w:sz="4" w:space="0" w:color="000000" w:themeColor="text1"/>
            </w:tcBorders>
            <w:shd w:val="clear" w:color="auto" w:fill="FFFFFF" w:themeFill="background1"/>
            <w:vAlign w:val="center"/>
          </w:tcPr>
          <w:p w14:paraId="1F3C72DC" w14:textId="513F7B78" w:rsidR="002618DE" w:rsidRPr="00D05D29" w:rsidRDefault="00076821" w:rsidP="00177D37">
            <w:pPr>
              <w:jc w:val="both"/>
              <w:rPr>
                <w:rFonts w:ascii="Times New Roman" w:hAnsi="Times New Roman" w:cs="Times New Roman"/>
                <w:b/>
                <w:highlight w:val="yellow"/>
                <w:lang w:eastAsia="lt-LT"/>
              </w:rPr>
            </w:pPr>
            <w:r w:rsidRPr="00B31C37">
              <w:rPr>
                <w:rFonts w:ascii="Times New Roman" w:eastAsia="Times New Roman" w:hAnsi="Times New Roman" w:cs="Times New Roman"/>
                <w:b/>
                <w:i/>
                <w:iCs/>
              </w:rPr>
              <w:t xml:space="preserve">Realaus laiko </w:t>
            </w:r>
            <w:r w:rsidR="00DF4DBC" w:rsidRPr="00622A9F">
              <w:rPr>
                <w:rFonts w:ascii="Times New Roman" w:hAnsi="Times New Roman"/>
                <w:b/>
                <w:bCs/>
                <w:i/>
                <w:iCs/>
              </w:rPr>
              <w:t>elektros tinklo</w:t>
            </w:r>
            <w:r w:rsidR="00DF4DBC" w:rsidRPr="00622A9F">
              <w:rPr>
                <w:rFonts w:ascii="Times New Roman" w:hAnsi="Times New Roman"/>
              </w:rPr>
              <w:t xml:space="preserve">  </w:t>
            </w:r>
            <w:r w:rsidR="00B61851" w:rsidRPr="00622A9F">
              <w:rPr>
                <w:rFonts w:ascii="Times New Roman" w:hAnsi="Times New Roman"/>
                <w:b/>
                <w:bCs/>
                <w:i/>
                <w:iCs/>
              </w:rPr>
              <w:t>procesų</w:t>
            </w:r>
            <w:r w:rsidR="00B61851" w:rsidRPr="00622A9F">
              <w:rPr>
                <w:rFonts w:ascii="Times New Roman" w:hAnsi="Times New Roman"/>
              </w:rPr>
              <w:t xml:space="preserve"> </w:t>
            </w:r>
            <w:r w:rsidRPr="00B31C37">
              <w:rPr>
                <w:rFonts w:ascii="Times New Roman" w:eastAsia="Times New Roman" w:hAnsi="Times New Roman" w:cs="Times New Roman"/>
                <w:b/>
                <w:i/>
                <w:iCs/>
              </w:rPr>
              <w:t xml:space="preserve">simuliavimo ir modeliavimo programinė įranga: </w:t>
            </w:r>
            <w:r w:rsidR="002618DE" w:rsidRPr="00B31C37">
              <w:rPr>
                <w:rFonts w:ascii="Times New Roman" w:eastAsia="Times New Roman" w:hAnsi="Times New Roman" w:cs="Times New Roman"/>
                <w:b/>
                <w:i/>
                <w:iCs/>
                <w:color w:val="FF0000"/>
              </w:rPr>
              <w:t>(</w:t>
            </w:r>
            <w:r w:rsidR="002618DE" w:rsidRPr="00B31C37">
              <w:rPr>
                <w:rFonts w:ascii="Times New Roman" w:eastAsia="Times New Roman" w:hAnsi="Times New Roman" w:cs="Times New Roman"/>
                <w:bCs/>
                <w:i/>
                <w:iCs/>
                <w:color w:val="FF0000"/>
              </w:rPr>
              <w:t>modelis</w:t>
            </w:r>
            <w:r w:rsidR="001C0EAD" w:rsidRPr="00B31C37">
              <w:rPr>
                <w:rFonts w:ascii="Times New Roman" w:eastAsia="Times New Roman" w:hAnsi="Times New Roman" w:cs="Times New Roman"/>
                <w:bCs/>
                <w:i/>
                <w:iCs/>
                <w:color w:val="FF0000"/>
              </w:rPr>
              <w:t xml:space="preserve"> (versija)</w:t>
            </w:r>
            <w:r w:rsidR="002618DE" w:rsidRPr="00B31C37">
              <w:rPr>
                <w:rFonts w:ascii="Times New Roman" w:eastAsia="Times New Roman" w:hAnsi="Times New Roman" w:cs="Times New Roman"/>
                <w:bCs/>
                <w:i/>
                <w:iCs/>
                <w:color w:val="FF0000"/>
              </w:rPr>
              <w:t>, gamintojas)</w:t>
            </w:r>
          </w:p>
        </w:tc>
      </w:tr>
      <w:tr w:rsidR="00A418A7" w:rsidRPr="00D05D29" w14:paraId="73A5369F" w14:textId="77777777" w:rsidTr="008B3FE9">
        <w:trPr>
          <w:trHeight w:val="567"/>
        </w:trPr>
        <w:tc>
          <w:tcPr>
            <w:tcW w:w="636" w:type="dxa"/>
            <w:shd w:val="clear" w:color="auto" w:fill="FFFFFF" w:themeFill="background1"/>
            <w:vAlign w:val="center"/>
          </w:tcPr>
          <w:p w14:paraId="792D695D" w14:textId="77777777" w:rsidR="00A418A7" w:rsidRPr="00D05D29" w:rsidRDefault="00A418A7" w:rsidP="00177D37">
            <w:pPr>
              <w:rPr>
                <w:rFonts w:ascii="Times New Roman" w:hAnsi="Times New Roman" w:cs="Times New Roman"/>
                <w:b/>
                <w:bCs/>
              </w:rPr>
            </w:pPr>
            <w:r w:rsidRPr="00D05D29">
              <w:rPr>
                <w:rFonts w:ascii="Times New Roman" w:hAnsi="Times New Roman" w:cs="Times New Roman"/>
                <w:b/>
                <w:bCs/>
              </w:rPr>
              <w:t>1.</w:t>
            </w:r>
          </w:p>
        </w:tc>
        <w:tc>
          <w:tcPr>
            <w:tcW w:w="10132" w:type="dxa"/>
            <w:gridSpan w:val="3"/>
            <w:tcBorders>
              <w:right w:val="single" w:sz="4" w:space="0" w:color="000000" w:themeColor="text1"/>
            </w:tcBorders>
            <w:shd w:val="clear" w:color="auto" w:fill="FFFFFF" w:themeFill="background1"/>
            <w:vAlign w:val="center"/>
          </w:tcPr>
          <w:p w14:paraId="5E3007B9" w14:textId="77777777" w:rsidR="00A418A7" w:rsidRPr="00D05D29" w:rsidRDefault="00A418A7" w:rsidP="00177D37">
            <w:pPr>
              <w:rPr>
                <w:rFonts w:ascii="Times New Roman" w:hAnsi="Times New Roman" w:cs="Times New Roman"/>
                <w:b/>
                <w:bCs/>
                <w:lang w:eastAsia="lt-LT"/>
              </w:rPr>
            </w:pPr>
            <w:r w:rsidRPr="00D05D29">
              <w:rPr>
                <w:rFonts w:ascii="Times New Roman" w:hAnsi="Times New Roman" w:cs="Times New Roman"/>
                <w:b/>
                <w:bCs/>
                <w:lang w:eastAsia="lt-LT"/>
              </w:rPr>
              <w:t>Programinė įranga privalo turėti šias funkcijas:</w:t>
            </w:r>
          </w:p>
        </w:tc>
      </w:tr>
      <w:tr w:rsidR="00A418A7" w:rsidRPr="00D05D29" w14:paraId="7115AF92" w14:textId="77777777" w:rsidTr="008B3FE9">
        <w:trPr>
          <w:trHeight w:val="567"/>
        </w:trPr>
        <w:tc>
          <w:tcPr>
            <w:tcW w:w="636" w:type="dxa"/>
            <w:shd w:val="clear" w:color="auto" w:fill="FFFFFF" w:themeFill="background1"/>
            <w:vAlign w:val="center"/>
          </w:tcPr>
          <w:p w14:paraId="242D599D"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w:t>
            </w:r>
          </w:p>
        </w:tc>
        <w:tc>
          <w:tcPr>
            <w:tcW w:w="3187" w:type="dxa"/>
            <w:shd w:val="clear" w:color="auto" w:fill="FFFFFF" w:themeFill="background1"/>
            <w:vAlign w:val="center"/>
          </w:tcPr>
          <w:p w14:paraId="7AD3AC94"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Galios srautų analizė.</w:t>
            </w:r>
          </w:p>
        </w:tc>
        <w:tc>
          <w:tcPr>
            <w:tcW w:w="2588" w:type="dxa"/>
            <w:shd w:val="clear" w:color="auto" w:fill="FFFFFF" w:themeFill="background1"/>
            <w:vAlign w:val="center"/>
          </w:tcPr>
          <w:p w14:paraId="2590B416" w14:textId="77777777" w:rsidR="00A418A7" w:rsidRPr="00D05D29" w:rsidRDefault="00A418A7" w:rsidP="00177D37">
            <w:pPr>
              <w:jc w:val="both"/>
              <w:rPr>
                <w:rFonts w:ascii="Times New Roman" w:hAnsi="Times New Roman" w:cs="Times New Roman"/>
                <w:lang w:eastAsia="lt-LT"/>
              </w:rPr>
            </w:pPr>
            <w:r w:rsidRPr="00D05D29">
              <w:rPr>
                <w:rFonts w:ascii="Times New Roman" w:hAnsi="Times New Roman" w:cs="Times New Roman"/>
                <w:lang w:eastAsia="lt-LT"/>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596F75" w14:textId="77777777" w:rsidR="00A418A7" w:rsidRPr="00D05D29" w:rsidRDefault="00A418A7" w:rsidP="00177D37">
            <w:pPr>
              <w:jc w:val="both"/>
              <w:rPr>
                <w:rFonts w:ascii="Times New Roman" w:hAnsi="Times New Roman" w:cs="Times New Roman"/>
                <w:lang w:eastAsia="lt-LT"/>
              </w:rPr>
            </w:pPr>
          </w:p>
        </w:tc>
      </w:tr>
      <w:tr w:rsidR="00A418A7" w:rsidRPr="00D05D29" w14:paraId="55FBB644" w14:textId="77777777" w:rsidTr="008B3FE9">
        <w:trPr>
          <w:trHeight w:val="567"/>
        </w:trPr>
        <w:tc>
          <w:tcPr>
            <w:tcW w:w="636" w:type="dxa"/>
            <w:shd w:val="clear" w:color="auto" w:fill="FFFFFF" w:themeFill="background1"/>
            <w:vAlign w:val="center"/>
          </w:tcPr>
          <w:p w14:paraId="67FD6C99"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1.2</w:t>
            </w:r>
          </w:p>
        </w:tc>
        <w:tc>
          <w:tcPr>
            <w:tcW w:w="3187" w:type="dxa"/>
            <w:shd w:val="clear" w:color="auto" w:fill="FFFFFF" w:themeFill="background1"/>
            <w:vAlign w:val="center"/>
          </w:tcPr>
          <w:p w14:paraId="003C0D77"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Nenumatytų atvejų (atjungimo lygiai N-1, N-2, ... N-k) analizė.</w:t>
            </w:r>
          </w:p>
        </w:tc>
        <w:tc>
          <w:tcPr>
            <w:tcW w:w="2588" w:type="dxa"/>
            <w:shd w:val="clear" w:color="auto" w:fill="FFFFFF" w:themeFill="background1"/>
            <w:vAlign w:val="center"/>
          </w:tcPr>
          <w:p w14:paraId="1ADD4694" w14:textId="77777777" w:rsidR="00A418A7" w:rsidRPr="00D05D29" w:rsidRDefault="00A418A7" w:rsidP="00177D37">
            <w:pPr>
              <w:jc w:val="both"/>
              <w:rPr>
                <w:rFonts w:ascii="Times New Roman" w:hAnsi="Times New Roman" w:cs="Times New Roman"/>
                <w:lang w:eastAsia="lt-LT"/>
              </w:rPr>
            </w:pPr>
            <w:r w:rsidRPr="00D05D29">
              <w:rPr>
                <w:rFonts w:ascii="Times New Roman" w:hAnsi="Times New Roman" w:cs="Times New Roman"/>
                <w:lang w:eastAsia="lt-LT"/>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E96606" w14:textId="77777777" w:rsidR="00A418A7" w:rsidRPr="00D05D29" w:rsidRDefault="00A418A7" w:rsidP="00177D37">
            <w:pPr>
              <w:jc w:val="both"/>
              <w:rPr>
                <w:rFonts w:ascii="Times New Roman" w:hAnsi="Times New Roman" w:cs="Times New Roman"/>
                <w:lang w:eastAsia="lt-LT"/>
              </w:rPr>
            </w:pPr>
          </w:p>
        </w:tc>
      </w:tr>
      <w:tr w:rsidR="00A418A7" w:rsidRPr="00D05D29" w14:paraId="466E81EB" w14:textId="77777777" w:rsidTr="008B3FE9">
        <w:trPr>
          <w:trHeight w:val="567"/>
        </w:trPr>
        <w:tc>
          <w:tcPr>
            <w:tcW w:w="636" w:type="dxa"/>
            <w:shd w:val="clear" w:color="auto" w:fill="FFFFFF" w:themeFill="background1"/>
            <w:vAlign w:val="center"/>
          </w:tcPr>
          <w:p w14:paraId="348C307C"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1.3</w:t>
            </w:r>
          </w:p>
        </w:tc>
        <w:tc>
          <w:tcPr>
            <w:tcW w:w="3187" w:type="dxa"/>
            <w:shd w:val="clear" w:color="auto" w:fill="FFFFFF" w:themeFill="background1"/>
            <w:vAlign w:val="center"/>
          </w:tcPr>
          <w:p w14:paraId="012CE077" w14:textId="1EDF942F" w:rsidR="00A418A7" w:rsidRPr="00D05D29" w:rsidRDefault="00A418A7" w:rsidP="00177D37">
            <w:pPr>
              <w:jc w:val="both"/>
              <w:rPr>
                <w:rFonts w:ascii="Times New Roman" w:hAnsi="Times New Roman" w:cs="Times New Roman"/>
              </w:rPr>
            </w:pPr>
            <w:r w:rsidRPr="00D05D29">
              <w:rPr>
                <w:rFonts w:ascii="Times New Roman" w:hAnsi="Times New Roman" w:cs="Times New Roman"/>
              </w:rPr>
              <w:t>Trumpųjų jungimų srovių skaičiavimas ir analizė pagal IEC 60909 (įskaitant 2016 m. redakciją)</w:t>
            </w:r>
            <w:r w:rsidR="00BF2BC7">
              <w:rPr>
                <w:rFonts w:ascii="Times New Roman" w:hAnsi="Times New Roman" w:cs="Times New Roman"/>
              </w:rPr>
              <w:t xml:space="preserve"> (arba lygiavertį)</w:t>
            </w:r>
            <w:r w:rsidRPr="00D05D29">
              <w:rPr>
                <w:rFonts w:ascii="Times New Roman" w:hAnsi="Times New Roman" w:cs="Times New Roman"/>
              </w:rPr>
              <w:t>, VDE 0102/0103</w:t>
            </w:r>
            <w:r w:rsidR="00BF2BC7">
              <w:rPr>
                <w:rFonts w:ascii="Times New Roman" w:hAnsi="Times New Roman" w:cs="Times New Roman"/>
              </w:rPr>
              <w:t xml:space="preserve"> (arba lygiavertį)</w:t>
            </w:r>
            <w:r w:rsidRPr="00D05D29">
              <w:rPr>
                <w:rFonts w:ascii="Times New Roman" w:hAnsi="Times New Roman" w:cs="Times New Roman"/>
              </w:rPr>
              <w:t xml:space="preserve"> ir IEC 61363</w:t>
            </w:r>
            <w:r w:rsidR="001C4D73">
              <w:rPr>
                <w:rFonts w:ascii="Times New Roman" w:hAnsi="Times New Roman" w:cs="Times New Roman"/>
              </w:rPr>
              <w:t xml:space="preserve"> (arba </w:t>
            </w:r>
            <w:r w:rsidR="00BF2BC7">
              <w:rPr>
                <w:rFonts w:ascii="Times New Roman" w:hAnsi="Times New Roman" w:cs="Times New Roman"/>
              </w:rPr>
              <w:t>lygiavertį</w:t>
            </w:r>
            <w:r w:rsidR="001C4D73">
              <w:rPr>
                <w:rFonts w:ascii="Times New Roman" w:hAnsi="Times New Roman" w:cs="Times New Roman"/>
              </w:rPr>
              <w:t>)</w:t>
            </w:r>
            <w:r w:rsidRPr="00D05D29">
              <w:rPr>
                <w:rFonts w:ascii="Times New Roman" w:hAnsi="Times New Roman" w:cs="Times New Roman"/>
              </w:rPr>
              <w:t>.</w:t>
            </w:r>
          </w:p>
        </w:tc>
        <w:tc>
          <w:tcPr>
            <w:tcW w:w="2588" w:type="dxa"/>
            <w:shd w:val="clear" w:color="auto" w:fill="FFFFFF" w:themeFill="background1"/>
            <w:vAlign w:val="center"/>
          </w:tcPr>
          <w:p w14:paraId="31ABD96C" w14:textId="77777777" w:rsidR="00A418A7" w:rsidRPr="00D05D29" w:rsidRDefault="00A418A7" w:rsidP="00177D37">
            <w:pPr>
              <w:pStyle w:val="NoSpacing"/>
              <w:rPr>
                <w:sz w:val="22"/>
                <w:szCs w:val="22"/>
                <w:lang w:eastAsia="lt-LT"/>
              </w:rPr>
            </w:pPr>
            <w:r w:rsidRPr="00D05D29">
              <w:rPr>
                <w:sz w:val="22"/>
                <w:szCs w:val="22"/>
                <w:lang w:eastAsia="lt-LT"/>
              </w:rPr>
              <w:t>Būtina.</w:t>
            </w:r>
          </w:p>
          <w:p w14:paraId="28C0D3D0" w14:textId="77777777" w:rsidR="00A418A7" w:rsidRPr="00D05D29" w:rsidRDefault="00A418A7" w:rsidP="00177D37">
            <w:pPr>
              <w:pStyle w:val="NoSpacing"/>
              <w:rPr>
                <w:sz w:val="22"/>
                <w:szCs w:val="22"/>
                <w:lang w:eastAsia="lt-LT"/>
              </w:rPr>
            </w:pPr>
            <w:r w:rsidRPr="00D05D29">
              <w:rPr>
                <w:sz w:val="22"/>
                <w:szCs w:val="22"/>
              </w:rPr>
              <w:t xml:space="preserve">Turi būti galimybė skaičiuoti pavienius ir daugybinius trifazius, </w:t>
            </w:r>
            <w:proofErr w:type="spellStart"/>
            <w:r w:rsidRPr="00D05D29">
              <w:rPr>
                <w:sz w:val="22"/>
                <w:szCs w:val="22"/>
              </w:rPr>
              <w:t>dvifazius</w:t>
            </w:r>
            <w:proofErr w:type="spellEnd"/>
            <w:r w:rsidRPr="00D05D29">
              <w:rPr>
                <w:sz w:val="22"/>
                <w:szCs w:val="22"/>
              </w:rPr>
              <w:t xml:space="preserve">, </w:t>
            </w:r>
            <w:proofErr w:type="spellStart"/>
            <w:r w:rsidRPr="00D05D29">
              <w:rPr>
                <w:sz w:val="22"/>
                <w:szCs w:val="22"/>
              </w:rPr>
              <w:t>dvifazius</w:t>
            </w:r>
            <w:proofErr w:type="spellEnd"/>
            <w:r w:rsidRPr="00D05D29">
              <w:rPr>
                <w:sz w:val="22"/>
                <w:szCs w:val="22"/>
              </w:rPr>
              <w:t xml:space="preserve"> su žeme ir vienfazius trumpuosius jungimus. Skaičiavimuose turi būti vertinami ir generatoriai, prijungti per pilnus galios keitiklius.</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8A8DCC" w14:textId="77777777" w:rsidR="00A418A7" w:rsidRPr="00D05D29" w:rsidRDefault="00A418A7" w:rsidP="00177D37">
            <w:pPr>
              <w:jc w:val="both"/>
              <w:rPr>
                <w:rFonts w:ascii="Times New Roman" w:hAnsi="Times New Roman" w:cs="Times New Roman"/>
                <w:lang w:eastAsia="lt-LT"/>
              </w:rPr>
            </w:pPr>
          </w:p>
        </w:tc>
      </w:tr>
      <w:tr w:rsidR="00A418A7" w:rsidRPr="00D05D29" w14:paraId="2DFE1750" w14:textId="77777777" w:rsidTr="008B3FE9">
        <w:trPr>
          <w:trHeight w:val="320"/>
        </w:trPr>
        <w:tc>
          <w:tcPr>
            <w:tcW w:w="636" w:type="dxa"/>
            <w:shd w:val="clear" w:color="auto" w:fill="FFFFFF" w:themeFill="background1"/>
            <w:vAlign w:val="center"/>
          </w:tcPr>
          <w:p w14:paraId="187AFC69"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1.4</w:t>
            </w:r>
          </w:p>
        </w:tc>
        <w:tc>
          <w:tcPr>
            <w:tcW w:w="3187" w:type="dxa"/>
            <w:shd w:val="clear" w:color="auto" w:fill="FFFFFF" w:themeFill="background1"/>
            <w:vAlign w:val="center"/>
          </w:tcPr>
          <w:p w14:paraId="413216D2" w14:textId="77777777" w:rsidR="00A418A7" w:rsidRPr="00D05D29" w:rsidRDefault="00A418A7" w:rsidP="00177D37">
            <w:pPr>
              <w:rPr>
                <w:rFonts w:ascii="Times New Roman" w:hAnsi="Times New Roman" w:cs="Times New Roman"/>
              </w:rPr>
            </w:pPr>
            <w:proofErr w:type="spellStart"/>
            <w:r w:rsidRPr="00D05D29">
              <w:rPr>
                <w:rFonts w:ascii="Times New Roman" w:hAnsi="Times New Roman" w:cs="Times New Roman"/>
              </w:rPr>
              <w:t>Kvazidinaminių</w:t>
            </w:r>
            <w:proofErr w:type="spellEnd"/>
            <w:r w:rsidRPr="00D05D29">
              <w:rPr>
                <w:rFonts w:ascii="Times New Roman" w:hAnsi="Times New Roman" w:cs="Times New Roman"/>
              </w:rPr>
              <w:t xml:space="preserve"> procesų, skirtų vidutinio ir ilgo laikotarpio nusistovėjusių režimų analizei, modeliavimas.</w:t>
            </w:r>
          </w:p>
        </w:tc>
        <w:tc>
          <w:tcPr>
            <w:tcW w:w="2588" w:type="dxa"/>
            <w:shd w:val="clear" w:color="auto" w:fill="FFFFFF" w:themeFill="background1"/>
            <w:vAlign w:val="center"/>
          </w:tcPr>
          <w:p w14:paraId="39A2457D" w14:textId="77777777" w:rsidR="00A418A7" w:rsidRPr="00D05D29" w:rsidRDefault="00A418A7" w:rsidP="00177D37">
            <w:pPr>
              <w:pStyle w:val="NoSpacing"/>
              <w:rPr>
                <w:sz w:val="22"/>
                <w:szCs w:val="22"/>
              </w:rPr>
            </w:pPr>
            <w:r w:rsidRPr="00D05D29">
              <w:rPr>
                <w:sz w:val="22"/>
                <w:szCs w:val="22"/>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50A607" w14:textId="77777777" w:rsidR="00A418A7" w:rsidRPr="00D05D29" w:rsidRDefault="00A418A7" w:rsidP="00177D37">
            <w:pPr>
              <w:jc w:val="both"/>
              <w:rPr>
                <w:rFonts w:ascii="Times New Roman" w:hAnsi="Times New Roman" w:cs="Times New Roman"/>
                <w:lang w:eastAsia="lt-LT"/>
              </w:rPr>
            </w:pPr>
          </w:p>
        </w:tc>
      </w:tr>
      <w:tr w:rsidR="00A418A7" w:rsidRPr="00D05D29" w14:paraId="61C90408" w14:textId="77777777" w:rsidTr="008B3FE9">
        <w:trPr>
          <w:trHeight w:val="567"/>
        </w:trPr>
        <w:tc>
          <w:tcPr>
            <w:tcW w:w="636" w:type="dxa"/>
            <w:shd w:val="clear" w:color="auto" w:fill="FFFFFF" w:themeFill="background1"/>
            <w:vAlign w:val="center"/>
          </w:tcPr>
          <w:p w14:paraId="07D11775"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1.5</w:t>
            </w:r>
          </w:p>
        </w:tc>
        <w:tc>
          <w:tcPr>
            <w:tcW w:w="3187" w:type="dxa"/>
            <w:shd w:val="clear" w:color="auto" w:fill="FFFFFF" w:themeFill="background1"/>
            <w:vAlign w:val="center"/>
          </w:tcPr>
          <w:p w14:paraId="7B7D8A3D"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Elektros tinklo prastinimas, sudarant ekvivalentus ir išskiriant atskirus rajonus.</w:t>
            </w:r>
          </w:p>
        </w:tc>
        <w:tc>
          <w:tcPr>
            <w:tcW w:w="2588" w:type="dxa"/>
            <w:shd w:val="clear" w:color="auto" w:fill="FFFFFF" w:themeFill="background1"/>
            <w:vAlign w:val="center"/>
          </w:tcPr>
          <w:p w14:paraId="1A2D42D8" w14:textId="77777777" w:rsidR="00A418A7" w:rsidRPr="00D05D29" w:rsidRDefault="00A418A7" w:rsidP="00177D37">
            <w:pPr>
              <w:pStyle w:val="NoSpacing"/>
              <w:rPr>
                <w:sz w:val="22"/>
                <w:szCs w:val="22"/>
              </w:rPr>
            </w:pPr>
            <w:r w:rsidRPr="00D05D29">
              <w:rPr>
                <w:sz w:val="22"/>
                <w:szCs w:val="22"/>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6A1589" w14:textId="77777777" w:rsidR="00A418A7" w:rsidRPr="00D05D29" w:rsidRDefault="00A418A7" w:rsidP="00177D37">
            <w:pPr>
              <w:jc w:val="both"/>
              <w:rPr>
                <w:rFonts w:ascii="Times New Roman" w:hAnsi="Times New Roman" w:cs="Times New Roman"/>
                <w:lang w:eastAsia="lt-LT"/>
              </w:rPr>
            </w:pPr>
          </w:p>
        </w:tc>
      </w:tr>
      <w:tr w:rsidR="00A418A7" w:rsidRPr="00D05D29" w14:paraId="43FCE6CC" w14:textId="77777777" w:rsidTr="008B3FE9">
        <w:trPr>
          <w:trHeight w:val="567"/>
        </w:trPr>
        <w:tc>
          <w:tcPr>
            <w:tcW w:w="636" w:type="dxa"/>
            <w:shd w:val="clear" w:color="auto" w:fill="FFFFFF" w:themeFill="background1"/>
            <w:vAlign w:val="center"/>
          </w:tcPr>
          <w:p w14:paraId="77AC89E2"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1.6</w:t>
            </w:r>
          </w:p>
        </w:tc>
        <w:tc>
          <w:tcPr>
            <w:tcW w:w="3187" w:type="dxa"/>
            <w:shd w:val="clear" w:color="auto" w:fill="FFFFFF" w:themeFill="background1"/>
            <w:vAlign w:val="center"/>
          </w:tcPr>
          <w:p w14:paraId="3132A148"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Relinių apsaugų koordinavimo modeliavimas.</w:t>
            </w:r>
          </w:p>
        </w:tc>
        <w:tc>
          <w:tcPr>
            <w:tcW w:w="2588" w:type="dxa"/>
            <w:shd w:val="clear" w:color="auto" w:fill="FFFFFF" w:themeFill="background1"/>
            <w:vAlign w:val="center"/>
          </w:tcPr>
          <w:p w14:paraId="7E621C7F" w14:textId="77777777" w:rsidR="00A418A7" w:rsidRPr="00D05D29" w:rsidRDefault="00A418A7" w:rsidP="00177D37">
            <w:pPr>
              <w:pStyle w:val="NoSpacing"/>
              <w:rPr>
                <w:sz w:val="22"/>
                <w:szCs w:val="22"/>
              </w:rPr>
            </w:pPr>
            <w:r w:rsidRPr="00D05D29">
              <w:rPr>
                <w:sz w:val="22"/>
                <w:szCs w:val="22"/>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EC3012" w14:textId="77777777" w:rsidR="00A418A7" w:rsidRPr="00D05D29" w:rsidRDefault="00A418A7" w:rsidP="00177D37">
            <w:pPr>
              <w:jc w:val="both"/>
              <w:rPr>
                <w:rFonts w:ascii="Times New Roman" w:hAnsi="Times New Roman" w:cs="Times New Roman"/>
                <w:lang w:eastAsia="lt-LT"/>
              </w:rPr>
            </w:pPr>
          </w:p>
        </w:tc>
      </w:tr>
      <w:tr w:rsidR="00A418A7" w:rsidRPr="00D05D29" w14:paraId="4FCB91C0" w14:textId="77777777" w:rsidTr="008B3FE9">
        <w:trPr>
          <w:trHeight w:val="567"/>
        </w:trPr>
        <w:tc>
          <w:tcPr>
            <w:tcW w:w="636" w:type="dxa"/>
            <w:shd w:val="clear" w:color="auto" w:fill="FFFFFF" w:themeFill="background1"/>
            <w:vAlign w:val="center"/>
          </w:tcPr>
          <w:p w14:paraId="582F0C28"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1.7</w:t>
            </w:r>
          </w:p>
        </w:tc>
        <w:tc>
          <w:tcPr>
            <w:tcW w:w="3187" w:type="dxa"/>
            <w:shd w:val="clear" w:color="auto" w:fill="FFFFFF" w:themeFill="background1"/>
            <w:vAlign w:val="center"/>
          </w:tcPr>
          <w:p w14:paraId="1FF23186"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Kabelių dydžio parinkimo ir maksimalios srovės nustatymo modeliavimas atsižvelgiant į kabelių geometrinį išdėstymą.</w:t>
            </w:r>
          </w:p>
        </w:tc>
        <w:tc>
          <w:tcPr>
            <w:tcW w:w="2588" w:type="dxa"/>
            <w:shd w:val="clear" w:color="auto" w:fill="FFFFFF" w:themeFill="background1"/>
            <w:vAlign w:val="center"/>
          </w:tcPr>
          <w:p w14:paraId="2962B71A" w14:textId="77777777" w:rsidR="00A418A7" w:rsidRPr="00D05D29" w:rsidRDefault="00A418A7" w:rsidP="00177D37">
            <w:pPr>
              <w:pStyle w:val="NoSpacing"/>
              <w:rPr>
                <w:sz w:val="22"/>
                <w:szCs w:val="22"/>
              </w:rPr>
            </w:pPr>
            <w:r w:rsidRPr="00D05D29">
              <w:rPr>
                <w:sz w:val="22"/>
                <w:szCs w:val="22"/>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17169E" w14:textId="77777777" w:rsidR="00A418A7" w:rsidRPr="00D05D29" w:rsidRDefault="00A418A7" w:rsidP="00177D37">
            <w:pPr>
              <w:jc w:val="both"/>
              <w:rPr>
                <w:rFonts w:ascii="Times New Roman" w:hAnsi="Times New Roman" w:cs="Times New Roman"/>
                <w:lang w:eastAsia="lt-LT"/>
              </w:rPr>
            </w:pPr>
          </w:p>
        </w:tc>
      </w:tr>
      <w:tr w:rsidR="00A418A7" w:rsidRPr="00D05D29" w14:paraId="79CABFDA" w14:textId="77777777" w:rsidTr="008B3FE9">
        <w:trPr>
          <w:trHeight w:val="508"/>
        </w:trPr>
        <w:tc>
          <w:tcPr>
            <w:tcW w:w="636" w:type="dxa"/>
            <w:shd w:val="clear" w:color="auto" w:fill="FFFFFF" w:themeFill="background1"/>
            <w:vAlign w:val="center"/>
          </w:tcPr>
          <w:p w14:paraId="4FA3513C"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1.8</w:t>
            </w:r>
          </w:p>
        </w:tc>
        <w:tc>
          <w:tcPr>
            <w:tcW w:w="3187" w:type="dxa"/>
            <w:shd w:val="clear" w:color="auto" w:fill="FFFFFF" w:themeFill="background1"/>
            <w:vAlign w:val="center"/>
          </w:tcPr>
          <w:p w14:paraId="47704682"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Elektros kokybės ir harmoninių įtampų analizė.</w:t>
            </w:r>
          </w:p>
        </w:tc>
        <w:tc>
          <w:tcPr>
            <w:tcW w:w="2588" w:type="dxa"/>
            <w:shd w:val="clear" w:color="auto" w:fill="FFFFFF" w:themeFill="background1"/>
            <w:vAlign w:val="center"/>
          </w:tcPr>
          <w:p w14:paraId="394DCFA7" w14:textId="77777777" w:rsidR="00A418A7" w:rsidRPr="00D05D29" w:rsidRDefault="00A418A7" w:rsidP="00177D37">
            <w:pPr>
              <w:pStyle w:val="NoSpacing"/>
              <w:rPr>
                <w:sz w:val="22"/>
                <w:szCs w:val="22"/>
              </w:rPr>
            </w:pPr>
            <w:r w:rsidRPr="00D05D29">
              <w:rPr>
                <w:sz w:val="22"/>
                <w:szCs w:val="22"/>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241F1E" w14:textId="77777777" w:rsidR="00A418A7" w:rsidRPr="00D05D29" w:rsidRDefault="00A418A7" w:rsidP="00177D37">
            <w:pPr>
              <w:jc w:val="both"/>
              <w:rPr>
                <w:rFonts w:ascii="Times New Roman" w:hAnsi="Times New Roman" w:cs="Times New Roman"/>
                <w:lang w:eastAsia="lt-LT"/>
              </w:rPr>
            </w:pPr>
          </w:p>
        </w:tc>
      </w:tr>
      <w:tr w:rsidR="00A418A7" w:rsidRPr="00D05D29" w14:paraId="08807959" w14:textId="77777777" w:rsidTr="008B3FE9">
        <w:trPr>
          <w:trHeight w:val="567"/>
        </w:trPr>
        <w:tc>
          <w:tcPr>
            <w:tcW w:w="636" w:type="dxa"/>
            <w:shd w:val="clear" w:color="auto" w:fill="FFFFFF" w:themeFill="background1"/>
            <w:vAlign w:val="center"/>
          </w:tcPr>
          <w:p w14:paraId="722EF512"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1.9</w:t>
            </w:r>
          </w:p>
        </w:tc>
        <w:tc>
          <w:tcPr>
            <w:tcW w:w="3187" w:type="dxa"/>
            <w:shd w:val="clear" w:color="auto" w:fill="FFFFFF" w:themeFill="background1"/>
            <w:vAlign w:val="center"/>
          </w:tcPr>
          <w:p w14:paraId="0E7C9C84"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Elektros sistemos būklės tikimybinė analizė.</w:t>
            </w:r>
          </w:p>
        </w:tc>
        <w:tc>
          <w:tcPr>
            <w:tcW w:w="2588" w:type="dxa"/>
            <w:shd w:val="clear" w:color="auto" w:fill="FFFFFF" w:themeFill="background1"/>
            <w:vAlign w:val="center"/>
          </w:tcPr>
          <w:p w14:paraId="5D8D39DC" w14:textId="77777777" w:rsidR="00A418A7" w:rsidRPr="00D05D29" w:rsidRDefault="00A418A7" w:rsidP="00177D37">
            <w:pPr>
              <w:pStyle w:val="NoSpacing"/>
              <w:rPr>
                <w:sz w:val="22"/>
                <w:szCs w:val="22"/>
              </w:rPr>
            </w:pPr>
            <w:r w:rsidRPr="00D05D29">
              <w:rPr>
                <w:sz w:val="22"/>
                <w:szCs w:val="22"/>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F198D2" w14:textId="77777777" w:rsidR="00A418A7" w:rsidRPr="00D05D29" w:rsidRDefault="00A418A7" w:rsidP="00177D37">
            <w:pPr>
              <w:jc w:val="both"/>
              <w:rPr>
                <w:rFonts w:ascii="Times New Roman" w:hAnsi="Times New Roman" w:cs="Times New Roman"/>
                <w:lang w:eastAsia="lt-LT"/>
              </w:rPr>
            </w:pPr>
          </w:p>
        </w:tc>
      </w:tr>
      <w:tr w:rsidR="00A418A7" w:rsidRPr="00D05D29" w14:paraId="4D9B12BD" w14:textId="77777777" w:rsidTr="008B3FE9">
        <w:trPr>
          <w:trHeight w:val="567"/>
        </w:trPr>
        <w:tc>
          <w:tcPr>
            <w:tcW w:w="636" w:type="dxa"/>
            <w:shd w:val="clear" w:color="auto" w:fill="FFFFFF" w:themeFill="background1"/>
            <w:vAlign w:val="center"/>
          </w:tcPr>
          <w:p w14:paraId="43BC02A1"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1.10</w:t>
            </w:r>
          </w:p>
        </w:tc>
        <w:tc>
          <w:tcPr>
            <w:tcW w:w="3187" w:type="dxa"/>
            <w:shd w:val="clear" w:color="auto" w:fill="FFFFFF" w:themeFill="background1"/>
            <w:vAlign w:val="center"/>
          </w:tcPr>
          <w:p w14:paraId="1EBDB647"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 xml:space="preserve">Elektros sistemos dinaminio stabilumo analizė naudojant </w:t>
            </w:r>
            <w:proofErr w:type="spellStart"/>
            <w:r w:rsidRPr="00D05D29">
              <w:rPr>
                <w:rFonts w:ascii="Times New Roman" w:hAnsi="Times New Roman" w:cs="Times New Roman"/>
              </w:rPr>
              <w:lastRenderedPageBreak/>
              <w:t>efektines</w:t>
            </w:r>
            <w:proofErr w:type="spellEnd"/>
            <w:r w:rsidRPr="00D05D29">
              <w:rPr>
                <w:rFonts w:ascii="Times New Roman" w:hAnsi="Times New Roman" w:cs="Times New Roman"/>
              </w:rPr>
              <w:t xml:space="preserve"> (RMS) vertes. Turi būti galimybė atlikti analizę realiuoju laiku.</w:t>
            </w:r>
          </w:p>
        </w:tc>
        <w:tc>
          <w:tcPr>
            <w:tcW w:w="2588" w:type="dxa"/>
            <w:shd w:val="clear" w:color="auto" w:fill="FFFFFF" w:themeFill="background1"/>
            <w:vAlign w:val="center"/>
          </w:tcPr>
          <w:p w14:paraId="6F0688D3"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lastRenderedPageBreak/>
              <w:t>Būtina.</w:t>
            </w:r>
          </w:p>
          <w:p w14:paraId="68BBE7FB"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lastRenderedPageBreak/>
              <w:t xml:space="preserve">Turi būti galimybė modeliuoti simetrinius ir nesimetrinius elektros tinklo režimus bei nuolatinės srovės tinklus ir analizuoti vidutinės ir ilgos trukmės elektros sistemos pereinamuosius procesus, sukeltus bet kokio įmanomo trikdžio ar įvykio. Turi būti integruota IEEE dinaminių modelių biblioteka. Turi būti galimybė sudaryti vartotojo sukurtus modelius naudojant grafinį </w:t>
            </w:r>
            <w:proofErr w:type="spellStart"/>
            <w:r w:rsidRPr="00D05D29">
              <w:rPr>
                <w:rFonts w:ascii="Times New Roman" w:hAnsi="Times New Roman" w:cs="Times New Roman"/>
              </w:rPr>
              <w:t>interfeisą</w:t>
            </w:r>
            <w:proofErr w:type="spellEnd"/>
            <w:r w:rsidRPr="00D05D29">
              <w:rPr>
                <w:rFonts w:ascii="Times New Roman" w:hAnsi="Times New Roman" w:cs="Times New Roman"/>
              </w:rPr>
              <w:t>. Turi būti sąsaja su elektromagnetinių pereinamųjų procesų modeliavimo įrankiu.</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BF8697" w14:textId="77777777" w:rsidR="00A418A7" w:rsidRPr="00D05D29" w:rsidRDefault="00A418A7" w:rsidP="00177D37">
            <w:pPr>
              <w:jc w:val="both"/>
              <w:rPr>
                <w:rFonts w:ascii="Times New Roman" w:hAnsi="Times New Roman" w:cs="Times New Roman"/>
                <w:lang w:eastAsia="lt-LT"/>
              </w:rPr>
            </w:pPr>
          </w:p>
        </w:tc>
      </w:tr>
      <w:tr w:rsidR="00A418A7" w:rsidRPr="00D05D29" w14:paraId="5D0B1E69" w14:textId="77777777" w:rsidTr="008B3FE9">
        <w:trPr>
          <w:trHeight w:val="567"/>
        </w:trPr>
        <w:tc>
          <w:tcPr>
            <w:tcW w:w="636" w:type="dxa"/>
            <w:shd w:val="clear" w:color="auto" w:fill="FFFFFF" w:themeFill="background1"/>
            <w:vAlign w:val="center"/>
          </w:tcPr>
          <w:p w14:paraId="512ACC3A"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1.11</w:t>
            </w:r>
          </w:p>
        </w:tc>
        <w:tc>
          <w:tcPr>
            <w:tcW w:w="3187" w:type="dxa"/>
            <w:shd w:val="clear" w:color="auto" w:fill="FFFFFF" w:themeFill="background1"/>
            <w:vAlign w:val="center"/>
          </w:tcPr>
          <w:p w14:paraId="71E9B8AA"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Elektromagnetinių pereinamųjų procesų analizė.</w:t>
            </w:r>
          </w:p>
        </w:tc>
        <w:tc>
          <w:tcPr>
            <w:tcW w:w="2588" w:type="dxa"/>
            <w:shd w:val="clear" w:color="auto" w:fill="FFFFFF" w:themeFill="background1"/>
            <w:vAlign w:val="center"/>
          </w:tcPr>
          <w:p w14:paraId="2E5E4BAB"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Būtina.</w:t>
            </w:r>
          </w:p>
          <w:p w14:paraId="7289A6F9"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 xml:space="preserve">Apimanti atmosferinių ir komutacinių viršįtampių, įmagnetinimo srovių pereinamųjų procesų modeliavimą ir </w:t>
            </w:r>
            <w:proofErr w:type="spellStart"/>
            <w:r w:rsidRPr="00D05D29">
              <w:rPr>
                <w:rFonts w:ascii="Times New Roman" w:hAnsi="Times New Roman" w:cs="Times New Roman"/>
              </w:rPr>
              <w:t>ferorezonanso</w:t>
            </w:r>
            <w:proofErr w:type="spellEnd"/>
            <w:r w:rsidRPr="00D05D29">
              <w:rPr>
                <w:rFonts w:ascii="Times New Roman" w:hAnsi="Times New Roman" w:cs="Times New Roman"/>
              </w:rPr>
              <w:t xml:space="preserve"> bei </w:t>
            </w:r>
            <w:proofErr w:type="spellStart"/>
            <w:r w:rsidRPr="00D05D29">
              <w:rPr>
                <w:rFonts w:ascii="Times New Roman" w:hAnsi="Times New Roman" w:cs="Times New Roman"/>
              </w:rPr>
              <w:t>subsinchroninio</w:t>
            </w:r>
            <w:proofErr w:type="spellEnd"/>
            <w:r w:rsidRPr="00D05D29">
              <w:rPr>
                <w:rFonts w:ascii="Times New Roman" w:hAnsi="Times New Roman" w:cs="Times New Roman"/>
              </w:rPr>
              <w:t xml:space="preserve"> rezonanso analizę.</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D7A614" w14:textId="77777777" w:rsidR="00A418A7" w:rsidRPr="00D05D29" w:rsidRDefault="00A418A7" w:rsidP="00177D37">
            <w:pPr>
              <w:jc w:val="both"/>
              <w:rPr>
                <w:rFonts w:ascii="Times New Roman" w:hAnsi="Times New Roman" w:cs="Times New Roman"/>
                <w:lang w:eastAsia="lt-LT"/>
              </w:rPr>
            </w:pPr>
          </w:p>
        </w:tc>
      </w:tr>
      <w:tr w:rsidR="00A418A7" w:rsidRPr="00D05D29" w14:paraId="614FB7F7" w14:textId="77777777" w:rsidTr="008B3FE9">
        <w:trPr>
          <w:trHeight w:val="567"/>
        </w:trPr>
        <w:tc>
          <w:tcPr>
            <w:tcW w:w="636" w:type="dxa"/>
            <w:shd w:val="clear" w:color="auto" w:fill="FFFFFF" w:themeFill="background1"/>
            <w:vAlign w:val="center"/>
          </w:tcPr>
          <w:p w14:paraId="0E9A977C"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1.12</w:t>
            </w:r>
          </w:p>
        </w:tc>
        <w:tc>
          <w:tcPr>
            <w:tcW w:w="3187" w:type="dxa"/>
            <w:shd w:val="clear" w:color="auto" w:fill="FFFFFF" w:themeFill="background1"/>
            <w:vAlign w:val="center"/>
          </w:tcPr>
          <w:p w14:paraId="5BB234C1"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Mažų svyravimų stabilumo analizė, naudojant tikrinių verčių metodą.</w:t>
            </w:r>
          </w:p>
        </w:tc>
        <w:tc>
          <w:tcPr>
            <w:tcW w:w="2588" w:type="dxa"/>
            <w:shd w:val="clear" w:color="auto" w:fill="FFFFFF" w:themeFill="background1"/>
            <w:vAlign w:val="center"/>
          </w:tcPr>
          <w:p w14:paraId="5E9EBF9B"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Būtina.</w:t>
            </w:r>
          </w:p>
          <w:p w14:paraId="0B2981F1"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Analizė turi apimti sinchronines mašinas ir per galios keitiklius jungiamus generavimo šaltinius.</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6AABDA" w14:textId="77777777" w:rsidR="00A418A7" w:rsidRPr="00D05D29" w:rsidRDefault="00A418A7" w:rsidP="00177D37">
            <w:pPr>
              <w:jc w:val="both"/>
              <w:rPr>
                <w:rFonts w:ascii="Times New Roman" w:hAnsi="Times New Roman" w:cs="Times New Roman"/>
                <w:lang w:eastAsia="lt-LT"/>
              </w:rPr>
            </w:pPr>
          </w:p>
        </w:tc>
      </w:tr>
      <w:tr w:rsidR="00A418A7" w:rsidRPr="00D05D29" w14:paraId="71ECF273" w14:textId="77777777" w:rsidTr="008B3FE9">
        <w:trPr>
          <w:trHeight w:val="567"/>
        </w:trPr>
        <w:tc>
          <w:tcPr>
            <w:tcW w:w="636" w:type="dxa"/>
            <w:shd w:val="clear" w:color="auto" w:fill="FFFFFF" w:themeFill="background1"/>
            <w:vAlign w:val="center"/>
          </w:tcPr>
          <w:p w14:paraId="4A515C8A"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1.13</w:t>
            </w:r>
          </w:p>
        </w:tc>
        <w:tc>
          <w:tcPr>
            <w:tcW w:w="3187" w:type="dxa"/>
            <w:shd w:val="clear" w:color="auto" w:fill="FFFFFF" w:themeFill="background1"/>
            <w:vAlign w:val="center"/>
          </w:tcPr>
          <w:p w14:paraId="2E5803DC"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Elektros sistemos parametrų identifikavimas.</w:t>
            </w:r>
          </w:p>
        </w:tc>
        <w:tc>
          <w:tcPr>
            <w:tcW w:w="2588" w:type="dxa"/>
            <w:shd w:val="clear" w:color="auto" w:fill="FFFFFF" w:themeFill="background1"/>
            <w:vAlign w:val="center"/>
          </w:tcPr>
          <w:p w14:paraId="0198CDB7"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18A132" w14:textId="77777777" w:rsidR="00A418A7" w:rsidRPr="00D05D29" w:rsidRDefault="00A418A7" w:rsidP="00177D37">
            <w:pPr>
              <w:jc w:val="both"/>
              <w:rPr>
                <w:rFonts w:ascii="Times New Roman" w:hAnsi="Times New Roman" w:cs="Times New Roman"/>
                <w:lang w:eastAsia="lt-LT"/>
              </w:rPr>
            </w:pPr>
          </w:p>
        </w:tc>
      </w:tr>
      <w:tr w:rsidR="00A418A7" w:rsidRPr="00D05D29" w14:paraId="64D5509E" w14:textId="77777777" w:rsidTr="008B3FE9">
        <w:trPr>
          <w:trHeight w:val="567"/>
        </w:trPr>
        <w:tc>
          <w:tcPr>
            <w:tcW w:w="636" w:type="dxa"/>
            <w:shd w:val="clear" w:color="auto" w:fill="FFFFFF" w:themeFill="background1"/>
            <w:vAlign w:val="center"/>
          </w:tcPr>
          <w:p w14:paraId="2A1E11AD"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1.14</w:t>
            </w:r>
          </w:p>
        </w:tc>
        <w:tc>
          <w:tcPr>
            <w:tcW w:w="3187" w:type="dxa"/>
            <w:shd w:val="clear" w:color="auto" w:fill="FFFFFF" w:themeFill="background1"/>
            <w:vAlign w:val="center"/>
          </w:tcPr>
          <w:p w14:paraId="5E98E2E7"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 xml:space="preserve">Galimybė importuoti duomenis iš Siemens PSS/E, ENTSO-E CIM, </w:t>
            </w:r>
            <w:proofErr w:type="spellStart"/>
            <w:r w:rsidRPr="00D05D29">
              <w:rPr>
                <w:rFonts w:ascii="Times New Roman" w:hAnsi="Times New Roman" w:cs="Times New Roman"/>
              </w:rPr>
              <w:t>Sincal</w:t>
            </w:r>
            <w:proofErr w:type="spellEnd"/>
            <w:r w:rsidRPr="00D05D29">
              <w:rPr>
                <w:rFonts w:ascii="Times New Roman" w:hAnsi="Times New Roman" w:cs="Times New Roman"/>
              </w:rPr>
              <w:t xml:space="preserve"> failų formatų.</w:t>
            </w:r>
          </w:p>
        </w:tc>
        <w:tc>
          <w:tcPr>
            <w:tcW w:w="2588" w:type="dxa"/>
            <w:shd w:val="clear" w:color="auto" w:fill="FFFFFF" w:themeFill="background1"/>
            <w:vAlign w:val="center"/>
          </w:tcPr>
          <w:p w14:paraId="2A459594"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Būtina.</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882A8D" w14:textId="77777777" w:rsidR="00A418A7" w:rsidRPr="00D05D29" w:rsidRDefault="00A418A7" w:rsidP="00177D37">
            <w:pPr>
              <w:jc w:val="both"/>
              <w:rPr>
                <w:rFonts w:ascii="Times New Roman" w:hAnsi="Times New Roman" w:cs="Times New Roman"/>
                <w:lang w:eastAsia="lt-LT"/>
              </w:rPr>
            </w:pPr>
          </w:p>
        </w:tc>
      </w:tr>
      <w:tr w:rsidR="00A418A7" w:rsidRPr="00D05D29" w14:paraId="30BF7366" w14:textId="77777777" w:rsidTr="008B3FE9">
        <w:trPr>
          <w:trHeight w:val="567"/>
        </w:trPr>
        <w:tc>
          <w:tcPr>
            <w:tcW w:w="636" w:type="dxa"/>
            <w:shd w:val="clear" w:color="auto" w:fill="FFFFFF" w:themeFill="background1"/>
            <w:vAlign w:val="center"/>
          </w:tcPr>
          <w:p w14:paraId="66829EBA"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1.15</w:t>
            </w:r>
          </w:p>
        </w:tc>
        <w:tc>
          <w:tcPr>
            <w:tcW w:w="3187" w:type="dxa"/>
            <w:shd w:val="clear" w:color="auto" w:fill="FFFFFF" w:themeFill="background1"/>
            <w:vAlign w:val="center"/>
          </w:tcPr>
          <w:p w14:paraId="3C1043E6"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 xml:space="preserve">Modeliuojamų mazgų skaičius. </w:t>
            </w:r>
          </w:p>
        </w:tc>
        <w:tc>
          <w:tcPr>
            <w:tcW w:w="2588" w:type="dxa"/>
            <w:shd w:val="clear" w:color="auto" w:fill="FFFFFF" w:themeFill="background1"/>
            <w:vAlign w:val="center"/>
          </w:tcPr>
          <w:p w14:paraId="5709B1D5"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Turi būti neribotas.</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F82C12" w14:textId="77777777" w:rsidR="00A418A7" w:rsidRPr="00D05D29" w:rsidRDefault="00A418A7" w:rsidP="00177D37">
            <w:pPr>
              <w:jc w:val="both"/>
              <w:rPr>
                <w:rFonts w:ascii="Times New Roman" w:hAnsi="Times New Roman" w:cs="Times New Roman"/>
                <w:lang w:eastAsia="lt-LT"/>
              </w:rPr>
            </w:pPr>
          </w:p>
        </w:tc>
      </w:tr>
      <w:tr w:rsidR="00A418A7" w:rsidRPr="00D05D29" w14:paraId="49E94500" w14:textId="77777777" w:rsidTr="008B3FE9">
        <w:trPr>
          <w:trHeight w:val="567"/>
        </w:trPr>
        <w:tc>
          <w:tcPr>
            <w:tcW w:w="636" w:type="dxa"/>
            <w:shd w:val="clear" w:color="auto" w:fill="FFFFFF" w:themeFill="background1"/>
            <w:vAlign w:val="center"/>
          </w:tcPr>
          <w:p w14:paraId="3BBAE71F"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1.16</w:t>
            </w:r>
          </w:p>
        </w:tc>
        <w:tc>
          <w:tcPr>
            <w:tcW w:w="3187" w:type="dxa"/>
            <w:shd w:val="clear" w:color="auto" w:fill="FFFFFF" w:themeFill="background1"/>
            <w:vAlign w:val="center"/>
          </w:tcPr>
          <w:p w14:paraId="0C416CA7"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Nemokamas techninis palaikymas ir atnaujinimai.</w:t>
            </w:r>
          </w:p>
        </w:tc>
        <w:tc>
          <w:tcPr>
            <w:tcW w:w="2588" w:type="dxa"/>
            <w:shd w:val="clear" w:color="auto" w:fill="FFFFFF" w:themeFill="background1"/>
            <w:vAlign w:val="center"/>
          </w:tcPr>
          <w:p w14:paraId="44F1F4B8"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Ne mažiau kaip 12 mėn.</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461D93" w14:textId="77777777" w:rsidR="00A418A7" w:rsidRPr="00D05D29" w:rsidRDefault="00A418A7" w:rsidP="00177D37">
            <w:pPr>
              <w:jc w:val="both"/>
              <w:rPr>
                <w:rFonts w:ascii="Times New Roman" w:hAnsi="Times New Roman" w:cs="Times New Roman"/>
                <w:lang w:eastAsia="lt-LT"/>
              </w:rPr>
            </w:pPr>
          </w:p>
        </w:tc>
      </w:tr>
      <w:tr w:rsidR="00A418A7" w:rsidRPr="00D05D29" w14:paraId="1A14F3E8" w14:textId="77777777" w:rsidTr="008B3FE9">
        <w:trPr>
          <w:trHeight w:val="567"/>
        </w:trPr>
        <w:tc>
          <w:tcPr>
            <w:tcW w:w="636" w:type="dxa"/>
            <w:shd w:val="clear" w:color="auto" w:fill="FFFFFF" w:themeFill="background1"/>
            <w:vAlign w:val="center"/>
          </w:tcPr>
          <w:p w14:paraId="1508FE79"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1.17</w:t>
            </w:r>
          </w:p>
        </w:tc>
        <w:tc>
          <w:tcPr>
            <w:tcW w:w="3187" w:type="dxa"/>
            <w:shd w:val="clear" w:color="auto" w:fill="FFFFFF" w:themeFill="background1"/>
            <w:vAlign w:val="center"/>
          </w:tcPr>
          <w:p w14:paraId="151729E6" w14:textId="77777777" w:rsidR="00A418A7" w:rsidRPr="00D05D29" w:rsidRDefault="00A418A7" w:rsidP="00177D37">
            <w:pPr>
              <w:jc w:val="both"/>
              <w:rPr>
                <w:rFonts w:ascii="Times New Roman" w:hAnsi="Times New Roman" w:cs="Times New Roman"/>
              </w:rPr>
            </w:pPr>
            <w:r w:rsidRPr="00D05D29">
              <w:rPr>
                <w:rFonts w:ascii="Times New Roman" w:hAnsi="Times New Roman" w:cs="Times New Roman"/>
              </w:rPr>
              <w:t>Vienu metu palaikomų darbo vietų skaičius.</w:t>
            </w:r>
          </w:p>
        </w:tc>
        <w:tc>
          <w:tcPr>
            <w:tcW w:w="2588" w:type="dxa"/>
            <w:shd w:val="clear" w:color="auto" w:fill="FFFFFF" w:themeFill="background1"/>
            <w:vAlign w:val="center"/>
          </w:tcPr>
          <w:p w14:paraId="34AF0A0A" w14:textId="77777777" w:rsidR="00A418A7" w:rsidRPr="00D05D29" w:rsidRDefault="00A418A7" w:rsidP="00177D37">
            <w:pPr>
              <w:rPr>
                <w:rFonts w:ascii="Times New Roman" w:hAnsi="Times New Roman" w:cs="Times New Roman"/>
              </w:rPr>
            </w:pPr>
            <w:r w:rsidRPr="00D05D29">
              <w:rPr>
                <w:rFonts w:ascii="Times New Roman" w:hAnsi="Times New Roman" w:cs="Times New Roman"/>
              </w:rPr>
              <w:t>Ne mažiau kaip 3 (trys) vartotojai, su galimybe keisti kompiuterį.</w:t>
            </w:r>
          </w:p>
        </w:tc>
        <w:tc>
          <w:tcPr>
            <w:tcW w:w="4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20DEED" w14:textId="77777777" w:rsidR="00A418A7" w:rsidRPr="00D05D29" w:rsidRDefault="00A418A7" w:rsidP="00177D37">
            <w:pPr>
              <w:jc w:val="both"/>
              <w:rPr>
                <w:rFonts w:ascii="Times New Roman" w:hAnsi="Times New Roman" w:cs="Times New Roman"/>
                <w:lang w:eastAsia="lt-LT"/>
              </w:rPr>
            </w:pPr>
          </w:p>
        </w:tc>
      </w:tr>
    </w:tbl>
    <w:p w14:paraId="6BDE20A3" w14:textId="77777777" w:rsidR="00E2458B" w:rsidRDefault="00E2458B" w:rsidP="00497F13">
      <w:pPr>
        <w:tabs>
          <w:tab w:val="left" w:pos="8127"/>
        </w:tabs>
        <w:rPr>
          <w:rFonts w:ascii="Times New Roman" w:hAnsi="Times New Roman"/>
          <w:b/>
        </w:rPr>
      </w:pPr>
    </w:p>
    <w:p w14:paraId="6357E45C" w14:textId="77777777" w:rsidR="00C66B14" w:rsidRDefault="00C66B14" w:rsidP="00497F13">
      <w:pPr>
        <w:tabs>
          <w:tab w:val="left" w:pos="8127"/>
        </w:tabs>
        <w:rPr>
          <w:rFonts w:ascii="Times New Roman" w:hAnsi="Times New Roman"/>
          <w:b/>
        </w:rPr>
      </w:pPr>
    </w:p>
    <w:p w14:paraId="7D7DB50D" w14:textId="691ACFC2" w:rsidR="00497F13" w:rsidRPr="00B1291F" w:rsidRDefault="00497F13" w:rsidP="00C66B14">
      <w:pPr>
        <w:ind w:firstLine="567"/>
        <w:jc w:val="both"/>
        <w:rPr>
          <w:rFonts w:ascii="Times New Roman" w:hAnsi="Times New Roman"/>
          <w:bCs/>
          <w:color w:val="000000" w:themeColor="text1"/>
        </w:rPr>
      </w:pPr>
      <w:bookmarkStart w:id="4" w:name="_Hlk161402181"/>
      <w:r w:rsidRPr="00B1291F">
        <w:rPr>
          <w:rFonts w:ascii="Times New Roman" w:hAnsi="Times New Roman"/>
          <w:bCs/>
          <w:color w:val="000000" w:themeColor="text1"/>
        </w:rPr>
        <w:t xml:space="preserve">Perkančioji organizacija vykdo </w:t>
      </w:r>
      <w:r w:rsidRPr="00B1291F">
        <w:rPr>
          <w:rFonts w:ascii="Times New Roman" w:hAnsi="Times New Roman"/>
        </w:rPr>
        <w:t>„Žaliąjį pirkimą“</w:t>
      </w:r>
      <w:r w:rsidR="00B0390A">
        <w:rPr>
          <w:rFonts w:ascii="Times New Roman" w:hAnsi="Times New Roman"/>
        </w:rPr>
        <w:t xml:space="preserve">. </w:t>
      </w:r>
      <w:r w:rsidR="00077E80" w:rsidRPr="00944340">
        <w:rPr>
          <w:rFonts w:ascii="Times New Roman" w:hAnsi="Times New Roman"/>
          <w:bCs/>
          <w:color w:val="000000" w:themeColor="text1"/>
        </w:rPr>
        <w:t xml:space="preserve">Pirkimas vykdomas </w:t>
      </w:r>
      <w:r w:rsidR="00424BC8" w:rsidRPr="00B1291F">
        <w:rPr>
          <w:rFonts w:ascii="Times New Roman" w:hAnsi="Times New Roman"/>
          <w:bCs/>
          <w:color w:val="000000" w:themeColor="text1"/>
        </w:rPr>
        <w:t>vadovau</w:t>
      </w:r>
      <w:r w:rsidR="00424BC8">
        <w:rPr>
          <w:rFonts w:ascii="Times New Roman" w:hAnsi="Times New Roman"/>
          <w:bCs/>
          <w:color w:val="000000" w:themeColor="text1"/>
        </w:rPr>
        <w:t xml:space="preserve">jantis </w:t>
      </w:r>
      <w:r w:rsidR="00424BC8" w:rsidRPr="00B1291F">
        <w:rPr>
          <w:rFonts w:ascii="Times New Roman" w:hAnsi="Times New Roman"/>
          <w:bCs/>
          <w:color w:val="000000" w:themeColor="text1"/>
        </w:rPr>
        <w:t xml:space="preserve">Lietuvos Respublikos aplinkos ministro 2011 m. birželio 28 d. įsakymo Nr. D1-401  „Dėl Lietuvos Respublikos aplinkos ministro 2011 m. birželio 28 d. įsakymo Nr. D1-508 </w:t>
      </w:r>
      <w:r w:rsidR="00424BC8" w:rsidRPr="00B1291F">
        <w:rPr>
          <w:rFonts w:ascii="Times New Roman" w:hAnsi="Times New Roman"/>
        </w:rPr>
        <w:t>„Dėl produktų, kurių viešiesiems pirkimams taikytini aplinkos apsaugos kriterijai sąrašų, Aplinkos apsaugos kriterijų ir Aplinkos apsaugos kriterijų, kuriuos perkančiosios organizacijos turi taikyti pirkdamos prekes, paslaugas ar darbus, tvarkos aprašo patvirtinimo“</w:t>
      </w:r>
      <w:r w:rsidR="00424BC8" w:rsidRPr="00B1291F">
        <w:rPr>
          <w:rFonts w:ascii="Times New Roman" w:hAnsi="Times New Roman"/>
          <w:bCs/>
          <w:color w:val="000000" w:themeColor="text1"/>
        </w:rPr>
        <w:t xml:space="preserve"> pakeitimo 4.4.</w:t>
      </w:r>
      <w:r w:rsidR="00FF5605">
        <w:rPr>
          <w:rFonts w:ascii="Times New Roman" w:hAnsi="Times New Roman"/>
          <w:bCs/>
          <w:color w:val="000000" w:themeColor="text1"/>
        </w:rPr>
        <w:t>3</w:t>
      </w:r>
      <w:r w:rsidR="00424BC8">
        <w:rPr>
          <w:rFonts w:ascii="Times New Roman" w:hAnsi="Times New Roman"/>
          <w:bCs/>
          <w:color w:val="000000" w:themeColor="text1"/>
        </w:rPr>
        <w:t>.</w:t>
      </w:r>
      <w:r w:rsidR="00424BC8" w:rsidRPr="00B1291F">
        <w:rPr>
          <w:rFonts w:ascii="Times New Roman" w:hAnsi="Times New Roman"/>
          <w:bCs/>
          <w:color w:val="000000" w:themeColor="text1"/>
        </w:rPr>
        <w:t xml:space="preserve"> punktu</w:t>
      </w:r>
      <w:r w:rsidR="00FF5605">
        <w:rPr>
          <w:rFonts w:ascii="Times New Roman" w:hAnsi="Times New Roman"/>
          <w:bCs/>
          <w:color w:val="000000" w:themeColor="text1"/>
        </w:rPr>
        <w:t>: „</w:t>
      </w:r>
      <w:r w:rsidR="00F24509" w:rsidRPr="00F24509">
        <w:rPr>
          <w:rFonts w:ascii="Times New Roman" w:hAnsi="Times New Roman"/>
          <w:bCs/>
          <w:color w:val="000000" w:themeColor="text1"/>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C66B14">
        <w:rPr>
          <w:rFonts w:ascii="Times New Roman" w:hAnsi="Times New Roman"/>
          <w:bCs/>
          <w:color w:val="000000" w:themeColor="text1"/>
        </w:rPr>
        <w:t>“.</w:t>
      </w:r>
      <w:r w:rsidRPr="00B1291F">
        <w:rPr>
          <w:rFonts w:ascii="Times New Roman" w:hAnsi="Times New Roman"/>
          <w:bCs/>
          <w:color w:val="000000" w:themeColor="text1"/>
        </w:rPr>
        <w:t xml:space="preserve"> </w:t>
      </w:r>
      <w:bookmarkEnd w:id="4"/>
    </w:p>
    <w:p w14:paraId="3FB3B73E" w14:textId="77777777" w:rsidR="00C66B14" w:rsidRDefault="00C66B14" w:rsidP="00005D84">
      <w:pPr>
        <w:jc w:val="both"/>
        <w:rPr>
          <w:rFonts w:ascii="Times New Roman" w:hAnsi="Times New Roman"/>
          <w:bCs/>
          <w:i/>
          <w:color w:val="000000" w:themeColor="text1"/>
        </w:rPr>
      </w:pPr>
    </w:p>
    <w:p w14:paraId="3A7FBD81" w14:textId="47A929C1" w:rsidR="00497F13" w:rsidRPr="0082420E" w:rsidRDefault="00497F13" w:rsidP="00005D84">
      <w:pPr>
        <w:jc w:val="both"/>
        <w:rPr>
          <w:rFonts w:ascii="Times New Roman" w:hAnsi="Times New Roman"/>
          <w:bCs/>
          <w:i/>
          <w:color w:val="000000" w:themeColor="text1"/>
        </w:rPr>
      </w:pPr>
      <w:r w:rsidRPr="0082420E">
        <w:rPr>
          <w:rFonts w:ascii="Times New Roman" w:hAnsi="Times New Roman"/>
          <w:bCs/>
          <w:i/>
          <w:color w:val="000000" w:themeColor="text1"/>
        </w:rPr>
        <w:t>Pastaba: Visos pirkimo dokumente esančios nuorodos į standartą, techninį liudijimą ar bendrąsias technines specifikacijas reiškia, kad pirkėjas priima ir kitus dalyvių lygiaverčių prekių įrodymus. Lygiavertiškumo įrodymas yra tiekėjo pareiga.</w:t>
      </w:r>
    </w:p>
    <w:p w14:paraId="5195DFA5" w14:textId="77777777" w:rsidR="00497F13" w:rsidRPr="0082420E" w:rsidRDefault="00497F13" w:rsidP="00005D84">
      <w:pPr>
        <w:jc w:val="both"/>
        <w:rPr>
          <w:i/>
        </w:rPr>
      </w:pPr>
    </w:p>
    <w:p w14:paraId="7DB1985A" w14:textId="77777777" w:rsidR="00497F13" w:rsidRPr="0082420E" w:rsidRDefault="00497F13" w:rsidP="00005D84">
      <w:pPr>
        <w:jc w:val="center"/>
        <w:rPr>
          <w:rFonts w:ascii="Times New Roman" w:hAnsi="Times New Roman"/>
          <w:b/>
          <w:bCs/>
          <w:color w:val="000000" w:themeColor="text1"/>
        </w:rPr>
      </w:pPr>
      <w:r w:rsidRPr="0082420E">
        <w:rPr>
          <w:rFonts w:ascii="Times New Roman" w:hAnsi="Times New Roman"/>
          <w:b/>
          <w:bCs/>
          <w:color w:val="000000" w:themeColor="text1"/>
        </w:rPr>
        <w:t>PILDOMI REIKALAVIMAI</w:t>
      </w:r>
    </w:p>
    <w:p w14:paraId="212EA59D" w14:textId="77777777" w:rsidR="00497F13" w:rsidRPr="0082420E" w:rsidRDefault="00497F13" w:rsidP="00005D84">
      <w:pPr>
        <w:jc w:val="both"/>
        <w:rPr>
          <w:rFonts w:ascii="Times New Roman" w:hAnsi="Times New Roman"/>
          <w:b/>
          <w:bCs/>
          <w:color w:val="000000" w:themeColor="text1"/>
        </w:rPr>
      </w:pPr>
    </w:p>
    <w:p w14:paraId="159447B0" w14:textId="77777777" w:rsidR="00497F13" w:rsidRPr="0082420E" w:rsidRDefault="00497F13" w:rsidP="00005D84">
      <w:pPr>
        <w:pStyle w:val="ListParagraph"/>
        <w:ind w:left="453" w:firstLine="256"/>
        <w:jc w:val="both"/>
        <w:rPr>
          <w:rFonts w:ascii="Times New Roman" w:hAnsi="Times New Roman" w:cs="Times New Roman"/>
          <w:sz w:val="22"/>
          <w:szCs w:val="22"/>
        </w:rPr>
      </w:pPr>
      <w:r w:rsidRPr="0082420E">
        <w:rPr>
          <w:rFonts w:ascii="Times New Roman" w:hAnsi="Times New Roman" w:cs="Times New Roman"/>
          <w:sz w:val="22"/>
          <w:szCs w:val="22"/>
        </w:rPr>
        <w:t>Sutarties vykdymui  taikomi aplinkos apsaugos kriterijai/reikalavimai:</w:t>
      </w:r>
    </w:p>
    <w:p w14:paraId="748EE1A2" w14:textId="77777777" w:rsidR="00497F13" w:rsidRPr="0082420E" w:rsidRDefault="00497F13" w:rsidP="00005D84">
      <w:pPr>
        <w:pStyle w:val="ListParagraph"/>
        <w:numPr>
          <w:ilvl w:val="0"/>
          <w:numId w:val="2"/>
        </w:numPr>
        <w:tabs>
          <w:tab w:val="left" w:pos="426"/>
          <w:tab w:val="left" w:pos="567"/>
          <w:tab w:val="left" w:pos="993"/>
        </w:tabs>
        <w:spacing w:line="256" w:lineRule="auto"/>
        <w:ind w:firstLine="256"/>
        <w:jc w:val="both"/>
        <w:rPr>
          <w:rFonts w:ascii="Times New Roman" w:hAnsi="Times New Roman" w:cs="Times New Roman"/>
          <w:sz w:val="22"/>
          <w:szCs w:val="22"/>
        </w:rPr>
      </w:pPr>
      <w:bookmarkStart w:id="5" w:name="_Hlk142647099"/>
      <w:r w:rsidRPr="0082420E">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2872F49F" w14:textId="77777777" w:rsidR="00497F13" w:rsidRPr="0082420E" w:rsidRDefault="00497F13" w:rsidP="00005D84">
      <w:pPr>
        <w:pStyle w:val="ListParagraph"/>
        <w:numPr>
          <w:ilvl w:val="0"/>
          <w:numId w:val="2"/>
        </w:numPr>
        <w:tabs>
          <w:tab w:val="left" w:pos="567"/>
          <w:tab w:val="left" w:pos="993"/>
        </w:tabs>
        <w:spacing w:line="256" w:lineRule="auto"/>
        <w:ind w:firstLine="256"/>
        <w:jc w:val="both"/>
        <w:rPr>
          <w:rFonts w:ascii="Times New Roman" w:hAnsi="Times New Roman" w:cs="Times New Roman"/>
          <w:sz w:val="22"/>
          <w:szCs w:val="22"/>
        </w:rPr>
      </w:pPr>
      <w:r>
        <w:rPr>
          <w:rFonts w:ascii="Times New Roman" w:hAnsi="Times New Roman" w:cs="Times New Roman"/>
          <w:sz w:val="22"/>
          <w:szCs w:val="22"/>
        </w:rPr>
        <w:t>V</w:t>
      </w:r>
      <w:r w:rsidRPr="0082420E">
        <w:rPr>
          <w:rFonts w:ascii="Times New Roman" w:hAnsi="Times New Roman" w:cs="Times New Roman"/>
          <w:sz w:val="22"/>
          <w:szCs w:val="22"/>
        </w:rPr>
        <w:t>isa dokumentacija susijusi su Sutarties vykdymu teikiama Pirkėjui ir Tiekėjui elektorinėmis priemonėmis (elektoriniu paštu ar kt.);</w:t>
      </w:r>
    </w:p>
    <w:p w14:paraId="5D1F3979" w14:textId="77777777" w:rsidR="00497F13" w:rsidRPr="0082420E" w:rsidRDefault="00497F13" w:rsidP="00005D84">
      <w:pPr>
        <w:pStyle w:val="ListParagraph"/>
        <w:numPr>
          <w:ilvl w:val="0"/>
          <w:numId w:val="2"/>
        </w:numPr>
        <w:tabs>
          <w:tab w:val="left" w:pos="284"/>
          <w:tab w:val="left" w:pos="567"/>
          <w:tab w:val="left" w:pos="993"/>
        </w:tabs>
        <w:spacing w:line="256" w:lineRule="auto"/>
        <w:ind w:firstLine="256"/>
        <w:jc w:val="both"/>
        <w:rPr>
          <w:rFonts w:ascii="Times New Roman" w:hAnsi="Times New Roman" w:cs="Times New Roman"/>
          <w:sz w:val="22"/>
          <w:szCs w:val="22"/>
        </w:rPr>
      </w:pPr>
      <w:r w:rsidRPr="0082420E">
        <w:rPr>
          <w:rFonts w:ascii="Times New Roman" w:hAnsi="Times New Roman" w:cs="Times New Roman"/>
          <w:sz w:val="22"/>
          <w:szCs w:val="22"/>
        </w:rPr>
        <w:t>Sutartis bus pasirašoma tik elektroninėmis priemonėmis (elektroniniu parašu);</w:t>
      </w:r>
    </w:p>
    <w:p w14:paraId="611CD408" w14:textId="00E214C2" w:rsidR="00034558" w:rsidRPr="007662D6" w:rsidRDefault="00497F13" w:rsidP="007662D6">
      <w:pPr>
        <w:pStyle w:val="ListParagraph"/>
        <w:numPr>
          <w:ilvl w:val="0"/>
          <w:numId w:val="2"/>
        </w:numPr>
        <w:tabs>
          <w:tab w:val="left" w:pos="426"/>
          <w:tab w:val="left" w:pos="567"/>
          <w:tab w:val="left" w:pos="993"/>
        </w:tabs>
        <w:spacing w:line="256" w:lineRule="auto"/>
        <w:ind w:firstLine="256"/>
        <w:jc w:val="both"/>
        <w:rPr>
          <w:rFonts w:ascii="Times New Roman" w:hAnsi="Times New Roman" w:cs="Times New Roman"/>
          <w:b/>
        </w:rPr>
      </w:pPr>
      <w:r w:rsidRPr="007662D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sectPr w:rsidR="00034558" w:rsidRPr="007662D6" w:rsidSect="00497F13">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3374F" w14:textId="77777777" w:rsidR="009C3FEC" w:rsidRDefault="009C3FEC" w:rsidP="00705B83">
      <w:pPr>
        <w:spacing w:after="0" w:line="240" w:lineRule="auto"/>
      </w:pPr>
      <w:r>
        <w:separator/>
      </w:r>
    </w:p>
  </w:endnote>
  <w:endnote w:type="continuationSeparator" w:id="0">
    <w:p w14:paraId="0119E844" w14:textId="77777777" w:rsidR="009C3FEC" w:rsidRDefault="009C3FEC"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B7407" w14:textId="77777777" w:rsidR="009C3FEC" w:rsidRDefault="009C3FEC" w:rsidP="00705B83">
      <w:pPr>
        <w:spacing w:after="0" w:line="240" w:lineRule="auto"/>
      </w:pPr>
      <w:r>
        <w:separator/>
      </w:r>
    </w:p>
  </w:footnote>
  <w:footnote w:type="continuationSeparator" w:id="0">
    <w:p w14:paraId="11941D42" w14:textId="77777777" w:rsidR="009C3FEC" w:rsidRDefault="009C3FEC"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3932"/>
    <w:multiLevelType w:val="hybridMultilevel"/>
    <w:tmpl w:val="0464CFE4"/>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 w15:restartNumberingAfterBreak="0">
    <w:nsid w:val="14762DD4"/>
    <w:multiLevelType w:val="hybridMultilevel"/>
    <w:tmpl w:val="9BB4C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2B1990"/>
    <w:multiLevelType w:val="hybridMultilevel"/>
    <w:tmpl w:val="A6F24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125F3"/>
    <w:multiLevelType w:val="hybridMultilevel"/>
    <w:tmpl w:val="2376E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B17E0"/>
    <w:multiLevelType w:val="hybridMultilevel"/>
    <w:tmpl w:val="44062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F60258"/>
    <w:multiLevelType w:val="hybridMultilevel"/>
    <w:tmpl w:val="4C688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8"/>
  </w:num>
  <w:num w:numId="2" w16cid:durableId="208423888">
    <w:abstractNumId w:val="5"/>
  </w:num>
  <w:num w:numId="3" w16cid:durableId="2051805216">
    <w:abstractNumId w:val="6"/>
  </w:num>
  <w:num w:numId="4" w16cid:durableId="553470936">
    <w:abstractNumId w:val="3"/>
  </w:num>
  <w:num w:numId="5" w16cid:durableId="2102942770">
    <w:abstractNumId w:val="1"/>
  </w:num>
  <w:num w:numId="6" w16cid:durableId="1453941017">
    <w:abstractNumId w:val="2"/>
  </w:num>
  <w:num w:numId="7" w16cid:durableId="1547137640">
    <w:abstractNumId w:val="4"/>
  </w:num>
  <w:num w:numId="8" w16cid:durableId="1179538105">
    <w:abstractNumId w:val="0"/>
  </w:num>
  <w:num w:numId="9" w16cid:durableId="1234856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5D84"/>
    <w:rsid w:val="00034558"/>
    <w:rsid w:val="00041D0C"/>
    <w:rsid w:val="000727C8"/>
    <w:rsid w:val="00075408"/>
    <w:rsid w:val="00076821"/>
    <w:rsid w:val="00077E80"/>
    <w:rsid w:val="000A4EC9"/>
    <w:rsid w:val="000B67C2"/>
    <w:rsid w:val="000D3D54"/>
    <w:rsid w:val="000F44EB"/>
    <w:rsid w:val="00116A72"/>
    <w:rsid w:val="00132486"/>
    <w:rsid w:val="00150F41"/>
    <w:rsid w:val="00175676"/>
    <w:rsid w:val="001763A9"/>
    <w:rsid w:val="001802CC"/>
    <w:rsid w:val="00195210"/>
    <w:rsid w:val="001A6E05"/>
    <w:rsid w:val="001B4930"/>
    <w:rsid w:val="001C0EAD"/>
    <w:rsid w:val="001C4D73"/>
    <w:rsid w:val="001E47C8"/>
    <w:rsid w:val="001F3A4D"/>
    <w:rsid w:val="002425A2"/>
    <w:rsid w:val="002618DE"/>
    <w:rsid w:val="00322054"/>
    <w:rsid w:val="00324127"/>
    <w:rsid w:val="0033549F"/>
    <w:rsid w:val="0036153A"/>
    <w:rsid w:val="0038436E"/>
    <w:rsid w:val="003C514A"/>
    <w:rsid w:val="00414561"/>
    <w:rsid w:val="00424BC8"/>
    <w:rsid w:val="00430C22"/>
    <w:rsid w:val="0043186C"/>
    <w:rsid w:val="00465BC7"/>
    <w:rsid w:val="00497F13"/>
    <w:rsid w:val="00497FCC"/>
    <w:rsid w:val="004A5B3C"/>
    <w:rsid w:val="004F63F2"/>
    <w:rsid w:val="00500B68"/>
    <w:rsid w:val="005138C7"/>
    <w:rsid w:val="00532F2C"/>
    <w:rsid w:val="00537FFA"/>
    <w:rsid w:val="00573567"/>
    <w:rsid w:val="0057391D"/>
    <w:rsid w:val="00591A37"/>
    <w:rsid w:val="005A008C"/>
    <w:rsid w:val="005D0532"/>
    <w:rsid w:val="005E220D"/>
    <w:rsid w:val="00605B33"/>
    <w:rsid w:val="00614E8E"/>
    <w:rsid w:val="00622A9F"/>
    <w:rsid w:val="0066033D"/>
    <w:rsid w:val="00667DCF"/>
    <w:rsid w:val="00684AEC"/>
    <w:rsid w:val="0069433B"/>
    <w:rsid w:val="006B275D"/>
    <w:rsid w:val="006C1A81"/>
    <w:rsid w:val="00705B83"/>
    <w:rsid w:val="00734DCA"/>
    <w:rsid w:val="007662D6"/>
    <w:rsid w:val="007742E5"/>
    <w:rsid w:val="007A48DB"/>
    <w:rsid w:val="007F2769"/>
    <w:rsid w:val="00877D2A"/>
    <w:rsid w:val="0089375A"/>
    <w:rsid w:val="00897409"/>
    <w:rsid w:val="008A652B"/>
    <w:rsid w:val="008B3FE9"/>
    <w:rsid w:val="008C0F79"/>
    <w:rsid w:val="00902E1F"/>
    <w:rsid w:val="0093257B"/>
    <w:rsid w:val="00943258"/>
    <w:rsid w:val="00944340"/>
    <w:rsid w:val="00946DFB"/>
    <w:rsid w:val="00956DDE"/>
    <w:rsid w:val="00964D68"/>
    <w:rsid w:val="00993D1D"/>
    <w:rsid w:val="009B56AD"/>
    <w:rsid w:val="009C24CC"/>
    <w:rsid w:val="009C3FEC"/>
    <w:rsid w:val="00A418A7"/>
    <w:rsid w:val="00A779A0"/>
    <w:rsid w:val="00AA33CB"/>
    <w:rsid w:val="00AB6EA1"/>
    <w:rsid w:val="00AC1D7B"/>
    <w:rsid w:val="00AC61BB"/>
    <w:rsid w:val="00B0390A"/>
    <w:rsid w:val="00B06E14"/>
    <w:rsid w:val="00B21FAD"/>
    <w:rsid w:val="00B31C37"/>
    <w:rsid w:val="00B367BB"/>
    <w:rsid w:val="00B61851"/>
    <w:rsid w:val="00BC0E3E"/>
    <w:rsid w:val="00BC446A"/>
    <w:rsid w:val="00BF2BC7"/>
    <w:rsid w:val="00C3325C"/>
    <w:rsid w:val="00C356A0"/>
    <w:rsid w:val="00C363D0"/>
    <w:rsid w:val="00C522F1"/>
    <w:rsid w:val="00C63888"/>
    <w:rsid w:val="00C66B14"/>
    <w:rsid w:val="00C73A8C"/>
    <w:rsid w:val="00C97205"/>
    <w:rsid w:val="00D05D29"/>
    <w:rsid w:val="00D533F2"/>
    <w:rsid w:val="00D65E09"/>
    <w:rsid w:val="00DA072B"/>
    <w:rsid w:val="00DC5F35"/>
    <w:rsid w:val="00DD22D5"/>
    <w:rsid w:val="00DE136A"/>
    <w:rsid w:val="00DF4DBC"/>
    <w:rsid w:val="00E16C03"/>
    <w:rsid w:val="00E2458B"/>
    <w:rsid w:val="00E418B5"/>
    <w:rsid w:val="00E641E2"/>
    <w:rsid w:val="00ED4A7C"/>
    <w:rsid w:val="00EE56AA"/>
    <w:rsid w:val="00F015F3"/>
    <w:rsid w:val="00F02328"/>
    <w:rsid w:val="00F2225E"/>
    <w:rsid w:val="00F24509"/>
    <w:rsid w:val="00F54563"/>
    <w:rsid w:val="00F64638"/>
    <w:rsid w:val="00F94926"/>
    <w:rsid w:val="00F96D49"/>
    <w:rsid w:val="00FF4550"/>
    <w:rsid w:val="00FF56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paragraph" w:styleId="NoSpacing">
    <w:name w:val="No Spacing"/>
    <w:uiPriority w:val="1"/>
    <w:qFormat/>
    <w:rsid w:val="00A418A7"/>
    <w:pPr>
      <w:spacing w:after="0" w:line="240" w:lineRule="auto"/>
    </w:pPr>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077E80"/>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80</cp:revision>
  <dcterms:created xsi:type="dcterms:W3CDTF">2024-11-21T07:39:00Z</dcterms:created>
  <dcterms:modified xsi:type="dcterms:W3CDTF">2024-11-29T12:42:00Z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