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1F6D7199" w14:textId="77777777" w:rsidR="00CC5B71" w:rsidRDefault="00CC5B71" w:rsidP="00CC5B71">
      <w:pPr>
        <w:jc w:val="center"/>
        <w:rPr>
          <w:szCs w:val="24"/>
        </w:rPr>
      </w:pPr>
      <w:r w:rsidRPr="007F06F1">
        <w:rPr>
          <w:b/>
          <w:caps/>
          <w:color w:val="000000" w:themeColor="text1"/>
          <w:sz w:val="22"/>
          <w:szCs w:val="22"/>
        </w:rPr>
        <w:t>Čekiškės mstl. Vyšnių g. (nuo sankryžos su Ateities g. iki Vyšnių g. 7 ir nuo sankryžos su valstybinės reikšmės rajoniniu keliu) vandentiekio tinklų remontas</w:t>
      </w:r>
    </w:p>
    <w:p w14:paraId="265B5CD3" w14:textId="77777777" w:rsidR="005544E1" w:rsidRDefault="005544E1"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A22"/>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44E1"/>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3C64"/>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65C6"/>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5B71"/>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56FC"/>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21</cp:revision>
  <cp:lastPrinted>2022-05-06T07:35:00Z</cp:lastPrinted>
  <dcterms:created xsi:type="dcterms:W3CDTF">2022-01-14T06:37:00Z</dcterms:created>
  <dcterms:modified xsi:type="dcterms:W3CDTF">2025-04-14T08:54:00Z</dcterms:modified>
</cp:coreProperties>
</file>