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0ADCD" w14:textId="77777777" w:rsidR="009A79E3" w:rsidRDefault="009A79E3" w:rsidP="00757711">
      <w:pPr>
        <w:jc w:val="center"/>
        <w:rPr>
          <w:rFonts w:ascii="Times New Roman" w:eastAsia="Times New Roman" w:hAnsi="Times New Roman" w:cs="Times New Roman"/>
          <w:b/>
          <w:bCs/>
          <w:caps/>
          <w:color w:val="000000"/>
          <w:sz w:val="24"/>
          <w:szCs w:val="24"/>
          <w:lang w:eastAsia="lt-LT"/>
        </w:rPr>
      </w:pPr>
      <w:r w:rsidRPr="009A79E3">
        <w:rPr>
          <w:rFonts w:ascii="Times New Roman" w:eastAsia="Times New Roman" w:hAnsi="Times New Roman" w:cs="Times New Roman"/>
          <w:b/>
          <w:bCs/>
          <w:caps/>
          <w:color w:val="000000"/>
          <w:sz w:val="24"/>
          <w:szCs w:val="24"/>
          <w:lang w:eastAsia="lt-LT"/>
        </w:rPr>
        <w:t>Stacionarūs (profesionalūs) kompiuteriai (Atviras konkursas)</w:t>
      </w:r>
    </w:p>
    <w:p w14:paraId="38926AD8" w14:textId="0091792A" w:rsidR="00757711" w:rsidRPr="0006301E" w:rsidRDefault="009A79E3" w:rsidP="00757711">
      <w:pPr>
        <w:jc w:val="center"/>
        <w:rPr>
          <w:rFonts w:ascii="Times New Roman" w:hAnsi="Times New Roman" w:cs="Times New Roman"/>
          <w:b/>
          <w:sz w:val="24"/>
          <w:szCs w:val="24"/>
        </w:rPr>
      </w:pPr>
      <w:r>
        <w:rPr>
          <w:rFonts w:ascii="Times New Roman" w:hAnsi="Times New Roman" w:cs="Times New Roman"/>
          <w:b/>
          <w:sz w:val="24"/>
          <w:szCs w:val="24"/>
        </w:rPr>
        <w:t>CVP ID</w:t>
      </w:r>
      <w:r w:rsidR="00757711" w:rsidRPr="0006301E">
        <w:rPr>
          <w:rFonts w:ascii="Times New Roman" w:hAnsi="Times New Roman" w:cs="Times New Roman"/>
          <w:b/>
          <w:sz w:val="24"/>
          <w:szCs w:val="24"/>
        </w:rPr>
        <w:t xml:space="preserve"> Nr. </w:t>
      </w:r>
      <w:r w:rsidRPr="009A79E3">
        <w:rPr>
          <w:rFonts w:ascii="Times New Roman" w:hAnsi="Times New Roman" w:cs="Times New Roman"/>
          <w:b/>
          <w:sz w:val="24"/>
          <w:szCs w:val="24"/>
        </w:rPr>
        <w:t>1881461</w:t>
      </w:r>
    </w:p>
    <w:tbl>
      <w:tblPr>
        <w:tblStyle w:val="TableGrid"/>
        <w:tblW w:w="14454" w:type="dxa"/>
        <w:tblLayout w:type="fixed"/>
        <w:tblLook w:val="04A0" w:firstRow="1" w:lastRow="0" w:firstColumn="1" w:lastColumn="0" w:noHBand="0" w:noVBand="1"/>
      </w:tblPr>
      <w:tblGrid>
        <w:gridCol w:w="1413"/>
        <w:gridCol w:w="6520"/>
        <w:gridCol w:w="6521"/>
      </w:tblGrid>
      <w:tr w:rsidR="009B10E2" w:rsidRPr="0006301E" w14:paraId="774B8C94" w14:textId="77777777" w:rsidTr="00C63691">
        <w:tc>
          <w:tcPr>
            <w:tcW w:w="1413" w:type="dxa"/>
            <w:shd w:val="clear" w:color="auto" w:fill="DEEAF6" w:themeFill="accent1" w:themeFillTint="33"/>
            <w:vAlign w:val="center"/>
          </w:tcPr>
          <w:p w14:paraId="6419B07E" w14:textId="77777777" w:rsidR="00757711" w:rsidRPr="0006301E" w:rsidRDefault="00757711" w:rsidP="00F15007">
            <w:pPr>
              <w:jc w:val="center"/>
              <w:rPr>
                <w:rFonts w:ascii="Times New Roman" w:eastAsia="Times New Roman" w:hAnsi="Times New Roman" w:cs="Times New Roman"/>
                <w:b/>
                <w:color w:val="000000" w:themeColor="text1"/>
                <w:sz w:val="24"/>
                <w:szCs w:val="24"/>
                <w:lang w:eastAsia="zh-CN"/>
              </w:rPr>
            </w:pPr>
            <w:r w:rsidRPr="0006301E">
              <w:rPr>
                <w:rFonts w:ascii="Times New Roman" w:eastAsia="Times New Roman" w:hAnsi="Times New Roman" w:cs="Times New Roman"/>
                <w:b/>
                <w:color w:val="000000" w:themeColor="text1"/>
                <w:sz w:val="24"/>
                <w:szCs w:val="24"/>
                <w:lang w:eastAsia="zh-CN"/>
              </w:rPr>
              <w:t>Pranešimo data ir numeris</w:t>
            </w:r>
          </w:p>
        </w:tc>
        <w:tc>
          <w:tcPr>
            <w:tcW w:w="6520" w:type="dxa"/>
            <w:shd w:val="clear" w:color="auto" w:fill="DEEAF6" w:themeFill="accent1" w:themeFillTint="33"/>
            <w:vAlign w:val="center"/>
          </w:tcPr>
          <w:p w14:paraId="4894AB50" w14:textId="77777777" w:rsidR="00757711" w:rsidRPr="0006301E" w:rsidRDefault="00757711" w:rsidP="00F15007">
            <w:pPr>
              <w:jc w:val="center"/>
              <w:rPr>
                <w:rFonts w:ascii="Times New Roman" w:eastAsia="Times New Roman" w:hAnsi="Times New Roman" w:cs="Times New Roman"/>
                <w:b/>
                <w:color w:val="000000" w:themeColor="text1"/>
                <w:sz w:val="24"/>
                <w:szCs w:val="24"/>
                <w:lang w:eastAsia="zh-CN"/>
              </w:rPr>
            </w:pPr>
            <w:r w:rsidRPr="0006301E">
              <w:rPr>
                <w:rFonts w:ascii="Times New Roman" w:eastAsia="Times New Roman" w:hAnsi="Times New Roman" w:cs="Times New Roman"/>
                <w:b/>
                <w:color w:val="000000" w:themeColor="text1"/>
                <w:sz w:val="24"/>
                <w:szCs w:val="24"/>
                <w:lang w:eastAsia="zh-CN"/>
              </w:rPr>
              <w:t>Tiekėjų klausimai/pastabos</w:t>
            </w:r>
          </w:p>
        </w:tc>
        <w:tc>
          <w:tcPr>
            <w:tcW w:w="6521" w:type="dxa"/>
            <w:shd w:val="clear" w:color="auto" w:fill="DEEAF6" w:themeFill="accent1" w:themeFillTint="33"/>
            <w:vAlign w:val="center"/>
          </w:tcPr>
          <w:p w14:paraId="0A7CF83A" w14:textId="77777777" w:rsidR="00757711" w:rsidRPr="0006301E" w:rsidRDefault="00757711" w:rsidP="00F15007">
            <w:pPr>
              <w:jc w:val="center"/>
              <w:rPr>
                <w:rFonts w:ascii="Times New Roman" w:eastAsia="Times New Roman" w:hAnsi="Times New Roman" w:cs="Times New Roman"/>
                <w:b/>
                <w:color w:val="000000" w:themeColor="text1"/>
                <w:sz w:val="24"/>
                <w:szCs w:val="24"/>
                <w:lang w:eastAsia="zh-CN"/>
              </w:rPr>
            </w:pPr>
            <w:r w:rsidRPr="0006301E">
              <w:rPr>
                <w:rFonts w:ascii="Times New Roman" w:eastAsia="Times New Roman" w:hAnsi="Times New Roman" w:cs="Times New Roman"/>
                <w:b/>
                <w:color w:val="000000" w:themeColor="text1"/>
                <w:sz w:val="24"/>
                <w:szCs w:val="24"/>
                <w:lang w:eastAsia="zh-CN"/>
              </w:rPr>
              <w:t>Perkančiosios organizacijos atsakymas</w:t>
            </w:r>
          </w:p>
        </w:tc>
      </w:tr>
      <w:tr w:rsidR="00CF00FB" w:rsidRPr="0006301E" w14:paraId="7A1A5E5B" w14:textId="77777777" w:rsidTr="00C63691">
        <w:tc>
          <w:tcPr>
            <w:tcW w:w="1413" w:type="dxa"/>
            <w:vMerge w:val="restart"/>
            <w:shd w:val="clear" w:color="auto" w:fill="auto"/>
          </w:tcPr>
          <w:p w14:paraId="20F6FC79" w14:textId="354DF27B" w:rsidR="00CF00FB" w:rsidRPr="00E412E2" w:rsidRDefault="00CF00FB" w:rsidP="00CF00FB">
            <w:pPr>
              <w:pStyle w:val="NormalWeb"/>
              <w:spacing w:before="0" w:beforeAutospacing="0" w:after="0" w:afterAutospacing="0"/>
              <w:rPr>
                <w:color w:val="000000" w:themeColor="text1"/>
                <w:lang w:eastAsia="zh-CN"/>
              </w:rPr>
            </w:pPr>
            <w:r w:rsidRPr="00E412E2">
              <w:rPr>
                <w:color w:val="000000" w:themeColor="text1"/>
                <w:lang w:eastAsia="zh-CN"/>
              </w:rPr>
              <w:t xml:space="preserve">2025-04-15 CVP IS ID </w:t>
            </w:r>
            <w:r w:rsidRPr="00E412E2">
              <w:rPr>
                <w:color w:val="000000"/>
              </w:rPr>
              <w:t>157812</w:t>
            </w:r>
          </w:p>
          <w:p w14:paraId="6450E85C" w14:textId="2B3C90E7" w:rsidR="00CF00FB" w:rsidRPr="0006301E" w:rsidRDefault="00CF00FB" w:rsidP="00CF00FB">
            <w:pP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 xml:space="preserve"> </w:t>
            </w:r>
          </w:p>
        </w:tc>
        <w:tc>
          <w:tcPr>
            <w:tcW w:w="6520" w:type="dxa"/>
            <w:shd w:val="clear" w:color="auto" w:fill="auto"/>
            <w:vAlign w:val="center"/>
          </w:tcPr>
          <w:p w14:paraId="0EEEF441" w14:textId="1AB995FB" w:rsidR="00CF00FB" w:rsidRPr="0006301E" w:rsidRDefault="00CF00FB" w:rsidP="00B417D2">
            <w:pPr>
              <w:jc w:val="both"/>
              <w:rPr>
                <w:rFonts w:ascii="Times New Roman" w:eastAsia="Times New Roman" w:hAnsi="Times New Roman" w:cs="Times New Roman"/>
                <w:b/>
                <w:color w:val="000000" w:themeColor="text1"/>
                <w:sz w:val="24"/>
                <w:szCs w:val="24"/>
                <w:lang w:eastAsia="zh-CN"/>
              </w:rPr>
            </w:pPr>
            <w:r w:rsidRPr="004B56D6">
              <w:rPr>
                <w:rFonts w:ascii="Times New Roman" w:hAnsi="Times New Roman" w:cs="Times New Roman"/>
                <w:b/>
              </w:rPr>
              <w:t xml:space="preserve">2 pirkimo dalis – </w:t>
            </w:r>
            <w:r w:rsidRPr="004B56D6">
              <w:rPr>
                <w:rFonts w:ascii="Times New Roman" w:eastAsia="Calibri" w:hAnsi="Times New Roman" w:cs="Times New Roman"/>
                <w:b/>
                <w:bCs/>
                <w:iCs/>
              </w:rPr>
              <w:t xml:space="preserve">Stacionarūs (profesionalūs) kompiuteriai“ </w:t>
            </w:r>
            <w:r w:rsidRPr="004B56D6">
              <w:rPr>
                <w:rFonts w:ascii="Times New Roman" w:eastAsia="Calibri" w:hAnsi="Times New Roman" w:cs="Times New Roman"/>
                <w:iCs/>
              </w:rPr>
              <w:t>1.1. dalies procesorių taškų. Techninėje specikacijoje jūs esate nurodę 59 300 taškus pagal „cpubenchmark“ tačiau šie taškai yra kintantis ir su laiku jie gali kristi. Jums darant rinkos konsultaciją STACIONARIŲ KOMPIUTERIŲ PIRKIMO RINKOS KONSULTACIJA (868191) 2025-01-31 taškų skaičius atitiko i9-14900k procesorių, tačiau kol buvo paskelbtas konkursas šio siūlomo procesoriaus tašku skaičius nukrito iki 59 101 (2025-04-15). Norint pasiekti 59 300 taškų skaičių su kitu procesoriumi, reikės siūlyti brangesnį variantą dėl kurio tiekėjai netilps į jūsų norimą biudžetą. Mūsų rekomendacija sumažinti taškų skaičių nemažiau nei 58 500.</w:t>
            </w:r>
          </w:p>
        </w:tc>
        <w:tc>
          <w:tcPr>
            <w:tcW w:w="6521" w:type="dxa"/>
            <w:vMerge w:val="restart"/>
            <w:shd w:val="clear" w:color="auto" w:fill="DEEAF6" w:themeFill="accent1" w:themeFillTint="33"/>
          </w:tcPr>
          <w:p w14:paraId="68B29390" w14:textId="6DFE5439" w:rsidR="00B417D2" w:rsidRPr="00B417D2" w:rsidRDefault="00B417D2" w:rsidP="00B417D2">
            <w:pPr>
              <w:spacing w:before="100" w:beforeAutospacing="1" w:after="100" w:afterAutospacing="1"/>
              <w:jc w:val="both"/>
              <w:rPr>
                <w:rFonts w:ascii="Times New Roman" w:eastAsia="Times New Roman" w:hAnsi="Times New Roman" w:cs="Times New Roman"/>
                <w:sz w:val="24"/>
                <w:szCs w:val="24"/>
                <w:lang w:eastAsia="lt-LT"/>
              </w:rPr>
            </w:pPr>
            <w:r>
              <w:rPr>
                <w:rFonts w:ascii="Times New Roman" w:eastAsia="Times New Roman" w:hAnsi="Times New Roman" w:cs="Times New Roman"/>
                <w:b/>
                <w:color w:val="000000" w:themeColor="text1"/>
                <w:sz w:val="24"/>
                <w:szCs w:val="24"/>
                <w:lang w:eastAsia="zh-CN"/>
              </w:rPr>
              <w:t xml:space="preserve">Perkančioji organizacija </w:t>
            </w:r>
            <w:r>
              <w:rPr>
                <w:rFonts w:ascii="Times New Roman" w:eastAsia="Times New Roman" w:hAnsi="Times New Roman" w:cs="Times New Roman"/>
                <w:color w:val="000000" w:themeColor="text1"/>
                <w:sz w:val="24"/>
                <w:szCs w:val="24"/>
                <w:lang w:eastAsia="zh-CN"/>
              </w:rPr>
              <w:t>Specialiųjų pirkimo sąlygų 2 priedo „Techninė specifikacija“</w:t>
            </w:r>
            <w:r w:rsidRPr="00CF00FB">
              <w:rPr>
                <w:rFonts w:ascii="Times New Roman" w:eastAsia="Times New Roman" w:hAnsi="Times New Roman" w:cs="Times New Roman"/>
                <w:color w:val="000000" w:themeColor="text1"/>
                <w:sz w:val="24"/>
                <w:szCs w:val="24"/>
                <w:lang w:eastAsia="zh-CN"/>
              </w:rPr>
              <w:t xml:space="preserve"> </w:t>
            </w:r>
            <w:r>
              <w:rPr>
                <w:rFonts w:ascii="Times New Roman" w:eastAsia="Times New Roman" w:hAnsi="Times New Roman" w:cs="Times New Roman"/>
                <w:color w:val="000000" w:themeColor="text1"/>
                <w:sz w:val="24"/>
                <w:szCs w:val="24"/>
                <w:lang w:eastAsia="zh-CN"/>
              </w:rPr>
              <w:t>2</w:t>
            </w:r>
            <w:r w:rsidRPr="00CF00FB">
              <w:rPr>
                <w:rFonts w:ascii="Times New Roman" w:eastAsia="Times New Roman" w:hAnsi="Times New Roman" w:cs="Times New Roman"/>
                <w:color w:val="000000" w:themeColor="text1"/>
                <w:sz w:val="24"/>
                <w:szCs w:val="24"/>
                <w:lang w:eastAsia="zh-CN"/>
              </w:rPr>
              <w:t xml:space="preserve"> pirkimo dalies „</w:t>
            </w:r>
            <w:r w:rsidRPr="00CF00FB">
              <w:rPr>
                <w:rFonts w:ascii="Times New Roman" w:eastAsia="Calibri" w:hAnsi="Times New Roman" w:cs="Times New Roman"/>
                <w:bCs/>
                <w:iCs/>
              </w:rPr>
              <w:t>Stacionarūs (profesionalus) kompiuteriai“</w:t>
            </w:r>
            <w:r>
              <w:rPr>
                <w:rFonts w:ascii="Times New Roman" w:eastAsia="Calibri" w:hAnsi="Times New Roman" w:cs="Times New Roman"/>
                <w:bCs/>
                <w:iCs/>
              </w:rPr>
              <w:t xml:space="preserve"> 1.1. p. ir 1.4. p.</w:t>
            </w:r>
            <w:r w:rsidRPr="00CF00FB">
              <w:rPr>
                <w:rFonts w:ascii="Times New Roman" w:eastAsia="Calibri" w:hAnsi="Times New Roman" w:cs="Times New Roman"/>
                <w:bCs/>
                <w:iCs/>
              </w:rPr>
              <w:t xml:space="preserve"> </w:t>
            </w:r>
            <w:r w:rsidRPr="00B417D2">
              <w:rPr>
                <w:rFonts w:ascii="Times New Roman" w:eastAsia="Times New Roman" w:hAnsi="Times New Roman" w:cs="Times New Roman"/>
                <w:sz w:val="24"/>
                <w:szCs w:val="24"/>
                <w:lang w:eastAsia="lt-LT"/>
              </w:rPr>
              <w:t>nurodyt</w:t>
            </w:r>
            <w:r w:rsidR="00957E2C">
              <w:rPr>
                <w:rFonts w:ascii="Times New Roman" w:eastAsia="Times New Roman" w:hAnsi="Times New Roman" w:cs="Times New Roman"/>
                <w:sz w:val="24"/>
                <w:szCs w:val="24"/>
                <w:lang w:eastAsia="lt-LT"/>
              </w:rPr>
              <w:t>us</w:t>
            </w:r>
            <w:r w:rsidRPr="00B417D2">
              <w:rPr>
                <w:rFonts w:ascii="Times New Roman" w:eastAsia="Times New Roman" w:hAnsi="Times New Roman" w:cs="Times New Roman"/>
                <w:sz w:val="24"/>
                <w:szCs w:val="24"/>
                <w:lang w:eastAsia="lt-LT"/>
              </w:rPr>
              <w:t xml:space="preserve"> minimal</w:t>
            </w:r>
            <w:r w:rsidR="00957E2C">
              <w:rPr>
                <w:rFonts w:ascii="Times New Roman" w:eastAsia="Times New Roman" w:hAnsi="Times New Roman" w:cs="Times New Roman"/>
                <w:sz w:val="24"/>
                <w:szCs w:val="24"/>
                <w:lang w:eastAsia="lt-LT"/>
              </w:rPr>
              <w:t>i</w:t>
            </w:r>
            <w:r w:rsidRPr="00B417D2">
              <w:rPr>
                <w:rFonts w:ascii="Times New Roman" w:eastAsia="Times New Roman" w:hAnsi="Times New Roman" w:cs="Times New Roman"/>
                <w:sz w:val="24"/>
                <w:szCs w:val="24"/>
                <w:lang w:eastAsia="lt-LT"/>
              </w:rPr>
              <w:t>us „cpubenchmark“ ir „videocardbenchmark“</w:t>
            </w:r>
            <w:r w:rsidRPr="00B417D2">
              <w:rPr>
                <w:rFonts w:ascii="Times New Roman" w:eastAsia="Calibri" w:hAnsi="Times New Roman" w:cs="Times New Roman"/>
                <w:iCs/>
                <w:sz w:val="24"/>
                <w:szCs w:val="24"/>
                <w:lang w:eastAsia="lt-LT"/>
              </w:rPr>
              <w:t xml:space="preserve"> </w:t>
            </w:r>
            <w:r w:rsidRPr="00B417D2">
              <w:rPr>
                <w:rFonts w:ascii="Times New Roman" w:eastAsia="Times New Roman" w:hAnsi="Times New Roman" w:cs="Times New Roman"/>
                <w:sz w:val="24"/>
                <w:szCs w:val="24"/>
                <w:lang w:eastAsia="lt-LT"/>
              </w:rPr>
              <w:t>taškų skaičius yra pagrįstas perkančiosios organizacijos poreikiais. Perkančioji organizacija pripažįsta, kad „cpubenchmark“ ir „videocardbenchmark“ reitingai gali kisti, tačiau pažymi, jog šie pokyčiai, kurie galėtų lemti biudžeto viršijimą, jos vertinimu, nesudaro pagrindo sumažinti taškų skaičiaus reikalavimo. Taškai vis dar yra pasiekiami su rinkoje esančiais modeliais.</w:t>
            </w:r>
          </w:p>
          <w:p w14:paraId="25D3F992" w14:textId="3184BEEB" w:rsidR="00B417D2" w:rsidRPr="00B417D2" w:rsidRDefault="00B417D2" w:rsidP="00B417D2">
            <w:pPr>
              <w:spacing w:before="100" w:beforeAutospacing="1" w:after="100" w:afterAutospacing="1"/>
              <w:jc w:val="both"/>
              <w:rPr>
                <w:rFonts w:ascii="Times New Roman" w:eastAsia="Times New Roman" w:hAnsi="Times New Roman" w:cs="Times New Roman"/>
                <w:sz w:val="24"/>
                <w:szCs w:val="24"/>
                <w:lang w:eastAsia="lt-LT"/>
              </w:rPr>
            </w:pPr>
            <w:r w:rsidRPr="00B417D2">
              <w:rPr>
                <w:rFonts w:ascii="Times New Roman" w:eastAsia="Times New Roman" w:hAnsi="Times New Roman" w:cs="Times New Roman"/>
                <w:sz w:val="24"/>
                <w:szCs w:val="24"/>
                <w:lang w:eastAsia="lt-LT"/>
              </w:rPr>
              <w:t>Atsižvelgiant į tai</w:t>
            </w:r>
            <w:r>
              <w:rPr>
                <w:rFonts w:ascii="Times New Roman" w:eastAsia="Times New Roman" w:hAnsi="Times New Roman" w:cs="Times New Roman"/>
                <w:sz w:val="24"/>
                <w:szCs w:val="24"/>
                <w:lang w:eastAsia="lt-LT"/>
              </w:rPr>
              <w:t xml:space="preserve"> perkančioji organizacija</w:t>
            </w:r>
            <w:r w:rsidRPr="00B417D2">
              <w:rPr>
                <w:rFonts w:ascii="Times New Roman" w:eastAsia="Times New Roman" w:hAnsi="Times New Roman" w:cs="Times New Roman"/>
                <w:sz w:val="24"/>
                <w:szCs w:val="24"/>
                <w:lang w:eastAsia="lt-LT"/>
              </w:rPr>
              <w:t xml:space="preserve">, </w:t>
            </w:r>
            <w:r w:rsidR="00957E2C">
              <w:rPr>
                <w:rFonts w:ascii="Times New Roman" w:eastAsia="Times New Roman" w:hAnsi="Times New Roman" w:cs="Times New Roman"/>
                <w:color w:val="000000" w:themeColor="text1"/>
                <w:sz w:val="24"/>
                <w:szCs w:val="24"/>
                <w:lang w:eastAsia="zh-CN"/>
              </w:rPr>
              <w:t>Specialiųjų pirkimo sąlygų 2 priedo „Techninė specifikacija“</w:t>
            </w:r>
            <w:r w:rsidR="00957E2C" w:rsidRPr="00CF00FB">
              <w:rPr>
                <w:rFonts w:ascii="Times New Roman" w:eastAsia="Times New Roman" w:hAnsi="Times New Roman" w:cs="Times New Roman"/>
                <w:color w:val="000000" w:themeColor="text1"/>
                <w:sz w:val="24"/>
                <w:szCs w:val="24"/>
                <w:lang w:eastAsia="zh-CN"/>
              </w:rPr>
              <w:t xml:space="preserve"> </w:t>
            </w:r>
            <w:r w:rsidR="00957E2C">
              <w:rPr>
                <w:rFonts w:ascii="Times New Roman" w:eastAsia="Times New Roman" w:hAnsi="Times New Roman" w:cs="Times New Roman"/>
                <w:color w:val="000000" w:themeColor="text1"/>
                <w:sz w:val="24"/>
                <w:szCs w:val="24"/>
                <w:lang w:eastAsia="zh-CN"/>
              </w:rPr>
              <w:t>2</w:t>
            </w:r>
            <w:r w:rsidR="00957E2C" w:rsidRPr="00CF00FB">
              <w:rPr>
                <w:rFonts w:ascii="Times New Roman" w:eastAsia="Times New Roman" w:hAnsi="Times New Roman" w:cs="Times New Roman"/>
                <w:color w:val="000000" w:themeColor="text1"/>
                <w:sz w:val="24"/>
                <w:szCs w:val="24"/>
                <w:lang w:eastAsia="zh-CN"/>
              </w:rPr>
              <w:t xml:space="preserve"> pirkimo dalies</w:t>
            </w:r>
            <w:r w:rsidRPr="00B417D2">
              <w:rPr>
                <w:rFonts w:ascii="Times New Roman" w:eastAsia="Times New Roman" w:hAnsi="Times New Roman" w:cs="Times New Roman"/>
                <w:sz w:val="24"/>
                <w:szCs w:val="24"/>
                <w:lang w:eastAsia="lt-LT"/>
              </w:rPr>
              <w:t xml:space="preserve"> 1.1 ir 1.4 punktų techniniai reikalavimai nekeičiami.</w:t>
            </w:r>
          </w:p>
          <w:p w14:paraId="001D2B7F" w14:textId="74387116" w:rsidR="00CF00FB" w:rsidRPr="0006301E" w:rsidRDefault="00CF00FB" w:rsidP="00CF00FB">
            <w:pPr>
              <w:rPr>
                <w:rFonts w:ascii="Times New Roman" w:eastAsia="Times New Roman" w:hAnsi="Times New Roman" w:cs="Times New Roman"/>
                <w:b/>
                <w:color w:val="000000" w:themeColor="text1"/>
                <w:sz w:val="24"/>
                <w:szCs w:val="24"/>
                <w:lang w:eastAsia="zh-CN"/>
              </w:rPr>
            </w:pPr>
          </w:p>
        </w:tc>
      </w:tr>
      <w:tr w:rsidR="00CF00FB" w:rsidRPr="0006301E" w14:paraId="6CC47BC5" w14:textId="77777777" w:rsidTr="00C63691">
        <w:tc>
          <w:tcPr>
            <w:tcW w:w="1413" w:type="dxa"/>
            <w:vMerge/>
            <w:shd w:val="clear" w:color="auto" w:fill="auto"/>
            <w:vAlign w:val="center"/>
          </w:tcPr>
          <w:p w14:paraId="44A6EF55" w14:textId="77777777" w:rsidR="00CF00FB" w:rsidRPr="0006301E" w:rsidRDefault="00CF00FB" w:rsidP="00CF00FB">
            <w:pPr>
              <w:jc w:val="center"/>
              <w:rPr>
                <w:rFonts w:ascii="Times New Roman" w:eastAsia="Times New Roman" w:hAnsi="Times New Roman" w:cs="Times New Roman"/>
                <w:b/>
                <w:color w:val="000000" w:themeColor="text1"/>
                <w:sz w:val="24"/>
                <w:szCs w:val="24"/>
                <w:lang w:eastAsia="zh-CN"/>
              </w:rPr>
            </w:pPr>
          </w:p>
        </w:tc>
        <w:tc>
          <w:tcPr>
            <w:tcW w:w="6520" w:type="dxa"/>
            <w:shd w:val="clear" w:color="auto" w:fill="auto"/>
            <w:vAlign w:val="center"/>
          </w:tcPr>
          <w:p w14:paraId="3358B129" w14:textId="77777777" w:rsidR="00CF00FB" w:rsidRPr="00E412E2" w:rsidRDefault="00CF00FB" w:rsidP="00B417D2">
            <w:pPr>
              <w:jc w:val="both"/>
              <w:rPr>
                <w:rFonts w:ascii="Times New Roman" w:eastAsia="Calibri" w:hAnsi="Times New Roman" w:cs="Times New Roman"/>
                <w:iCs/>
                <w:kern w:val="2"/>
                <w14:ligatures w14:val="standardContextual"/>
              </w:rPr>
            </w:pPr>
            <w:r w:rsidRPr="00E412E2">
              <w:rPr>
                <w:rFonts w:ascii="Times New Roman" w:eastAsia="Aptos" w:hAnsi="Times New Roman" w:cs="Times New Roman"/>
                <w:b/>
                <w:kern w:val="2"/>
                <w14:ligatures w14:val="standardContextual"/>
              </w:rPr>
              <w:t xml:space="preserve">Dėl techininių specifikacijų „2 pirkimo dalis – </w:t>
            </w:r>
            <w:r w:rsidRPr="00E412E2">
              <w:rPr>
                <w:rFonts w:ascii="Times New Roman" w:eastAsia="Calibri" w:hAnsi="Times New Roman" w:cs="Times New Roman"/>
                <w:b/>
                <w:bCs/>
                <w:iCs/>
                <w:kern w:val="2"/>
                <w14:ligatures w14:val="standardContextual"/>
              </w:rPr>
              <w:t xml:space="preserve">Stacionarūs (profesionalūs) kompiuteriai“ </w:t>
            </w:r>
            <w:r w:rsidRPr="00E412E2">
              <w:rPr>
                <w:rFonts w:ascii="Times New Roman" w:eastAsia="Calibri" w:hAnsi="Times New Roman" w:cs="Times New Roman"/>
                <w:iCs/>
                <w:kern w:val="2"/>
                <w14:ligatures w14:val="standardContextual"/>
              </w:rPr>
              <w:t xml:space="preserve">1.4. dalies vaizdo plokštės taškų skaičiaus. Techninėje specikacijoje jūs esate nurodę 24700 taškus pagal „videocardbenchmark“ tačiau šie taškai yra kintantis ir su laiku jie gali kristi. Jums darant rinkos konsultaciją STACIONARIŲ KOMPIUTERIŲ PIRKIMO RINKOS KONSULTACIJA (868191) 2025-01-31 taškų skaičius atitiko RTX 4000 ADA vaizdo plokštę, tačiau kol buvo paskelbtas konkursas šios siūlomos vaizdo plokštės tašku skaičius nukrito iki 23734 (2025-04-15). Norint pasiekti 24700 taškų skaičių su kita vaizdo plokštę, reikės siūlyti brangesnį variantą dėl kurios tiekėjai netilps į jūsų norimą biudžetą. Mūsų rekomendacija sumažinti taškų skaičių nemažiau nei 23500. </w:t>
            </w:r>
          </w:p>
          <w:p w14:paraId="53385C9B" w14:textId="77777777" w:rsidR="00CF00FB" w:rsidRPr="0006301E" w:rsidRDefault="00CF00FB" w:rsidP="00B417D2">
            <w:pPr>
              <w:jc w:val="both"/>
              <w:rPr>
                <w:rFonts w:ascii="Times New Roman" w:eastAsia="Times New Roman" w:hAnsi="Times New Roman" w:cs="Times New Roman"/>
                <w:b/>
                <w:color w:val="000000" w:themeColor="text1"/>
                <w:sz w:val="24"/>
                <w:szCs w:val="24"/>
                <w:lang w:eastAsia="zh-CN"/>
              </w:rPr>
            </w:pPr>
          </w:p>
        </w:tc>
        <w:tc>
          <w:tcPr>
            <w:tcW w:w="6521" w:type="dxa"/>
            <w:vMerge/>
            <w:shd w:val="clear" w:color="auto" w:fill="DEEAF6" w:themeFill="accent1" w:themeFillTint="33"/>
            <w:vAlign w:val="center"/>
          </w:tcPr>
          <w:p w14:paraId="34459727" w14:textId="77777777" w:rsidR="00CF00FB" w:rsidRPr="0006301E" w:rsidRDefault="00CF00FB" w:rsidP="00E412E2">
            <w:pPr>
              <w:rPr>
                <w:rFonts w:ascii="Times New Roman" w:eastAsia="Times New Roman" w:hAnsi="Times New Roman" w:cs="Times New Roman"/>
                <w:b/>
                <w:color w:val="000000" w:themeColor="text1"/>
                <w:sz w:val="24"/>
                <w:szCs w:val="24"/>
                <w:lang w:eastAsia="zh-CN"/>
              </w:rPr>
            </w:pPr>
          </w:p>
        </w:tc>
      </w:tr>
      <w:tr w:rsidR="00CF00FB" w:rsidRPr="0006301E" w14:paraId="507E0041" w14:textId="77777777" w:rsidTr="00C63691">
        <w:tc>
          <w:tcPr>
            <w:tcW w:w="1413" w:type="dxa"/>
            <w:vMerge/>
            <w:shd w:val="clear" w:color="auto" w:fill="auto"/>
            <w:vAlign w:val="center"/>
          </w:tcPr>
          <w:p w14:paraId="5E45BC76" w14:textId="77777777" w:rsidR="00CF00FB" w:rsidRPr="0006301E" w:rsidRDefault="00CF00FB" w:rsidP="00CF00FB">
            <w:pPr>
              <w:jc w:val="center"/>
              <w:rPr>
                <w:rFonts w:ascii="Times New Roman" w:eastAsia="Times New Roman" w:hAnsi="Times New Roman" w:cs="Times New Roman"/>
                <w:b/>
                <w:color w:val="000000" w:themeColor="text1"/>
                <w:sz w:val="24"/>
                <w:szCs w:val="24"/>
                <w:lang w:eastAsia="zh-CN"/>
              </w:rPr>
            </w:pPr>
          </w:p>
        </w:tc>
        <w:tc>
          <w:tcPr>
            <w:tcW w:w="6520" w:type="dxa"/>
            <w:shd w:val="clear" w:color="auto" w:fill="auto"/>
            <w:vAlign w:val="center"/>
          </w:tcPr>
          <w:p w14:paraId="40B30B88" w14:textId="77777777" w:rsidR="00CF00FB" w:rsidRPr="004B56D6" w:rsidRDefault="00CF00FB" w:rsidP="00B417D2">
            <w:pPr>
              <w:widowControl w:val="0"/>
              <w:contextualSpacing/>
              <w:jc w:val="both"/>
              <w:rPr>
                <w:rFonts w:ascii="Times New Roman" w:eastAsia="Calibri" w:hAnsi="Times New Roman" w:cs="Times New Roman"/>
                <w:b/>
                <w:bCs/>
                <w:iCs/>
              </w:rPr>
            </w:pPr>
            <w:r w:rsidRPr="004B56D6">
              <w:rPr>
                <w:rFonts w:ascii="Times New Roman" w:eastAsia="Calibri" w:hAnsi="Times New Roman" w:cs="Times New Roman"/>
                <w:iCs/>
              </w:rPr>
              <w:t xml:space="preserve">Patikslinkite dėl techininių specifikacijų 1.17 punkto  </w:t>
            </w:r>
            <w:r w:rsidRPr="004B56D6">
              <w:rPr>
                <w:rFonts w:ascii="Times New Roman" w:hAnsi="Times New Roman" w:cs="Times New Roman"/>
                <w:b/>
              </w:rPr>
              <w:t xml:space="preserve">1 pirkimo dalis – </w:t>
            </w:r>
            <w:r w:rsidRPr="004B56D6">
              <w:rPr>
                <w:rFonts w:ascii="Times New Roman" w:eastAsia="Calibri" w:hAnsi="Times New Roman" w:cs="Times New Roman"/>
                <w:b/>
                <w:bCs/>
                <w:iCs/>
              </w:rPr>
              <w:t>Stacionarūs (profesionalus) kompiuteriai</w:t>
            </w:r>
            <w:r w:rsidRPr="004B56D6">
              <w:rPr>
                <w:rFonts w:ascii="Times New Roman" w:hAnsi="Times New Roman" w:cs="Times New Roman"/>
                <w:b/>
              </w:rPr>
              <w:t>:</w:t>
            </w:r>
          </w:p>
          <w:p w14:paraId="2FCE4663" w14:textId="77777777" w:rsidR="00CF00FB" w:rsidRPr="004B56D6" w:rsidRDefault="00CF00FB" w:rsidP="00B417D2">
            <w:pPr>
              <w:jc w:val="both"/>
              <w:textAlignment w:val="baseline"/>
              <w:rPr>
                <w:rFonts w:ascii="Times New Roman" w:hAnsi="Times New Roman" w:cs="Times New Roman"/>
              </w:rPr>
            </w:pPr>
            <w:r w:rsidRPr="004B56D6">
              <w:rPr>
                <w:rFonts w:ascii="Times New Roman" w:eastAsia="Calibri" w:hAnsi="Times New Roman" w:cs="Times New Roman"/>
                <w:iCs/>
                <w:lang w:val="en-US"/>
              </w:rPr>
              <w:t>“</w:t>
            </w:r>
            <w:r w:rsidRPr="004B56D6">
              <w:rPr>
                <w:rFonts w:ascii="Times New Roman" w:hAnsi="Times New Roman" w:cs="Times New Roman"/>
              </w:rPr>
              <w:t>Turi būti gamintojo interneto svetainės (ar lygiaverčiu principu paremta) vieta su galimybe atnaujinti siūlomo modelio BIOS, įrenginių tvarkykles ir programinę įrangą. </w:t>
            </w:r>
          </w:p>
          <w:p w14:paraId="176EFF9C" w14:textId="77777777" w:rsidR="00CF00FB" w:rsidRPr="004B56D6" w:rsidRDefault="00CF00FB" w:rsidP="00B417D2">
            <w:pPr>
              <w:jc w:val="both"/>
              <w:rPr>
                <w:rFonts w:ascii="Times New Roman" w:hAnsi="Times New Roman" w:cs="Times New Roman"/>
              </w:rPr>
            </w:pPr>
            <w:r w:rsidRPr="004B56D6">
              <w:rPr>
                <w:rFonts w:ascii="Times New Roman" w:hAnsi="Times New Roman" w:cs="Times New Roman"/>
              </w:rPr>
              <w:lastRenderedPageBreak/>
              <w:t>Visos tvarkyklės turi būti prieinamos kompiuterio gamintojo tinklapyje.“</w:t>
            </w:r>
          </w:p>
          <w:p w14:paraId="5DBCCEB1" w14:textId="77777777" w:rsidR="00CF00FB" w:rsidRPr="004B56D6" w:rsidRDefault="00CF00FB" w:rsidP="00B417D2">
            <w:pPr>
              <w:widowControl w:val="0"/>
              <w:ind w:firstLine="567"/>
              <w:contextualSpacing/>
              <w:jc w:val="both"/>
              <w:rPr>
                <w:rFonts w:ascii="Times New Roman" w:eastAsia="Calibri" w:hAnsi="Times New Roman" w:cs="Times New Roman"/>
                <w:b/>
                <w:bCs/>
                <w:iCs/>
              </w:rPr>
            </w:pPr>
            <w:r w:rsidRPr="004B56D6">
              <w:rPr>
                <w:rFonts w:ascii="Times New Roman" w:hAnsi="Times New Roman" w:cs="Times New Roman"/>
              </w:rPr>
              <w:t xml:space="preserve">1.18 punkto </w:t>
            </w:r>
            <w:r w:rsidRPr="004B56D6">
              <w:rPr>
                <w:rFonts w:ascii="Times New Roman" w:hAnsi="Times New Roman" w:cs="Times New Roman"/>
                <w:b/>
              </w:rPr>
              <w:t xml:space="preserve">2 pirkimo dalis – </w:t>
            </w:r>
            <w:r w:rsidRPr="004B56D6">
              <w:rPr>
                <w:rFonts w:ascii="Times New Roman" w:eastAsia="Calibri" w:hAnsi="Times New Roman" w:cs="Times New Roman"/>
                <w:b/>
                <w:bCs/>
                <w:iCs/>
              </w:rPr>
              <w:t>Stacionarūs (profesionalūs) kompiuteriai</w:t>
            </w:r>
            <w:r w:rsidRPr="004B56D6">
              <w:rPr>
                <w:rFonts w:ascii="Times New Roman" w:hAnsi="Times New Roman" w:cs="Times New Roman"/>
                <w:b/>
              </w:rPr>
              <w:t>:</w:t>
            </w:r>
          </w:p>
          <w:p w14:paraId="2F523AC9" w14:textId="77777777" w:rsidR="00CF00FB" w:rsidRPr="004B56D6" w:rsidRDefault="00CF00FB" w:rsidP="00B417D2">
            <w:pPr>
              <w:jc w:val="both"/>
              <w:textAlignment w:val="baseline"/>
              <w:rPr>
                <w:rFonts w:ascii="Times New Roman" w:hAnsi="Times New Roman" w:cs="Times New Roman"/>
              </w:rPr>
            </w:pPr>
            <w:r w:rsidRPr="004B56D6">
              <w:rPr>
                <w:rFonts w:ascii="Times New Roman" w:eastAsia="Calibri" w:hAnsi="Times New Roman" w:cs="Times New Roman"/>
                <w:iCs/>
              </w:rPr>
              <w:t>„</w:t>
            </w:r>
            <w:r w:rsidRPr="004B56D6">
              <w:rPr>
                <w:rFonts w:ascii="Times New Roman" w:hAnsi="Times New Roman" w:cs="Times New Roman"/>
              </w:rPr>
              <w:t>Turi būti gamintojo interneto svetainės (ar lygiaverčiu principu paremta) vieta su galimybe atnaujinti siūlomo modelio BIOS, įrenginių tvarkykles ir programinę įrangą. </w:t>
            </w:r>
          </w:p>
          <w:p w14:paraId="345BDB60" w14:textId="0731649F" w:rsidR="00CF00FB" w:rsidRPr="00E412E2" w:rsidRDefault="00CF00FB" w:rsidP="00B417D2">
            <w:pPr>
              <w:jc w:val="both"/>
              <w:rPr>
                <w:rFonts w:ascii="Times New Roman" w:eastAsia="Calibri" w:hAnsi="Times New Roman" w:cs="Times New Roman"/>
                <w:iCs/>
                <w:lang w:val="en-US"/>
              </w:rPr>
            </w:pPr>
            <w:r w:rsidRPr="004B56D6">
              <w:rPr>
                <w:rFonts w:ascii="Times New Roman" w:hAnsi="Times New Roman" w:cs="Times New Roman"/>
              </w:rPr>
              <w:t>Visos tvarkyklės turi būti prieinamos kompiuterio gamintojo tinklapyje, paieška turi būti</w:t>
            </w:r>
            <w:r>
              <w:rPr>
                <w:rFonts w:ascii="Times New Roman" w:hAnsi="Times New Roman" w:cs="Times New Roman"/>
              </w:rPr>
              <w:t xml:space="preserve"> vykdoma pagal produkto kodą. „Aprašymas abiejų punktų panašus tik pirmoje dalyje trūksta pagal antrą dalį šio aprašymo: „</w:t>
            </w:r>
            <w:r w:rsidRPr="004B56D6">
              <w:rPr>
                <w:rFonts w:ascii="Times New Roman" w:hAnsi="Times New Roman" w:cs="Times New Roman"/>
              </w:rPr>
              <w:t>paieška turi būti vykdoma pagal produkto kodą</w:t>
            </w:r>
            <w:r>
              <w:rPr>
                <w:rFonts w:ascii="Times New Roman" w:hAnsi="Times New Roman" w:cs="Times New Roman"/>
              </w:rPr>
              <w:t xml:space="preserve">“. Gal galite patikslinti šią vietą dėl 1.17 ir 1.18 punktų? </w:t>
            </w:r>
          </w:p>
        </w:tc>
        <w:tc>
          <w:tcPr>
            <w:tcW w:w="6521" w:type="dxa"/>
            <w:shd w:val="clear" w:color="auto" w:fill="DEEAF6" w:themeFill="accent1" w:themeFillTint="33"/>
            <w:vAlign w:val="center"/>
          </w:tcPr>
          <w:p w14:paraId="07154F0C" w14:textId="20C51424" w:rsidR="00CF00FB" w:rsidRPr="00CF00FB" w:rsidRDefault="00CF00FB" w:rsidP="00CF00FB">
            <w:pPr>
              <w:jc w:val="both"/>
              <w:rPr>
                <w:rFonts w:ascii="Times New Roman" w:eastAsia="Calibri" w:hAnsi="Times New Roman" w:cs="Times New Roman"/>
                <w:bCs/>
                <w:i/>
                <w:iCs/>
              </w:rPr>
            </w:pPr>
            <w:r w:rsidRPr="00CF00FB">
              <w:rPr>
                <w:rFonts w:ascii="Times New Roman" w:eastAsia="Times New Roman" w:hAnsi="Times New Roman" w:cs="Times New Roman"/>
                <w:color w:val="000000" w:themeColor="text1"/>
                <w:sz w:val="24"/>
                <w:szCs w:val="24"/>
                <w:lang w:eastAsia="zh-CN"/>
              </w:rPr>
              <w:lastRenderedPageBreak/>
              <w:t xml:space="preserve">Perkančioji organizacija, dėkoja už pastebėjimą ir paaiškina, kad dėl techninės klaidos pirmame punkte buvo praleista sakinio dalis. Siekiant išlaikyti turinio </w:t>
            </w:r>
            <w:r>
              <w:rPr>
                <w:rFonts w:ascii="Times New Roman" w:eastAsia="Times New Roman" w:hAnsi="Times New Roman" w:cs="Times New Roman"/>
                <w:color w:val="000000" w:themeColor="text1"/>
                <w:sz w:val="24"/>
                <w:szCs w:val="24"/>
                <w:lang w:eastAsia="zh-CN"/>
              </w:rPr>
              <w:t>informatyvumą</w:t>
            </w:r>
            <w:r w:rsidRPr="00CF00FB">
              <w:rPr>
                <w:rFonts w:ascii="Times New Roman" w:eastAsia="Times New Roman" w:hAnsi="Times New Roman" w:cs="Times New Roman"/>
                <w:color w:val="000000" w:themeColor="text1"/>
                <w:sz w:val="24"/>
                <w:szCs w:val="24"/>
                <w:lang w:eastAsia="zh-CN"/>
              </w:rPr>
              <w:t>, perkančioji organizacija patikslina</w:t>
            </w:r>
            <w:r>
              <w:rPr>
                <w:rFonts w:ascii="Times New Roman" w:eastAsia="Times New Roman" w:hAnsi="Times New Roman" w:cs="Times New Roman"/>
                <w:color w:val="000000" w:themeColor="text1"/>
                <w:sz w:val="24"/>
                <w:szCs w:val="24"/>
                <w:lang w:eastAsia="zh-CN"/>
              </w:rPr>
              <w:t xml:space="preserve"> Specialiųjų pirkimo sąlygų 2 priedo „Techninė specifikacija“</w:t>
            </w:r>
            <w:r w:rsidRPr="00CF00FB">
              <w:rPr>
                <w:rFonts w:ascii="Times New Roman" w:eastAsia="Times New Roman" w:hAnsi="Times New Roman" w:cs="Times New Roman"/>
                <w:color w:val="000000" w:themeColor="text1"/>
                <w:sz w:val="24"/>
                <w:szCs w:val="24"/>
                <w:lang w:eastAsia="zh-CN"/>
              </w:rPr>
              <w:t xml:space="preserve"> 1 pirkimo dalies „</w:t>
            </w:r>
            <w:r w:rsidRPr="00CF00FB">
              <w:rPr>
                <w:rFonts w:ascii="Times New Roman" w:eastAsia="Calibri" w:hAnsi="Times New Roman" w:cs="Times New Roman"/>
                <w:bCs/>
                <w:iCs/>
              </w:rPr>
              <w:t xml:space="preserve">Stacionarūs (profesionalus) kompiuteriai“ 1.17 p. ir išdėsto taip </w:t>
            </w:r>
            <w:r w:rsidRPr="00CF00FB">
              <w:rPr>
                <w:rFonts w:ascii="Times New Roman" w:eastAsia="Calibri" w:hAnsi="Times New Roman" w:cs="Times New Roman"/>
                <w:bCs/>
                <w:i/>
                <w:iCs/>
              </w:rPr>
              <w:t xml:space="preserve">„El. Nr. 1.17. Turi būti gamintojo </w:t>
            </w:r>
            <w:r w:rsidRPr="00CF00FB">
              <w:rPr>
                <w:rFonts w:ascii="Times New Roman" w:eastAsia="Calibri" w:hAnsi="Times New Roman" w:cs="Times New Roman"/>
                <w:bCs/>
                <w:i/>
                <w:iCs/>
              </w:rPr>
              <w:lastRenderedPageBreak/>
              <w:t>interneto svetainės (ar lygiaverčiu principu paremta) vieta su galimybe atnaujinti siūlomo modelio BIOS, įrenginių tvarkykles ir programinę įrangą. </w:t>
            </w:r>
          </w:p>
          <w:p w14:paraId="16B576B4" w14:textId="1D9DAF41" w:rsidR="00CF00FB" w:rsidRPr="004F670E" w:rsidRDefault="00CF00FB" w:rsidP="00CF00FB">
            <w:pPr>
              <w:jc w:val="both"/>
              <w:rPr>
                <w:rFonts w:ascii="Times New Roman" w:eastAsia="Calibri" w:hAnsi="Times New Roman" w:cs="Times New Roman"/>
                <w:bCs/>
                <w:iCs/>
                <w:color w:val="0070C0"/>
              </w:rPr>
            </w:pPr>
            <w:r w:rsidRPr="00CF00FB">
              <w:rPr>
                <w:rFonts w:ascii="Times New Roman" w:eastAsia="Calibri" w:hAnsi="Times New Roman" w:cs="Times New Roman"/>
                <w:bCs/>
                <w:i/>
                <w:iCs/>
              </w:rPr>
              <w:t>Visos tvarkyklės turi būti prieinamos kompiuterio gamintojo tinklapyje</w:t>
            </w:r>
            <w:r w:rsidRPr="004F670E">
              <w:rPr>
                <w:rFonts w:ascii="Times New Roman" w:eastAsia="Calibri" w:hAnsi="Times New Roman" w:cs="Times New Roman"/>
                <w:bCs/>
                <w:i/>
                <w:iCs/>
                <w:color w:val="0070C0"/>
              </w:rPr>
              <w:t>, paieška turi būti vykdoma pagal produkto kodą.“</w:t>
            </w:r>
          </w:p>
          <w:p w14:paraId="45590537" w14:textId="0329D617" w:rsidR="00CF00FB" w:rsidRDefault="00CF00FB" w:rsidP="00CF00FB">
            <w:pPr>
              <w:rPr>
                <w:rFonts w:ascii="Times New Roman" w:eastAsia="Calibri" w:hAnsi="Times New Roman" w:cs="Times New Roman"/>
                <w:b/>
                <w:bCs/>
                <w:iCs/>
              </w:rPr>
            </w:pPr>
          </w:p>
          <w:p w14:paraId="42FBC9EA" w14:textId="1FC7914F" w:rsidR="00CF00FB" w:rsidRPr="004F670E" w:rsidRDefault="00CF00FB" w:rsidP="004F670E">
            <w:pPr>
              <w:jc w:val="both"/>
              <w:rPr>
                <w:rFonts w:ascii="Times New Roman" w:eastAsia="Times New Roman" w:hAnsi="Times New Roman" w:cs="Times New Roman"/>
                <w:b/>
                <w:i/>
                <w:color w:val="000000" w:themeColor="text1"/>
                <w:sz w:val="24"/>
                <w:szCs w:val="24"/>
                <w:lang w:eastAsia="zh-CN"/>
              </w:rPr>
            </w:pPr>
            <w:r w:rsidRPr="004F670E">
              <w:rPr>
                <w:rFonts w:ascii="Times New Roman" w:eastAsia="Times New Roman" w:hAnsi="Times New Roman" w:cs="Times New Roman"/>
                <w:b/>
                <w:i/>
                <w:color w:val="000000" w:themeColor="text1"/>
                <w:sz w:val="24"/>
                <w:szCs w:val="24"/>
                <w:lang w:eastAsia="zh-CN"/>
              </w:rPr>
              <w:t>Pridedamos 2025-04-23 atnaujintos Specialiosios pirkimo sąlygos</w:t>
            </w:r>
            <w:r w:rsidR="004F670E" w:rsidRPr="004F670E">
              <w:rPr>
                <w:rFonts w:ascii="Times New Roman" w:eastAsia="Times New Roman" w:hAnsi="Times New Roman" w:cs="Times New Roman"/>
                <w:b/>
                <w:i/>
                <w:color w:val="000000" w:themeColor="text1"/>
                <w:sz w:val="24"/>
                <w:szCs w:val="24"/>
                <w:lang w:eastAsia="zh-CN"/>
              </w:rPr>
              <w:t xml:space="preserve"> (patikslintas tik </w:t>
            </w:r>
            <w:r w:rsidR="004F670E" w:rsidRPr="004F670E">
              <w:rPr>
                <w:rFonts w:ascii="Times New Roman" w:eastAsia="Times New Roman" w:hAnsi="Times New Roman" w:cs="Times New Roman"/>
                <w:b/>
                <w:i/>
                <w:color w:val="000000" w:themeColor="text1"/>
                <w:sz w:val="24"/>
                <w:szCs w:val="24"/>
                <w:lang w:eastAsia="zh-CN"/>
              </w:rPr>
              <w:t>Specialiųjų pirkimo sąlygų 2 priedo „Techninė specifikacija“ 1 pirkimo dalies „</w:t>
            </w:r>
            <w:r w:rsidR="004F670E" w:rsidRPr="004F670E">
              <w:rPr>
                <w:rFonts w:ascii="Times New Roman" w:eastAsia="Calibri" w:hAnsi="Times New Roman" w:cs="Times New Roman"/>
                <w:b/>
                <w:bCs/>
                <w:i/>
                <w:iCs/>
              </w:rPr>
              <w:t>Stacionarūs (profesionalus) kompiuteriai“ 1.17 p.</w:t>
            </w:r>
            <w:r w:rsidR="004F670E" w:rsidRPr="004F670E">
              <w:rPr>
                <w:rFonts w:ascii="Times New Roman" w:eastAsia="Times New Roman" w:hAnsi="Times New Roman" w:cs="Times New Roman"/>
                <w:b/>
                <w:i/>
                <w:color w:val="000000" w:themeColor="text1"/>
                <w:sz w:val="24"/>
                <w:szCs w:val="24"/>
                <w:lang w:eastAsia="zh-CN"/>
              </w:rPr>
              <w:t>)</w:t>
            </w:r>
            <w:r w:rsidR="004F670E">
              <w:rPr>
                <w:rFonts w:ascii="Times New Roman" w:eastAsia="Times New Roman" w:hAnsi="Times New Roman" w:cs="Times New Roman"/>
                <w:b/>
                <w:i/>
                <w:color w:val="000000" w:themeColor="text1"/>
                <w:sz w:val="24"/>
                <w:szCs w:val="24"/>
                <w:lang w:eastAsia="zh-CN"/>
              </w:rPr>
              <w:t>.</w:t>
            </w:r>
            <w:bookmarkStart w:id="0" w:name="_GoBack"/>
            <w:bookmarkEnd w:id="0"/>
          </w:p>
        </w:tc>
      </w:tr>
      <w:tr w:rsidR="00EF397B" w:rsidRPr="0006301E" w14:paraId="11C17319" w14:textId="77777777" w:rsidTr="00CC166A">
        <w:tc>
          <w:tcPr>
            <w:tcW w:w="1413" w:type="dxa"/>
            <w:vMerge w:val="restart"/>
            <w:shd w:val="clear" w:color="auto" w:fill="auto"/>
          </w:tcPr>
          <w:p w14:paraId="4F1206B6" w14:textId="1CFEF41D" w:rsidR="00EF397B" w:rsidRPr="00EF397B" w:rsidRDefault="00EF397B" w:rsidP="00BA762F">
            <w:pPr>
              <w:pStyle w:val="NormalWeb"/>
              <w:spacing w:before="0" w:beforeAutospacing="0" w:after="0" w:afterAutospacing="0"/>
              <w:jc w:val="center"/>
              <w:rPr>
                <w:color w:val="000000"/>
              </w:rPr>
            </w:pPr>
            <w:r w:rsidRPr="00E412E2">
              <w:rPr>
                <w:color w:val="000000" w:themeColor="text1"/>
                <w:lang w:eastAsia="zh-CN"/>
              </w:rPr>
              <w:lastRenderedPageBreak/>
              <w:t>2025-04-1</w:t>
            </w:r>
            <w:r>
              <w:rPr>
                <w:color w:val="000000" w:themeColor="text1"/>
                <w:lang w:eastAsia="zh-CN"/>
              </w:rPr>
              <w:t>7</w:t>
            </w:r>
            <w:r w:rsidRPr="00E412E2">
              <w:rPr>
                <w:color w:val="000000" w:themeColor="text1"/>
                <w:lang w:eastAsia="zh-CN"/>
              </w:rPr>
              <w:t xml:space="preserve"> CVP IS ID </w:t>
            </w:r>
            <w:r>
              <w:rPr>
                <w:color w:val="000000"/>
              </w:rPr>
              <w:t xml:space="preserve">161583 ir </w:t>
            </w:r>
            <w:r w:rsidRPr="00EF397B">
              <w:rPr>
                <w:color w:val="000000"/>
              </w:rPr>
              <w:t>161831</w:t>
            </w:r>
          </w:p>
          <w:p w14:paraId="208B9F04" w14:textId="51A8AD6D" w:rsidR="00EF397B" w:rsidRPr="00E412E2" w:rsidRDefault="00EF397B" w:rsidP="00BA762F">
            <w:pPr>
              <w:pStyle w:val="NormalWeb"/>
              <w:spacing w:before="0" w:beforeAutospacing="0" w:after="0" w:afterAutospacing="0"/>
              <w:jc w:val="center"/>
              <w:rPr>
                <w:color w:val="000000" w:themeColor="text1"/>
                <w:lang w:eastAsia="zh-CN"/>
              </w:rPr>
            </w:pPr>
          </w:p>
          <w:p w14:paraId="6DDDABAA" w14:textId="77777777" w:rsidR="00EF397B" w:rsidRPr="0006301E" w:rsidRDefault="00EF397B" w:rsidP="00BA762F">
            <w:pPr>
              <w:jc w:val="center"/>
              <w:rPr>
                <w:rFonts w:ascii="Times New Roman" w:eastAsia="Times New Roman" w:hAnsi="Times New Roman" w:cs="Times New Roman"/>
                <w:b/>
                <w:color w:val="000000" w:themeColor="text1"/>
                <w:sz w:val="24"/>
                <w:szCs w:val="24"/>
                <w:lang w:eastAsia="zh-CN"/>
              </w:rPr>
            </w:pPr>
          </w:p>
        </w:tc>
        <w:tc>
          <w:tcPr>
            <w:tcW w:w="6520" w:type="dxa"/>
            <w:shd w:val="clear" w:color="auto" w:fill="auto"/>
          </w:tcPr>
          <w:p w14:paraId="38AFBA7F" w14:textId="77777777" w:rsidR="00EF397B" w:rsidRPr="00EF397B" w:rsidRDefault="00EF397B" w:rsidP="00CC166A">
            <w:pPr>
              <w:rPr>
                <w:rFonts w:ascii="Times New Roman" w:eastAsia="Times New Roman" w:hAnsi="Times New Roman" w:cs="Times New Roman"/>
                <w:b/>
                <w:color w:val="000000" w:themeColor="text1"/>
                <w:sz w:val="24"/>
                <w:szCs w:val="24"/>
                <w:lang w:eastAsia="zh-CN"/>
              </w:rPr>
            </w:pPr>
            <w:r w:rsidRPr="00B32308">
              <w:rPr>
                <w:rFonts w:ascii="Times New Roman" w:eastAsia="Times New Roman" w:hAnsi="Times New Roman" w:cs="Times New Roman"/>
                <w:color w:val="000000" w:themeColor="text1"/>
                <w:sz w:val="24"/>
                <w:szCs w:val="24"/>
                <w:lang w:eastAsia="zh-CN"/>
              </w:rPr>
              <w:t>Pirkimo sąlygų 2 priedas „Techninė specifikacija“</w:t>
            </w:r>
            <w:r w:rsidRPr="00EF397B">
              <w:rPr>
                <w:rFonts w:ascii="Times New Roman" w:eastAsia="Times New Roman" w:hAnsi="Times New Roman" w:cs="Times New Roman"/>
                <w:b/>
                <w:color w:val="000000" w:themeColor="text1"/>
                <w:sz w:val="24"/>
                <w:szCs w:val="24"/>
                <w:lang w:eastAsia="zh-CN"/>
              </w:rPr>
              <w:t xml:space="preserve"> I pirkimo objekto dalis:</w:t>
            </w:r>
          </w:p>
          <w:p w14:paraId="40B9539A" w14:textId="77777777" w:rsidR="00EF397B" w:rsidRPr="00EF397B" w:rsidRDefault="00EF397B" w:rsidP="00CC166A">
            <w:pPr>
              <w:rPr>
                <w:rFonts w:ascii="Times New Roman" w:eastAsia="Times New Roman" w:hAnsi="Times New Roman" w:cs="Times New Roman"/>
                <w:color w:val="000000" w:themeColor="text1"/>
                <w:sz w:val="24"/>
                <w:szCs w:val="24"/>
                <w:lang w:eastAsia="zh-CN"/>
              </w:rPr>
            </w:pPr>
            <w:r w:rsidRPr="00EF397B">
              <w:rPr>
                <w:rFonts w:ascii="Times New Roman" w:eastAsia="Times New Roman" w:hAnsi="Times New Roman" w:cs="Times New Roman"/>
                <w:b/>
                <w:color w:val="000000" w:themeColor="text1"/>
                <w:sz w:val="24"/>
                <w:szCs w:val="24"/>
                <w:lang w:eastAsia="zh-CN"/>
              </w:rPr>
              <w:t>a.)</w:t>
            </w:r>
            <w:r w:rsidRPr="00EF397B">
              <w:rPr>
                <w:rFonts w:ascii="Times New Roman" w:eastAsia="Times New Roman" w:hAnsi="Times New Roman" w:cs="Times New Roman"/>
                <w:b/>
                <w:color w:val="000000" w:themeColor="text1"/>
                <w:sz w:val="24"/>
                <w:szCs w:val="24"/>
                <w:lang w:eastAsia="zh-CN"/>
              </w:rPr>
              <w:tab/>
            </w:r>
            <w:r w:rsidRPr="00EF397B">
              <w:rPr>
                <w:rFonts w:ascii="Times New Roman" w:eastAsia="Times New Roman" w:hAnsi="Times New Roman" w:cs="Times New Roman"/>
                <w:color w:val="000000" w:themeColor="text1"/>
                <w:sz w:val="24"/>
                <w:szCs w:val="24"/>
                <w:lang w:eastAsia="zh-CN"/>
              </w:rPr>
              <w:t>Norime atkreipti perkančiosios organizacijos dėmesį į 1.10 punkte nurodytą kompiuterio USB jungčių kiekio reikalavimą, kuris, mūsų nuomone, yra perteklinis ir riboja konkurenciją, nes jį gali atitikti tik vienas gamintojas. Pažymime, kad, pavyzdžiui, monitoriuje numatyta papildomų USB jungčių, kurios gali patenkinti didesnį jungčių poreikį, todėl kompiuterio USB jungčių skaičiaus reikalavimas yra nepagrįstai aukštas. Siekiant užtikrinti sąžiningą konkurenciją ir sudaryti sąlygas didesnio gamintojų skaičiaus dalyvavimui, prašome peržiūrėti ir pakoreguoti 1.10 punktą sumažinant kompiuterio USB jungčių kiekio reikalavimą ir pašalinant išplėtimo galimybių apribojimus. Prašome koreguoti 1.10 punktą taip:</w:t>
            </w:r>
          </w:p>
          <w:p w14:paraId="5BCAC4BA" w14:textId="6FE2F2F3" w:rsidR="00EF397B" w:rsidRDefault="00EF397B" w:rsidP="00CC166A">
            <w:pPr>
              <w:rPr>
                <w:rFonts w:ascii="Times New Roman" w:eastAsia="Times New Roman" w:hAnsi="Times New Roman" w:cs="Times New Roman"/>
                <w:b/>
                <w:color w:val="000000" w:themeColor="text1"/>
                <w:sz w:val="24"/>
                <w:szCs w:val="24"/>
                <w:lang w:eastAsia="zh-CN"/>
              </w:rPr>
            </w:pPr>
            <w:r w:rsidRPr="00EF397B">
              <w:rPr>
                <w:rFonts w:ascii="Times New Roman" w:eastAsia="Times New Roman" w:hAnsi="Times New Roman" w:cs="Times New Roman"/>
                <w:b/>
                <w:noProof/>
                <w:color w:val="000000" w:themeColor="text1"/>
                <w:sz w:val="24"/>
                <w:szCs w:val="24"/>
                <w:lang w:eastAsia="lt-LT"/>
              </w:rPr>
              <w:lastRenderedPageBreak/>
              <w:drawing>
                <wp:inline distT="0" distB="0" distL="0" distR="0" wp14:anchorId="708F4EDB" wp14:editId="44D12E0E">
                  <wp:extent cx="4093210" cy="1809115"/>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93210" cy="1809115"/>
                          </a:xfrm>
                          <a:prstGeom prst="rect">
                            <a:avLst/>
                          </a:prstGeom>
                        </pic:spPr>
                      </pic:pic>
                    </a:graphicData>
                  </a:graphic>
                </wp:inline>
              </w:drawing>
            </w:r>
          </w:p>
          <w:p w14:paraId="6C0F998F" w14:textId="20C90B7F" w:rsidR="00EF397B" w:rsidRPr="0006301E" w:rsidRDefault="00EF397B" w:rsidP="00CC166A">
            <w:pPr>
              <w:rPr>
                <w:rFonts w:ascii="Times New Roman" w:eastAsia="Times New Roman" w:hAnsi="Times New Roman" w:cs="Times New Roman"/>
                <w:b/>
                <w:color w:val="000000" w:themeColor="text1"/>
                <w:sz w:val="24"/>
                <w:szCs w:val="24"/>
                <w:lang w:eastAsia="zh-CN"/>
              </w:rPr>
            </w:pPr>
          </w:p>
        </w:tc>
        <w:tc>
          <w:tcPr>
            <w:tcW w:w="6521" w:type="dxa"/>
            <w:shd w:val="clear" w:color="auto" w:fill="DEEAF6" w:themeFill="accent1" w:themeFillTint="33"/>
          </w:tcPr>
          <w:p w14:paraId="02455114" w14:textId="345DC3C8" w:rsidR="0022778D" w:rsidRPr="007739CC" w:rsidRDefault="0022778D" w:rsidP="002277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Perkančioji organizacija paaiškina, kad </w:t>
            </w:r>
            <w:r w:rsidRPr="007739CC">
              <w:rPr>
                <w:rFonts w:ascii="Times New Roman" w:hAnsi="Times New Roman" w:cs="Times New Roman"/>
                <w:sz w:val="24"/>
                <w:szCs w:val="24"/>
              </w:rPr>
              <w:t>Lietuvos kriminalinės policijos biuro techninis padalinys, dirbdamas su kriminalistiniais IT įkalčiais, atlieka šiuos veiksmus, kurių metu būtinas gausus ir greitai pasiekiamas USB jungčių skaičius:</w:t>
            </w:r>
          </w:p>
          <w:p w14:paraId="3844255D" w14:textId="77777777" w:rsidR="0022778D"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1. Vienu metu prijungiami keli USB „write-blocker“ (įrašymo blokatoriai) skirtingų formatų laikmenoms (pvz., SATA, NVMe, IDE, mSATA ir kt.). Kiekvienas iš jų užima atskirą USB prievadą.</w:t>
            </w:r>
          </w:p>
          <w:p w14:paraId="295A2400"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2. Duomenų nuskaitymui, kopijavimui ir klonavimui naudojami išoriniai diskai – kiekvienam reikia atskiros USB jungties.</w:t>
            </w:r>
          </w:p>
          <w:p w14:paraId="0223DBDC"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3. Papildomi įrenginiai: klaviatūra, pelė, USB raktai su įrankiais, USB Ethernet adapteriai, kiti periferiniai analizės įrankiai – taip pat reikalauja USB prijungimo galimybės.</w:t>
            </w:r>
          </w:p>
          <w:p w14:paraId="34B641D1"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4. Programų licencijų raktai  jungiami per USB sąsajas (pvz., X-Ways, EnCase ar FTK), dažnu atveju keliomis programomis dirbama vienu metu.</w:t>
            </w:r>
          </w:p>
          <w:p w14:paraId="4F07BFED"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5. USB prievadų kiekio reikalavimas – tai ne patogumo, o įrodymų vientisumo, darbo greičio ir proceso efektyvumo klausimas.</w:t>
            </w:r>
          </w:p>
          <w:p w14:paraId="775ABF23"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Monitoriaus USB jungtys nėra prilygintinos kompiuterio USB jungtims: techniniai ir funkciniai skirtumai:</w:t>
            </w:r>
            <w:r>
              <w:rPr>
                <w:rFonts w:ascii="Times New Roman" w:hAnsi="Times New Roman" w:cs="Times New Roman"/>
                <w:sz w:val="24"/>
                <w:szCs w:val="24"/>
              </w:rPr>
              <w:t xml:space="preserve"> m</w:t>
            </w:r>
            <w:r w:rsidRPr="007739CC">
              <w:rPr>
                <w:rFonts w:ascii="Times New Roman" w:hAnsi="Times New Roman" w:cs="Times New Roman"/>
                <w:sz w:val="24"/>
                <w:szCs w:val="24"/>
              </w:rPr>
              <w:t>onitoriaus USB jungtys veikia tik kaip HUB’as, t. y. signalas vis tiek keliauja per vieną USB liniją į kompiuterį (dažniausiai per vieną USB-C arba USB-B jungtį), todėl:</w:t>
            </w:r>
          </w:p>
          <w:p w14:paraId="6F638BF6"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lastRenderedPageBreak/>
              <w:t xml:space="preserve">a) </w:t>
            </w:r>
            <w:r>
              <w:rPr>
                <w:rFonts w:ascii="Times New Roman" w:hAnsi="Times New Roman" w:cs="Times New Roman"/>
                <w:sz w:val="24"/>
                <w:szCs w:val="24"/>
              </w:rPr>
              <w:t>v</w:t>
            </w:r>
            <w:r w:rsidRPr="007739CC">
              <w:rPr>
                <w:rFonts w:ascii="Times New Roman" w:hAnsi="Times New Roman" w:cs="Times New Roman"/>
                <w:sz w:val="24"/>
                <w:szCs w:val="24"/>
              </w:rPr>
              <w:t>isi prijungti įrenginiai dalinasi vieną USB kanalą, o tai riboja spartą (kritiška, kai vienu metu prijungta daug laikmenų);</w:t>
            </w:r>
          </w:p>
          <w:p w14:paraId="58FD4C16"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 xml:space="preserve">b) </w:t>
            </w:r>
            <w:r>
              <w:rPr>
                <w:rFonts w:ascii="Times New Roman" w:hAnsi="Times New Roman" w:cs="Times New Roman"/>
                <w:sz w:val="24"/>
                <w:szCs w:val="24"/>
              </w:rPr>
              <w:t>v</w:t>
            </w:r>
            <w:r w:rsidRPr="007739CC">
              <w:rPr>
                <w:rFonts w:ascii="Times New Roman" w:hAnsi="Times New Roman" w:cs="Times New Roman"/>
                <w:sz w:val="24"/>
                <w:szCs w:val="24"/>
              </w:rPr>
              <w:t>ieno įrenginio trikdžiai gali paveikti kitus (pvz., viena laikmena atsijungia – paveikiamos visos).</w:t>
            </w:r>
          </w:p>
          <w:p w14:paraId="085CBB3E" w14:textId="77777777" w:rsidR="0022778D"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Energijos tiekimas per monitorių yra ribotas, todėl prijungus du ar daugiau energijos reikalaujančių įrenginių (pvz., SSD, diskinius write-blocker’ius), gali iškilti įrenginių atsijungimai, gedimai ar tyrimo proceso nutrūkimas (rizika prarasti ar pažeisti įrodymus).</w:t>
            </w:r>
            <w:r>
              <w:rPr>
                <w:rFonts w:ascii="Times New Roman" w:hAnsi="Times New Roman" w:cs="Times New Roman"/>
                <w:sz w:val="24"/>
                <w:szCs w:val="24"/>
              </w:rPr>
              <w:t xml:space="preserve"> </w:t>
            </w:r>
          </w:p>
          <w:p w14:paraId="6887E56E"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USB Type-C reikalavimas grindžiamas tuo, kad modernios laikmenos ir kai kurie kriminalistiniai įrenginiai (pvz., SSD su NVMe-USB-C keitikliais, mobilieji telefonai ar jų klonavimo rinkiniai) naudoja būtent šį jungties tipą. Kadangi vienu metu prijungiami yra keli įrenginiai tam reikalingi daugiau nei 1 USB Type-C jungtis.</w:t>
            </w:r>
          </w:p>
          <w:p w14:paraId="2D82E615" w14:textId="77777777" w:rsidR="00EF397B" w:rsidRPr="0006301E" w:rsidRDefault="00EF397B" w:rsidP="0022778D">
            <w:pPr>
              <w:rPr>
                <w:rFonts w:ascii="Times New Roman" w:eastAsia="Times New Roman" w:hAnsi="Times New Roman" w:cs="Times New Roman"/>
                <w:b/>
                <w:color w:val="000000" w:themeColor="text1"/>
                <w:sz w:val="24"/>
                <w:szCs w:val="24"/>
                <w:lang w:eastAsia="zh-CN"/>
              </w:rPr>
            </w:pPr>
          </w:p>
        </w:tc>
      </w:tr>
      <w:tr w:rsidR="00EF397B" w:rsidRPr="0006301E" w14:paraId="47EB0B51" w14:textId="77777777" w:rsidTr="00C63691">
        <w:tc>
          <w:tcPr>
            <w:tcW w:w="1413" w:type="dxa"/>
            <w:vMerge/>
            <w:shd w:val="clear" w:color="auto" w:fill="auto"/>
            <w:vAlign w:val="center"/>
          </w:tcPr>
          <w:p w14:paraId="0D1BF3C9" w14:textId="77777777" w:rsidR="00EF397B" w:rsidRPr="0006301E" w:rsidRDefault="00EF397B" w:rsidP="00F15007">
            <w:pPr>
              <w:jc w:val="center"/>
              <w:rPr>
                <w:rFonts w:ascii="Times New Roman" w:eastAsia="Times New Roman" w:hAnsi="Times New Roman" w:cs="Times New Roman"/>
                <w:b/>
                <w:color w:val="000000" w:themeColor="text1"/>
                <w:sz w:val="24"/>
                <w:szCs w:val="24"/>
                <w:lang w:eastAsia="zh-CN"/>
              </w:rPr>
            </w:pPr>
          </w:p>
        </w:tc>
        <w:tc>
          <w:tcPr>
            <w:tcW w:w="6520" w:type="dxa"/>
            <w:shd w:val="clear" w:color="auto" w:fill="auto"/>
            <w:vAlign w:val="center"/>
          </w:tcPr>
          <w:p w14:paraId="0AE9CB56" w14:textId="77777777" w:rsidR="00EF397B" w:rsidRPr="00EF397B" w:rsidRDefault="00EF397B" w:rsidP="00EF397B">
            <w:pPr>
              <w:rPr>
                <w:rFonts w:ascii="Times New Roman" w:eastAsia="Times New Roman" w:hAnsi="Times New Roman" w:cs="Times New Roman"/>
                <w:b/>
                <w:color w:val="000000" w:themeColor="text1"/>
                <w:sz w:val="24"/>
                <w:szCs w:val="24"/>
                <w:lang w:eastAsia="zh-CN"/>
              </w:rPr>
            </w:pPr>
            <w:r w:rsidRPr="00B32308">
              <w:rPr>
                <w:rFonts w:ascii="Times New Roman" w:eastAsia="Times New Roman" w:hAnsi="Times New Roman" w:cs="Times New Roman"/>
                <w:color w:val="000000" w:themeColor="text1"/>
                <w:sz w:val="24"/>
                <w:szCs w:val="24"/>
                <w:lang w:eastAsia="zh-CN"/>
              </w:rPr>
              <w:t>Pirkimo sąlygų 2 priedas „Techninė specifikacija</w:t>
            </w:r>
            <w:r w:rsidRPr="00EF397B">
              <w:rPr>
                <w:rFonts w:ascii="Times New Roman" w:eastAsia="Times New Roman" w:hAnsi="Times New Roman" w:cs="Times New Roman"/>
                <w:b/>
                <w:color w:val="000000" w:themeColor="text1"/>
                <w:sz w:val="24"/>
                <w:szCs w:val="24"/>
                <w:lang w:eastAsia="zh-CN"/>
              </w:rPr>
              <w:t>“ I pirkimo objekto dalis:</w:t>
            </w:r>
          </w:p>
          <w:p w14:paraId="44DBBFB4" w14:textId="77777777" w:rsidR="00EF397B" w:rsidRPr="00EF397B" w:rsidRDefault="00EF397B" w:rsidP="00EF397B">
            <w:pPr>
              <w:jc w:val="both"/>
              <w:rPr>
                <w:rFonts w:ascii="Times New Roman" w:eastAsia="Times New Roman" w:hAnsi="Times New Roman" w:cs="Times New Roman"/>
                <w:color w:val="000000" w:themeColor="text1"/>
                <w:sz w:val="24"/>
                <w:szCs w:val="24"/>
                <w:lang w:eastAsia="zh-CN"/>
              </w:rPr>
            </w:pPr>
            <w:r w:rsidRPr="00EF397B">
              <w:rPr>
                <w:rFonts w:ascii="Times New Roman" w:eastAsia="Times New Roman" w:hAnsi="Times New Roman" w:cs="Times New Roman"/>
                <w:color w:val="000000" w:themeColor="text1"/>
                <w:sz w:val="24"/>
                <w:szCs w:val="24"/>
                <w:lang w:eastAsia="zh-CN"/>
              </w:rPr>
              <w:t>b.)</w:t>
            </w:r>
            <w:r w:rsidRPr="00EF397B">
              <w:rPr>
                <w:rFonts w:ascii="Times New Roman" w:eastAsia="Times New Roman" w:hAnsi="Times New Roman" w:cs="Times New Roman"/>
                <w:color w:val="000000" w:themeColor="text1"/>
                <w:sz w:val="24"/>
                <w:szCs w:val="24"/>
                <w:lang w:eastAsia="zh-CN"/>
              </w:rPr>
              <w:tab/>
              <w:t xml:space="preserve">Atkreipiame perkančiosios organizacijos dėmesį, kad reikalavimas monitoriaus įst-rižainei - „ne mažiau nei 48,8 colio“ - dirbtinai riboja konkurenciją. Pavyzdžiui, 44,5 colio įstrižainės monitorius, turintis tą pačią 5120x1440 raišką, pasižymi di-desniu pikselių tankiu, todėl užtikrina ryškesnį vaizdą ir mažesnį akių nuovargį. Be to, 44,5 colio monitorius yra kompaktiškesnis, todėl lengviau pritaikomas ma-žesnėse darbo vietose ar ant standartinio dydžio stalų. Taip pat pastebime, kad reikalavimas pasiekti 100 % sRGB spalvų aprėptį nepagrįstai apriboja konkurenci-ją. Sumažinus šį reikalavimą 1 procentu, skirtumas būtų nepastebimas žmogaus akiai, tačiau sudarytų galimybes didesnio gamintojų skaičiaus dalyvavimui kon-kurse. Dėl vaizdo jungčių kiekio prašome peržiūrėti reikalavimus pateikiant juos taip, kad nebūtų apribojamos kitos jungtys, galinčios užtikrinti nurodytą funkcio-nalumą, ir tokiu būdu skatinti sąžiningą konkurenciją. Prašome įvertinti mūsų pas-tabas ir pakoreguoti atitinkamus konkurso techninius reikalavimus, kad </w:t>
            </w:r>
            <w:r w:rsidRPr="00EF397B">
              <w:rPr>
                <w:rFonts w:ascii="Times New Roman" w:eastAsia="Times New Roman" w:hAnsi="Times New Roman" w:cs="Times New Roman"/>
                <w:color w:val="000000" w:themeColor="text1"/>
                <w:sz w:val="24"/>
                <w:szCs w:val="24"/>
                <w:lang w:eastAsia="zh-CN"/>
              </w:rPr>
              <w:lastRenderedPageBreak/>
              <w:t>būtų suda-rytos vienodos sąlygos visiems tiekėjams. Dėl monitoriaus reikalavimų prašome šių korekcijų:</w:t>
            </w:r>
          </w:p>
          <w:p w14:paraId="04640E09" w14:textId="57A81FDE" w:rsidR="00EF397B" w:rsidRPr="0006301E" w:rsidRDefault="00711475" w:rsidP="00E412E2">
            <w:pPr>
              <w:rPr>
                <w:rFonts w:ascii="Times New Roman" w:eastAsia="Times New Roman" w:hAnsi="Times New Roman" w:cs="Times New Roman"/>
                <w:b/>
                <w:color w:val="000000" w:themeColor="text1"/>
                <w:sz w:val="24"/>
                <w:szCs w:val="24"/>
                <w:lang w:eastAsia="zh-CN"/>
              </w:rPr>
            </w:pPr>
            <w:r w:rsidRPr="00711475">
              <w:rPr>
                <w:rFonts w:ascii="Times New Roman" w:eastAsia="Times New Roman" w:hAnsi="Times New Roman" w:cs="Times New Roman"/>
                <w:b/>
                <w:noProof/>
                <w:color w:val="000000" w:themeColor="text1"/>
                <w:sz w:val="24"/>
                <w:szCs w:val="24"/>
                <w:lang w:eastAsia="lt-LT"/>
              </w:rPr>
              <w:drawing>
                <wp:inline distT="0" distB="0" distL="0" distR="0" wp14:anchorId="67DB696E" wp14:editId="67687C5F">
                  <wp:extent cx="4093210" cy="18681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93210" cy="1868170"/>
                          </a:xfrm>
                          <a:prstGeom prst="rect">
                            <a:avLst/>
                          </a:prstGeom>
                        </pic:spPr>
                      </pic:pic>
                    </a:graphicData>
                  </a:graphic>
                </wp:inline>
              </w:drawing>
            </w:r>
          </w:p>
        </w:tc>
        <w:tc>
          <w:tcPr>
            <w:tcW w:w="6521" w:type="dxa"/>
            <w:shd w:val="clear" w:color="auto" w:fill="DEEAF6" w:themeFill="accent1" w:themeFillTint="33"/>
            <w:vAlign w:val="center"/>
          </w:tcPr>
          <w:p w14:paraId="67B4FA21" w14:textId="525281A4" w:rsidR="0022778D" w:rsidRPr="007739CC" w:rsidRDefault="0022778D" w:rsidP="002277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Perkančioji organizacija paaiškina, kad m</w:t>
            </w:r>
            <w:r w:rsidRPr="007739CC">
              <w:rPr>
                <w:rFonts w:ascii="Times New Roman" w:hAnsi="Times New Roman" w:cs="Times New Roman"/>
                <w:sz w:val="24"/>
                <w:szCs w:val="24"/>
              </w:rPr>
              <w:t>onitoriaus įstrižainės reikalavimas ne mažesnis kaip 48,8 colio yra tiesiogiai susijęs su darbo specifika ir darbo vietų efektyvumu, ypač atliekant kriminalistinius skaitmeninius tyrimus ir analizę, kur būtina:</w:t>
            </w:r>
          </w:p>
          <w:p w14:paraId="24ECBBCD"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 xml:space="preserve">1. </w:t>
            </w:r>
            <w:r>
              <w:rPr>
                <w:rFonts w:ascii="Times New Roman" w:hAnsi="Times New Roman" w:cs="Times New Roman"/>
                <w:sz w:val="24"/>
                <w:szCs w:val="24"/>
              </w:rPr>
              <w:t>V</w:t>
            </w:r>
            <w:r w:rsidRPr="007739CC">
              <w:rPr>
                <w:rFonts w:ascii="Times New Roman" w:hAnsi="Times New Roman" w:cs="Times New Roman"/>
                <w:sz w:val="24"/>
                <w:szCs w:val="24"/>
              </w:rPr>
              <w:t>ienu metu matyti kelių skirtingų duomenų šaltinių informaciją: pvz., viename ekrano trečdalyje – „disk image“ naršyklė, kitame – „hex editor“, o trečiame – papildomos metaduomenų analizės priemonėmis.</w:t>
            </w:r>
          </w:p>
          <w:p w14:paraId="28ED6BF5"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2. Dirbti su didelių apimčių failų struktūromis, pvz., kelių tūkstančių failų hierarchijomis, kur standartinis ekranas netelpa.</w:t>
            </w:r>
          </w:p>
          <w:p w14:paraId="37537098"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3. Vykdyti vaizdo stebėjimo analizę arba video įrašų peržiūrą su laiko juostomis ir įvykių sinchronizavimu, kur būtinas platus darbo plotas.</w:t>
            </w:r>
          </w:p>
          <w:p w14:paraId="171341DA"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Be to, 48,8“ 5120x1440 monitoriai yra rinkoje prieinami bent kelių skirtingų gamintojų (pvz., Samsung, Dell, LG, Philips, Lenovo), todėl šis reikalavimas nekuria vieno tiekėjo pranašumo.</w:t>
            </w:r>
          </w:p>
          <w:p w14:paraId="58D1F85F" w14:textId="77777777" w:rsidR="0022778D" w:rsidRPr="007739CC"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 xml:space="preserve">Darbuotojai praleidžia daug laiko analizuodami vaizdo medžiagą, dėl šios priežasties reikia kuo geresnės spalvų aprėpties , be to, sRGB 100 % arba DCI-P3 98 % standartus atitinkantys monitoriai </w:t>
            </w:r>
            <w:r w:rsidRPr="007739CC">
              <w:rPr>
                <w:rFonts w:ascii="Times New Roman" w:hAnsi="Times New Roman" w:cs="Times New Roman"/>
                <w:sz w:val="24"/>
                <w:szCs w:val="24"/>
              </w:rPr>
              <w:lastRenderedPageBreak/>
              <w:t>šiandien yra plataus prieinamumo klasė, todėl ir čia konkurencija nėra ribojama.</w:t>
            </w:r>
          </w:p>
          <w:p w14:paraId="0D7B2299" w14:textId="51D651CF" w:rsidR="00EF397B" w:rsidRPr="0022778D" w:rsidRDefault="0022778D" w:rsidP="0022778D">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Darbuotojai darbo vietoje dirba su kompiuteriais (ne mažiau 3 vnt.) kurie prijungti prie vieno monitoriaus, tam reikia ne mažiau kaip 3 vnt. vaizdo jungčių kiekio.</w:t>
            </w:r>
          </w:p>
        </w:tc>
      </w:tr>
      <w:tr w:rsidR="00EF397B" w:rsidRPr="0006301E" w14:paraId="5279FAF3" w14:textId="77777777" w:rsidTr="00C63691">
        <w:tc>
          <w:tcPr>
            <w:tcW w:w="1413" w:type="dxa"/>
            <w:vMerge/>
            <w:shd w:val="clear" w:color="auto" w:fill="auto"/>
            <w:vAlign w:val="center"/>
          </w:tcPr>
          <w:p w14:paraId="51E4DE04" w14:textId="77777777" w:rsidR="00EF397B" w:rsidRPr="0006301E" w:rsidRDefault="00EF397B" w:rsidP="00F15007">
            <w:pPr>
              <w:jc w:val="center"/>
              <w:rPr>
                <w:rFonts w:ascii="Times New Roman" w:eastAsia="Times New Roman" w:hAnsi="Times New Roman" w:cs="Times New Roman"/>
                <w:b/>
                <w:color w:val="000000" w:themeColor="text1"/>
                <w:sz w:val="24"/>
                <w:szCs w:val="24"/>
                <w:lang w:eastAsia="zh-CN"/>
              </w:rPr>
            </w:pPr>
          </w:p>
        </w:tc>
        <w:tc>
          <w:tcPr>
            <w:tcW w:w="6520" w:type="dxa"/>
            <w:shd w:val="clear" w:color="auto" w:fill="auto"/>
            <w:vAlign w:val="center"/>
          </w:tcPr>
          <w:p w14:paraId="789E5750" w14:textId="77777777" w:rsidR="00EF397B" w:rsidRPr="00EF397B" w:rsidRDefault="00EF397B" w:rsidP="00EF397B">
            <w:pPr>
              <w:rPr>
                <w:rFonts w:ascii="Times New Roman" w:eastAsia="Times New Roman" w:hAnsi="Times New Roman" w:cs="Times New Roman"/>
                <w:b/>
                <w:color w:val="000000" w:themeColor="text1"/>
                <w:sz w:val="24"/>
                <w:szCs w:val="24"/>
                <w:lang w:eastAsia="zh-CN"/>
              </w:rPr>
            </w:pPr>
            <w:r w:rsidRPr="00B32308">
              <w:rPr>
                <w:rFonts w:ascii="Times New Roman" w:eastAsia="Times New Roman" w:hAnsi="Times New Roman" w:cs="Times New Roman"/>
                <w:color w:val="000000" w:themeColor="text1"/>
                <w:sz w:val="24"/>
                <w:szCs w:val="24"/>
                <w:lang w:eastAsia="zh-CN"/>
              </w:rPr>
              <w:t>Pirkimo sąlygų 2 priedas „Techninė specifikacija“</w:t>
            </w:r>
            <w:r w:rsidRPr="00EF397B">
              <w:rPr>
                <w:rFonts w:ascii="Times New Roman" w:eastAsia="Times New Roman" w:hAnsi="Times New Roman" w:cs="Times New Roman"/>
                <w:b/>
                <w:color w:val="000000" w:themeColor="text1"/>
                <w:sz w:val="24"/>
                <w:szCs w:val="24"/>
                <w:lang w:eastAsia="zh-CN"/>
              </w:rPr>
              <w:t xml:space="preserve"> I pirkimo objekto dalis:</w:t>
            </w:r>
          </w:p>
          <w:p w14:paraId="3A44981F" w14:textId="77777777" w:rsidR="00EF397B" w:rsidRDefault="00711475" w:rsidP="00711475">
            <w:pPr>
              <w:jc w:val="both"/>
              <w:rPr>
                <w:rFonts w:ascii="Times New Roman" w:eastAsia="Times New Roman" w:hAnsi="Times New Roman" w:cs="Times New Roman"/>
                <w:color w:val="000000" w:themeColor="text1"/>
                <w:sz w:val="24"/>
                <w:szCs w:val="24"/>
                <w:lang w:eastAsia="zh-CN"/>
              </w:rPr>
            </w:pPr>
            <w:r w:rsidRPr="00711475">
              <w:rPr>
                <w:rFonts w:ascii="Times New Roman" w:eastAsia="Times New Roman" w:hAnsi="Times New Roman" w:cs="Times New Roman"/>
                <w:color w:val="000000" w:themeColor="text1"/>
                <w:sz w:val="24"/>
                <w:szCs w:val="24"/>
                <w:lang w:eastAsia="zh-CN"/>
              </w:rPr>
              <w:t>c.)</w:t>
            </w:r>
            <w:r w:rsidRPr="00711475">
              <w:rPr>
                <w:rFonts w:ascii="Times New Roman" w:eastAsia="Times New Roman" w:hAnsi="Times New Roman" w:cs="Times New Roman"/>
                <w:color w:val="000000" w:themeColor="text1"/>
                <w:sz w:val="24"/>
                <w:szCs w:val="24"/>
                <w:lang w:eastAsia="zh-CN"/>
              </w:rPr>
              <w:tab/>
              <w:t>Dėl perteklinių ir konkurenciją ribojančių aplinkosauginių reikalavimų norime atkreipti perkančiosios organizacijos dėmesį į 1.22 punkte „Sertifikatai ir kokybės reikalavimai“ nurodytą EPEAT Gold sertifikato reikalavimą. Mūsų nuomone, šis reikalavimas yra perteklinis ir nepagrįstas, nes EPEAT Gold sertifikatas atspindi gaminio tvarumą bei draugiškumą aplinkai, o ne apibrėžia gaminio kokybę. Toks reikalavimas dirbtinai riboja konkurenciją, sudarydamas galimybes dalyvauti konkurse tik ribotam gamintojų skaičiui. Siūlome pakoreguoti 1.22 punktą taip, kad būtų pašalintas EPEAT Gold sertifikato reikalavimas. Ši korekcija neturės įtakos gaminio kokybei ir sudarys sąlygas didesnio tiekėjų skaičiaus dalyvavimui.</w:t>
            </w:r>
          </w:p>
          <w:p w14:paraId="5539938A" w14:textId="77777777" w:rsidR="00711475" w:rsidRDefault="00711475" w:rsidP="00711475">
            <w:pPr>
              <w:jc w:val="both"/>
              <w:rPr>
                <w:rFonts w:ascii="Times New Roman" w:eastAsia="Times New Roman" w:hAnsi="Times New Roman" w:cs="Times New Roman"/>
                <w:color w:val="000000" w:themeColor="text1"/>
                <w:sz w:val="24"/>
                <w:szCs w:val="24"/>
                <w:lang w:eastAsia="zh-CN"/>
              </w:rPr>
            </w:pPr>
          </w:p>
          <w:p w14:paraId="0A228CC0" w14:textId="010E5755" w:rsidR="00711475" w:rsidRDefault="00711475" w:rsidP="00711475">
            <w:pPr>
              <w:jc w:val="both"/>
              <w:rPr>
                <w:rFonts w:ascii="Times New Roman" w:eastAsia="Times New Roman" w:hAnsi="Times New Roman" w:cs="Times New Roman"/>
                <w:color w:val="000000" w:themeColor="text1"/>
                <w:sz w:val="24"/>
                <w:szCs w:val="24"/>
                <w:lang w:eastAsia="zh-CN"/>
              </w:rPr>
            </w:pPr>
            <w:r w:rsidRPr="00711475">
              <w:rPr>
                <w:rFonts w:ascii="Times New Roman" w:eastAsia="Times New Roman" w:hAnsi="Times New Roman" w:cs="Times New Roman"/>
                <w:noProof/>
                <w:color w:val="000000" w:themeColor="text1"/>
                <w:sz w:val="24"/>
                <w:szCs w:val="24"/>
                <w:lang w:eastAsia="lt-LT"/>
              </w:rPr>
              <w:lastRenderedPageBreak/>
              <w:drawing>
                <wp:inline distT="0" distB="0" distL="0" distR="0" wp14:anchorId="1E390D74" wp14:editId="0DC5F01D">
                  <wp:extent cx="4093210" cy="132397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93210" cy="1323975"/>
                          </a:xfrm>
                          <a:prstGeom prst="rect">
                            <a:avLst/>
                          </a:prstGeom>
                        </pic:spPr>
                      </pic:pic>
                    </a:graphicData>
                  </a:graphic>
                </wp:inline>
              </w:drawing>
            </w:r>
          </w:p>
          <w:p w14:paraId="54261C97" w14:textId="1CDDF591" w:rsidR="00711475" w:rsidRPr="00711475" w:rsidRDefault="00711475" w:rsidP="00711475">
            <w:pPr>
              <w:jc w:val="both"/>
              <w:rPr>
                <w:rFonts w:ascii="Times New Roman" w:eastAsia="Times New Roman" w:hAnsi="Times New Roman" w:cs="Times New Roman"/>
                <w:color w:val="000000" w:themeColor="text1"/>
                <w:sz w:val="24"/>
                <w:szCs w:val="24"/>
                <w:lang w:eastAsia="zh-CN"/>
              </w:rPr>
            </w:pPr>
          </w:p>
        </w:tc>
        <w:tc>
          <w:tcPr>
            <w:tcW w:w="6521" w:type="dxa"/>
            <w:shd w:val="clear" w:color="auto" w:fill="DEEAF6" w:themeFill="accent1" w:themeFillTint="33"/>
          </w:tcPr>
          <w:p w14:paraId="67954884" w14:textId="70FDB6F8" w:rsidR="0022778D" w:rsidRDefault="0022778D" w:rsidP="0022778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Perkančioji organizacija atkreipia dėmesį ir paaiškina, kad </w:t>
            </w:r>
            <w:r w:rsidRPr="007739CC">
              <w:rPr>
                <w:rFonts w:ascii="Times New Roman" w:hAnsi="Times New Roman" w:cs="Times New Roman"/>
                <w:sz w:val="24"/>
                <w:szCs w:val="24"/>
              </w:rPr>
              <w:t>EPEAT Gold arba lygiavertis sertifikatas nėra tik aplinkosauginis ženklinimas – jis taip pat apima ilgaamžiškumo, atnaujinamumo, energijos vartojimo ir perdirb</w:t>
            </w:r>
            <w:r>
              <w:rPr>
                <w:rFonts w:ascii="Times New Roman" w:hAnsi="Times New Roman" w:cs="Times New Roman"/>
                <w:sz w:val="24"/>
                <w:szCs w:val="24"/>
              </w:rPr>
              <w:t>i</w:t>
            </w:r>
            <w:r w:rsidRPr="007739CC">
              <w:rPr>
                <w:rFonts w:ascii="Times New Roman" w:hAnsi="Times New Roman" w:cs="Times New Roman"/>
                <w:sz w:val="24"/>
                <w:szCs w:val="24"/>
              </w:rPr>
              <w:t>mo kriterijus. Kadangi planuojama įranga intensyviai naudojama 24/7 režimu, šis sertifikatas užtikrina tiek produkto kokybę, tiek aplinkosaugą, tiek eksploatacinius parametrus. EPEAT Gold sertifikatą turi ne vienas gamintojas, todėl konkurencija nėra ribojama.</w:t>
            </w:r>
          </w:p>
          <w:p w14:paraId="55239E3A" w14:textId="77777777" w:rsidR="00EF397B" w:rsidRPr="0006301E" w:rsidRDefault="00EF397B" w:rsidP="0022778D">
            <w:pPr>
              <w:rPr>
                <w:rFonts w:ascii="Times New Roman" w:eastAsia="Times New Roman" w:hAnsi="Times New Roman" w:cs="Times New Roman"/>
                <w:b/>
                <w:color w:val="000000" w:themeColor="text1"/>
                <w:sz w:val="24"/>
                <w:szCs w:val="24"/>
                <w:lang w:eastAsia="zh-CN"/>
              </w:rPr>
            </w:pPr>
          </w:p>
        </w:tc>
      </w:tr>
      <w:tr w:rsidR="00EF397B" w:rsidRPr="0006301E" w14:paraId="3D43C51B" w14:textId="77777777" w:rsidTr="00C63691">
        <w:tc>
          <w:tcPr>
            <w:tcW w:w="1413" w:type="dxa"/>
            <w:vMerge/>
            <w:shd w:val="clear" w:color="auto" w:fill="auto"/>
            <w:vAlign w:val="center"/>
          </w:tcPr>
          <w:p w14:paraId="67A0775D" w14:textId="77777777" w:rsidR="00EF397B" w:rsidRPr="0006301E" w:rsidRDefault="00EF397B" w:rsidP="00F15007">
            <w:pPr>
              <w:jc w:val="center"/>
              <w:rPr>
                <w:rFonts w:ascii="Times New Roman" w:eastAsia="Times New Roman" w:hAnsi="Times New Roman" w:cs="Times New Roman"/>
                <w:b/>
                <w:color w:val="000000" w:themeColor="text1"/>
                <w:sz w:val="24"/>
                <w:szCs w:val="24"/>
                <w:lang w:eastAsia="zh-CN"/>
              </w:rPr>
            </w:pPr>
          </w:p>
        </w:tc>
        <w:tc>
          <w:tcPr>
            <w:tcW w:w="6520" w:type="dxa"/>
            <w:shd w:val="clear" w:color="auto" w:fill="auto"/>
            <w:vAlign w:val="center"/>
          </w:tcPr>
          <w:p w14:paraId="6D889DE2" w14:textId="3507F051" w:rsidR="00EF397B" w:rsidRPr="00EF397B" w:rsidRDefault="00EF397B" w:rsidP="00EF397B">
            <w:pPr>
              <w:rPr>
                <w:rFonts w:ascii="Times New Roman" w:eastAsia="Times New Roman" w:hAnsi="Times New Roman" w:cs="Times New Roman"/>
                <w:b/>
                <w:color w:val="000000" w:themeColor="text1"/>
                <w:sz w:val="24"/>
                <w:szCs w:val="24"/>
                <w:lang w:eastAsia="zh-CN"/>
              </w:rPr>
            </w:pPr>
            <w:r w:rsidRPr="00B32308">
              <w:rPr>
                <w:rFonts w:ascii="Times New Roman" w:eastAsia="Times New Roman" w:hAnsi="Times New Roman" w:cs="Times New Roman"/>
                <w:color w:val="000000" w:themeColor="text1"/>
                <w:sz w:val="24"/>
                <w:szCs w:val="24"/>
                <w:lang w:eastAsia="zh-CN"/>
              </w:rPr>
              <w:t>Pirkimo sąlygų 2 priedas „Techninė specifikacija“</w:t>
            </w:r>
            <w:r w:rsidRPr="00EF397B">
              <w:rPr>
                <w:rFonts w:ascii="Times New Roman" w:eastAsia="Times New Roman" w:hAnsi="Times New Roman" w:cs="Times New Roman"/>
                <w:b/>
                <w:color w:val="000000" w:themeColor="text1"/>
                <w:sz w:val="24"/>
                <w:szCs w:val="24"/>
                <w:lang w:eastAsia="zh-CN"/>
              </w:rPr>
              <w:t xml:space="preserve"> I</w:t>
            </w:r>
            <w:r w:rsidR="00711475">
              <w:rPr>
                <w:rFonts w:ascii="Times New Roman" w:eastAsia="Times New Roman" w:hAnsi="Times New Roman" w:cs="Times New Roman"/>
                <w:b/>
                <w:color w:val="000000" w:themeColor="text1"/>
                <w:sz w:val="24"/>
                <w:szCs w:val="24"/>
                <w:lang w:eastAsia="zh-CN"/>
              </w:rPr>
              <w:t>I</w:t>
            </w:r>
            <w:r w:rsidRPr="00EF397B">
              <w:rPr>
                <w:rFonts w:ascii="Times New Roman" w:eastAsia="Times New Roman" w:hAnsi="Times New Roman" w:cs="Times New Roman"/>
                <w:b/>
                <w:color w:val="000000" w:themeColor="text1"/>
                <w:sz w:val="24"/>
                <w:szCs w:val="24"/>
                <w:lang w:eastAsia="zh-CN"/>
              </w:rPr>
              <w:t xml:space="preserve"> pirkimo objekto dalis:</w:t>
            </w:r>
          </w:p>
          <w:p w14:paraId="3C045D37" w14:textId="77777777" w:rsidR="00EF397B" w:rsidRPr="00B32308" w:rsidRDefault="00B32308" w:rsidP="00B32308">
            <w:pPr>
              <w:jc w:val="both"/>
              <w:rPr>
                <w:rFonts w:ascii="Times New Roman" w:eastAsia="Times New Roman" w:hAnsi="Times New Roman" w:cs="Times New Roman"/>
                <w:color w:val="000000" w:themeColor="text1"/>
                <w:sz w:val="24"/>
                <w:szCs w:val="24"/>
                <w:lang w:eastAsia="zh-CN"/>
              </w:rPr>
            </w:pPr>
            <w:r w:rsidRPr="00B32308">
              <w:rPr>
                <w:rFonts w:ascii="Times New Roman" w:eastAsia="Times New Roman" w:hAnsi="Times New Roman" w:cs="Times New Roman"/>
                <w:color w:val="000000" w:themeColor="text1"/>
                <w:sz w:val="24"/>
                <w:szCs w:val="24"/>
                <w:lang w:eastAsia="zh-CN"/>
              </w:rPr>
              <w:t>a.)</w:t>
            </w:r>
            <w:r w:rsidRPr="00B32308">
              <w:rPr>
                <w:rFonts w:ascii="Times New Roman" w:eastAsia="Times New Roman" w:hAnsi="Times New Roman" w:cs="Times New Roman"/>
                <w:color w:val="000000" w:themeColor="text1"/>
                <w:sz w:val="24"/>
                <w:szCs w:val="24"/>
                <w:lang w:eastAsia="zh-CN"/>
              </w:rPr>
              <w:tab/>
              <w:t>Norime atkreipti perkančiosios organizacijos dėmesį į 1.10 punkte nurodytą kompiuterio USB jungčių kiekio reikalavimą, kuris, mūsų nuomone, yra perteklinis ir riboja konkurenciją, nes jį gali atitikti tik vienas gamintojas. Pažymime, kad, pavyzdžiui, monitoriuje numatyta papildomų USB jungčių, kurios gali patenkinti didesnį jungčių poreikį, todėl kompiuterio USB jungčių skaičiaus reikalavimas yra nepagrįstai aukštas. Siekiant užtikrinti sąžiningą konkurenciją ir sudaryti sąlygas didesnio gamintojų skaičiaus dalyvavimui, prašome peržiūrėti ir pakoreguoti 1.10 punktą sumažinant kompiuterio USB jungčių kiekio reikalavimą ir pašalinant išplėtimo galimybių apribojimus. Prašome koreguoti 1.11 punktą taip:</w:t>
            </w:r>
          </w:p>
          <w:p w14:paraId="12101E41" w14:textId="159CAE21" w:rsidR="00B32308" w:rsidRPr="0006301E" w:rsidRDefault="00B32308" w:rsidP="00E412E2">
            <w:pPr>
              <w:rPr>
                <w:rFonts w:ascii="Times New Roman" w:eastAsia="Times New Roman" w:hAnsi="Times New Roman" w:cs="Times New Roman"/>
                <w:b/>
                <w:color w:val="000000" w:themeColor="text1"/>
                <w:sz w:val="24"/>
                <w:szCs w:val="24"/>
                <w:lang w:eastAsia="zh-CN"/>
              </w:rPr>
            </w:pPr>
            <w:r w:rsidRPr="00B32308">
              <w:rPr>
                <w:rFonts w:ascii="Times New Roman" w:eastAsia="Times New Roman" w:hAnsi="Times New Roman" w:cs="Times New Roman"/>
                <w:b/>
                <w:noProof/>
                <w:color w:val="000000" w:themeColor="text1"/>
                <w:sz w:val="24"/>
                <w:szCs w:val="24"/>
                <w:lang w:eastAsia="lt-LT"/>
              </w:rPr>
              <w:drawing>
                <wp:inline distT="0" distB="0" distL="0" distR="0" wp14:anchorId="36D0E295" wp14:editId="0691499F">
                  <wp:extent cx="4093210" cy="146748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93210" cy="1467485"/>
                          </a:xfrm>
                          <a:prstGeom prst="rect">
                            <a:avLst/>
                          </a:prstGeom>
                        </pic:spPr>
                      </pic:pic>
                    </a:graphicData>
                  </a:graphic>
                </wp:inline>
              </w:drawing>
            </w:r>
          </w:p>
        </w:tc>
        <w:tc>
          <w:tcPr>
            <w:tcW w:w="6521" w:type="dxa"/>
            <w:shd w:val="clear" w:color="auto" w:fill="DEEAF6" w:themeFill="accent1" w:themeFillTint="33"/>
            <w:vAlign w:val="center"/>
          </w:tcPr>
          <w:p w14:paraId="51044D22" w14:textId="087ED750" w:rsidR="00BA762F" w:rsidRPr="007739CC" w:rsidRDefault="00BA762F" w:rsidP="00BA762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Perkančioji organizacija paaiškina, kad </w:t>
            </w:r>
            <w:r w:rsidRPr="007739CC">
              <w:rPr>
                <w:rFonts w:ascii="Times New Roman" w:hAnsi="Times New Roman" w:cs="Times New Roman"/>
                <w:sz w:val="24"/>
                <w:szCs w:val="24"/>
              </w:rPr>
              <w:t>Lietuvos kriminalinės policijos biuro techninis padalinys, dirbdamas su kriminalistiniais IT įkalčiais, atlieka šiuos veiksmus, kurių metu būtinas gausus ir greitai pasiekiamas USB jungčių skaičius:</w:t>
            </w:r>
          </w:p>
          <w:p w14:paraId="2D100485" w14:textId="77777777" w:rsidR="00BA762F"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1. Vienu metu prijungiami keli USB „write-blocker“ (įrašymo blokatoriai) skirtingų formatų laikmenoms (pvz., SATA, NVMe, IDE, mSATA ir kt.). Kiekvienas iš jų užima atskirą USB prievadą.</w:t>
            </w:r>
          </w:p>
          <w:p w14:paraId="5A8A1CC2" w14:textId="77777777" w:rsidR="00BA762F" w:rsidRPr="007739CC"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2. Duomenų nuskaitymui, kopijavimui ir klonavimui naudojami išoriniai diskai – kiekvienam reikia atskiros USB jungties.</w:t>
            </w:r>
          </w:p>
          <w:p w14:paraId="7F7E3263" w14:textId="77777777" w:rsidR="00BA762F" w:rsidRPr="007739CC"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3. Papildomi įrenginiai: klaviatūra, pelė, USB raktai su įrankiais, USB Ethernet adapteriai, kiti periferiniai analizės įrankiai – taip pat reikalauja USB prijungimo galimybės.</w:t>
            </w:r>
          </w:p>
          <w:p w14:paraId="27600018" w14:textId="77777777" w:rsidR="00BA762F" w:rsidRPr="007739CC"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4. Programų licencijų raktai  jungiami per USB sąsajas (pvz., X-Ways, EnCase ar FTK), dažnu atveju keliomis programomis dirbama vienu metu.</w:t>
            </w:r>
          </w:p>
          <w:p w14:paraId="28F06393" w14:textId="77777777" w:rsidR="00BA762F" w:rsidRPr="007739CC"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5. USB prievadų kiekio reikalavimas – tai ne patogumo, o įrodymų vientisumo, darbo greičio ir proceso efektyvumo klausimas.</w:t>
            </w:r>
          </w:p>
          <w:p w14:paraId="2928C37D" w14:textId="77777777" w:rsidR="00BA762F" w:rsidRPr="007739CC"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Monitoriaus USB jungtys nėra prilygintinos kompiuterio USB jungtims: techniniai ir funkciniai skirtumai:</w:t>
            </w:r>
            <w:r>
              <w:rPr>
                <w:rFonts w:ascii="Times New Roman" w:hAnsi="Times New Roman" w:cs="Times New Roman"/>
                <w:sz w:val="24"/>
                <w:szCs w:val="24"/>
              </w:rPr>
              <w:t xml:space="preserve"> m</w:t>
            </w:r>
            <w:r w:rsidRPr="007739CC">
              <w:rPr>
                <w:rFonts w:ascii="Times New Roman" w:hAnsi="Times New Roman" w:cs="Times New Roman"/>
                <w:sz w:val="24"/>
                <w:szCs w:val="24"/>
              </w:rPr>
              <w:t>onitoriaus USB jungtys veikia tik kaip HUB’as, t. y. signalas vis tiek keliauja per vieną USB liniją į kompiuterį (dažniausiai per vieną USB-C arba USB-B jungtį), todėl:</w:t>
            </w:r>
          </w:p>
          <w:p w14:paraId="1BE05805" w14:textId="77777777" w:rsidR="00BA762F" w:rsidRPr="007739CC"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 xml:space="preserve">a) </w:t>
            </w:r>
            <w:r>
              <w:rPr>
                <w:rFonts w:ascii="Times New Roman" w:hAnsi="Times New Roman" w:cs="Times New Roman"/>
                <w:sz w:val="24"/>
                <w:szCs w:val="24"/>
              </w:rPr>
              <w:t>v</w:t>
            </w:r>
            <w:r w:rsidRPr="007739CC">
              <w:rPr>
                <w:rFonts w:ascii="Times New Roman" w:hAnsi="Times New Roman" w:cs="Times New Roman"/>
                <w:sz w:val="24"/>
                <w:szCs w:val="24"/>
              </w:rPr>
              <w:t>isi prijungti įrenginiai dalinasi vieną USB kanalą, o tai riboja spartą (kritiška, kai vienu metu prijungta daug laikmenų);</w:t>
            </w:r>
          </w:p>
          <w:p w14:paraId="089D87D8" w14:textId="77777777" w:rsidR="00BA762F" w:rsidRPr="007739CC"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 xml:space="preserve">b) </w:t>
            </w:r>
            <w:r>
              <w:rPr>
                <w:rFonts w:ascii="Times New Roman" w:hAnsi="Times New Roman" w:cs="Times New Roman"/>
                <w:sz w:val="24"/>
                <w:szCs w:val="24"/>
              </w:rPr>
              <w:t>v</w:t>
            </w:r>
            <w:r w:rsidRPr="007739CC">
              <w:rPr>
                <w:rFonts w:ascii="Times New Roman" w:hAnsi="Times New Roman" w:cs="Times New Roman"/>
                <w:sz w:val="24"/>
                <w:szCs w:val="24"/>
              </w:rPr>
              <w:t>ieno įrenginio trikdžiai gali paveikti kitus (pvz., viena laikmena atsijungia – paveikiamos visos).</w:t>
            </w:r>
          </w:p>
          <w:p w14:paraId="1E711CA6" w14:textId="77777777" w:rsidR="00BA762F"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lastRenderedPageBreak/>
              <w:t>Energijos tiekimas per monitorių yra ribotas, todėl prijungus du ar daugiau energijos reikalaujančių įrenginių (pvz., SSD, diskinius write-blocker’ius), gali iškilti įrenginių atsijungimai, gedimai ar tyrimo proceso nutrūkimas (rizika prarasti ar pažeisti įrodymus).</w:t>
            </w:r>
            <w:r>
              <w:rPr>
                <w:rFonts w:ascii="Times New Roman" w:hAnsi="Times New Roman" w:cs="Times New Roman"/>
                <w:sz w:val="24"/>
                <w:szCs w:val="24"/>
              </w:rPr>
              <w:t xml:space="preserve"> </w:t>
            </w:r>
          </w:p>
          <w:p w14:paraId="7464C21A" w14:textId="77777777" w:rsidR="00BA762F" w:rsidRDefault="00BA762F" w:rsidP="00BA762F">
            <w:pPr>
              <w:autoSpaceDE w:val="0"/>
              <w:autoSpaceDN w:val="0"/>
              <w:adjustRightInd w:val="0"/>
              <w:spacing w:before="100" w:beforeAutospacing="1" w:after="100" w:afterAutospacing="1"/>
              <w:jc w:val="both"/>
              <w:rPr>
                <w:rFonts w:ascii="Times New Roman" w:hAnsi="Times New Roman" w:cs="Times New Roman"/>
                <w:sz w:val="24"/>
                <w:szCs w:val="24"/>
              </w:rPr>
            </w:pPr>
            <w:r w:rsidRPr="007739CC">
              <w:rPr>
                <w:rFonts w:ascii="Times New Roman" w:hAnsi="Times New Roman" w:cs="Times New Roman"/>
                <w:sz w:val="24"/>
                <w:szCs w:val="24"/>
              </w:rPr>
              <w:t>USB Type-C reikalavimas grindžiamas tuo, kad modernios laikmenos ir kai kurie kriminalistiniai įrenginiai (pvz., SSD su NVMe-USB-C keitikliais, mobilieji telefonai ar jų klonavimo rinkiniai) naudoja būtent šį jungties tipą. Kadangi vienu metu prijungiami yra keli įrenginiai tam reikalingi daugiau nei 1 USB Type-C jungtis.</w:t>
            </w:r>
          </w:p>
          <w:p w14:paraId="0F655392" w14:textId="77777777" w:rsidR="00EF397B" w:rsidRPr="0006301E" w:rsidRDefault="00EF397B" w:rsidP="00BA762F">
            <w:pPr>
              <w:jc w:val="both"/>
              <w:rPr>
                <w:rFonts w:ascii="Times New Roman" w:eastAsia="Times New Roman" w:hAnsi="Times New Roman" w:cs="Times New Roman"/>
                <w:b/>
                <w:color w:val="000000" w:themeColor="text1"/>
                <w:sz w:val="24"/>
                <w:szCs w:val="24"/>
                <w:lang w:eastAsia="zh-CN"/>
              </w:rPr>
            </w:pPr>
          </w:p>
        </w:tc>
      </w:tr>
      <w:tr w:rsidR="00E412E2" w:rsidRPr="0006301E" w14:paraId="3BD398E9" w14:textId="77777777" w:rsidTr="00C63691">
        <w:tc>
          <w:tcPr>
            <w:tcW w:w="1413" w:type="dxa"/>
            <w:shd w:val="clear" w:color="auto" w:fill="auto"/>
            <w:vAlign w:val="center"/>
          </w:tcPr>
          <w:p w14:paraId="48011091" w14:textId="77777777" w:rsidR="00E412E2" w:rsidRPr="0006301E" w:rsidRDefault="00E412E2" w:rsidP="00F15007">
            <w:pPr>
              <w:jc w:val="center"/>
              <w:rPr>
                <w:rFonts w:ascii="Times New Roman" w:eastAsia="Times New Roman" w:hAnsi="Times New Roman" w:cs="Times New Roman"/>
                <w:b/>
                <w:color w:val="000000" w:themeColor="text1"/>
                <w:sz w:val="24"/>
                <w:szCs w:val="24"/>
                <w:lang w:eastAsia="zh-CN"/>
              </w:rPr>
            </w:pPr>
          </w:p>
        </w:tc>
        <w:tc>
          <w:tcPr>
            <w:tcW w:w="6520" w:type="dxa"/>
            <w:shd w:val="clear" w:color="auto" w:fill="auto"/>
            <w:vAlign w:val="center"/>
          </w:tcPr>
          <w:p w14:paraId="313447E8" w14:textId="77777777" w:rsidR="00B32308" w:rsidRPr="00EF397B" w:rsidRDefault="00B32308" w:rsidP="00B32308">
            <w:pPr>
              <w:rPr>
                <w:rFonts w:ascii="Times New Roman" w:eastAsia="Times New Roman" w:hAnsi="Times New Roman" w:cs="Times New Roman"/>
                <w:b/>
                <w:color w:val="000000" w:themeColor="text1"/>
                <w:sz w:val="24"/>
                <w:szCs w:val="24"/>
                <w:lang w:eastAsia="zh-CN"/>
              </w:rPr>
            </w:pPr>
            <w:r w:rsidRPr="00B32308">
              <w:rPr>
                <w:rFonts w:ascii="Times New Roman" w:eastAsia="Times New Roman" w:hAnsi="Times New Roman" w:cs="Times New Roman"/>
                <w:color w:val="000000" w:themeColor="text1"/>
                <w:sz w:val="24"/>
                <w:szCs w:val="24"/>
                <w:lang w:eastAsia="zh-CN"/>
              </w:rPr>
              <w:t>Pirkimo sąlygų 2 priedas „Techninė specifikacija“</w:t>
            </w:r>
            <w:r w:rsidRPr="00EF397B">
              <w:rPr>
                <w:rFonts w:ascii="Times New Roman" w:eastAsia="Times New Roman" w:hAnsi="Times New Roman" w:cs="Times New Roman"/>
                <w:b/>
                <w:color w:val="000000" w:themeColor="text1"/>
                <w:sz w:val="24"/>
                <w:szCs w:val="24"/>
                <w:lang w:eastAsia="zh-CN"/>
              </w:rPr>
              <w:t xml:space="preserve"> I</w:t>
            </w:r>
            <w:r>
              <w:rPr>
                <w:rFonts w:ascii="Times New Roman" w:eastAsia="Times New Roman" w:hAnsi="Times New Roman" w:cs="Times New Roman"/>
                <w:b/>
                <w:color w:val="000000" w:themeColor="text1"/>
                <w:sz w:val="24"/>
                <w:szCs w:val="24"/>
                <w:lang w:eastAsia="zh-CN"/>
              </w:rPr>
              <w:t>I</w:t>
            </w:r>
            <w:r w:rsidRPr="00EF397B">
              <w:rPr>
                <w:rFonts w:ascii="Times New Roman" w:eastAsia="Times New Roman" w:hAnsi="Times New Roman" w:cs="Times New Roman"/>
                <w:b/>
                <w:color w:val="000000" w:themeColor="text1"/>
                <w:sz w:val="24"/>
                <w:szCs w:val="24"/>
                <w:lang w:eastAsia="zh-CN"/>
              </w:rPr>
              <w:t xml:space="preserve"> pirkimo objekto dalis:</w:t>
            </w:r>
          </w:p>
          <w:p w14:paraId="3F4DFE3F" w14:textId="77777777" w:rsidR="00E412E2" w:rsidRDefault="00B32308" w:rsidP="00B32308">
            <w:pPr>
              <w:jc w:val="both"/>
              <w:rPr>
                <w:rFonts w:ascii="Times New Roman" w:eastAsia="Times New Roman" w:hAnsi="Times New Roman" w:cs="Times New Roman"/>
                <w:color w:val="000000" w:themeColor="text1"/>
                <w:sz w:val="24"/>
                <w:szCs w:val="24"/>
                <w:lang w:eastAsia="zh-CN"/>
              </w:rPr>
            </w:pPr>
            <w:r w:rsidRPr="00B32308">
              <w:rPr>
                <w:rFonts w:ascii="Times New Roman" w:eastAsia="Times New Roman" w:hAnsi="Times New Roman" w:cs="Times New Roman"/>
                <w:b/>
                <w:color w:val="000000" w:themeColor="text1"/>
                <w:sz w:val="24"/>
                <w:szCs w:val="24"/>
                <w:lang w:eastAsia="zh-CN"/>
              </w:rPr>
              <w:t>b.)</w:t>
            </w:r>
            <w:r w:rsidRPr="00B32308">
              <w:rPr>
                <w:rFonts w:ascii="Times New Roman" w:eastAsia="Times New Roman" w:hAnsi="Times New Roman" w:cs="Times New Roman"/>
                <w:b/>
                <w:color w:val="000000" w:themeColor="text1"/>
                <w:sz w:val="24"/>
                <w:szCs w:val="24"/>
                <w:lang w:eastAsia="zh-CN"/>
              </w:rPr>
              <w:tab/>
              <w:t xml:space="preserve">Atkreipiame perkančiosios organizacijos dėmesį, kad reikalavimas monitoriaus įst-rižainei - „ne mažiau nei 48,8 colio“ - dirbtinai riboja konkurenciją. Pavyzdžiui, 44,5 colio įstrižainės </w:t>
            </w:r>
            <w:r w:rsidRPr="00B32308">
              <w:rPr>
                <w:rFonts w:ascii="Times New Roman" w:eastAsia="Times New Roman" w:hAnsi="Times New Roman" w:cs="Times New Roman"/>
                <w:color w:val="000000" w:themeColor="text1"/>
                <w:sz w:val="24"/>
                <w:szCs w:val="24"/>
                <w:lang w:eastAsia="zh-CN"/>
              </w:rPr>
              <w:t xml:space="preserve">monitorius, turintis tą pačią 5120x1440 raišką, pasižymi di-desniu pikselių tankiu, todėl užtikrina ryškesnį vaizdą ir mažesnį akių nuovargį. Be to, 44,5 colio monitorius yra kompaktiškesnis, todėl lengviau pritaikomas ma-žesnėse darbo vietose ar ant standartinio dydžio stalų. Taip pat pastebime, kad reikalavimas pasiekti 100 % sRGB spalvų aprėptį nepagrįstai apriboja konkurenci-ją. Sumažinus šį reikalavimą 1 procentu, skirtumas būtų nepastebimas žmogaus akiai, tačiau sudarytų galimybes didesnio gamintojų skaičiaus dalyvavimui. Dėl vaizdo jungčių kiekio, prašome peržiūrėti reikalavimus pateikiant juos taip, kad nebūtų apribojamos kitos jungtys, galinčios užtikrinti nurodytą funkcionalumą, ir tokiu būdu skatinti sąžiningą konkurenciją. Prašome įvertinti mūsų pastabas ir pa-koreguoti atitinkamus konkurso techninius reikalavimus, kad būtų sudarytos vie-nodos sąlygos visiems tiekėjams. Monitoriaus „Swivel“ –30°/+30° reikalavimas yra nelogiškas ir ribojantis konkurenciją, </w:t>
            </w:r>
            <w:r w:rsidRPr="00B32308">
              <w:rPr>
                <w:rFonts w:ascii="Times New Roman" w:eastAsia="Times New Roman" w:hAnsi="Times New Roman" w:cs="Times New Roman"/>
                <w:color w:val="000000" w:themeColor="text1"/>
                <w:sz w:val="24"/>
                <w:szCs w:val="24"/>
                <w:lang w:eastAsia="zh-CN"/>
              </w:rPr>
              <w:lastRenderedPageBreak/>
              <w:t>monitorius yra lenktos formos ir pakan-kamai didelis, tad jo sukinėjimas netenka prasmės. Dėl monitoriaus reikalavimų prašome šių korekcijų:</w:t>
            </w:r>
          </w:p>
          <w:p w14:paraId="0AE64DEB" w14:textId="77777777" w:rsidR="00B32308" w:rsidRDefault="00B32308" w:rsidP="00B32308">
            <w:pPr>
              <w:jc w:val="both"/>
              <w:rPr>
                <w:rFonts w:ascii="Times New Roman" w:eastAsia="Times New Roman" w:hAnsi="Times New Roman" w:cs="Times New Roman"/>
                <w:color w:val="000000" w:themeColor="text1"/>
                <w:sz w:val="24"/>
                <w:szCs w:val="24"/>
                <w:lang w:eastAsia="zh-CN"/>
              </w:rPr>
            </w:pPr>
          </w:p>
          <w:p w14:paraId="6BE55C1F" w14:textId="79F802FD" w:rsidR="00B32308" w:rsidRPr="0006301E" w:rsidRDefault="00B32308" w:rsidP="00B32308">
            <w:pPr>
              <w:jc w:val="both"/>
              <w:rPr>
                <w:rFonts w:ascii="Times New Roman" w:eastAsia="Times New Roman" w:hAnsi="Times New Roman" w:cs="Times New Roman"/>
                <w:b/>
                <w:color w:val="000000" w:themeColor="text1"/>
                <w:sz w:val="24"/>
                <w:szCs w:val="24"/>
                <w:lang w:eastAsia="zh-CN"/>
              </w:rPr>
            </w:pPr>
            <w:r w:rsidRPr="00B32308">
              <w:rPr>
                <w:rFonts w:ascii="Times New Roman" w:eastAsia="Times New Roman" w:hAnsi="Times New Roman" w:cs="Times New Roman"/>
                <w:b/>
                <w:noProof/>
                <w:color w:val="000000" w:themeColor="text1"/>
                <w:sz w:val="24"/>
                <w:szCs w:val="24"/>
                <w:lang w:eastAsia="lt-LT"/>
              </w:rPr>
              <w:drawing>
                <wp:inline distT="0" distB="0" distL="0" distR="0" wp14:anchorId="3A97AA42" wp14:editId="676B73AD">
                  <wp:extent cx="4093210" cy="427545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93210" cy="4275455"/>
                          </a:xfrm>
                          <a:prstGeom prst="rect">
                            <a:avLst/>
                          </a:prstGeom>
                        </pic:spPr>
                      </pic:pic>
                    </a:graphicData>
                  </a:graphic>
                </wp:inline>
              </w:drawing>
            </w:r>
          </w:p>
        </w:tc>
        <w:tc>
          <w:tcPr>
            <w:tcW w:w="6521" w:type="dxa"/>
            <w:shd w:val="clear" w:color="auto" w:fill="DEEAF6" w:themeFill="accent1" w:themeFillTint="33"/>
          </w:tcPr>
          <w:p w14:paraId="6E005B22" w14:textId="56151110" w:rsidR="00BA762F" w:rsidRPr="007739CC" w:rsidRDefault="00BA762F" w:rsidP="00BA762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Perkančioji organizacija, paaiškina, kad m</w:t>
            </w:r>
            <w:r w:rsidRPr="007739CC">
              <w:rPr>
                <w:rFonts w:ascii="Times New Roman" w:hAnsi="Times New Roman" w:cs="Times New Roman"/>
                <w:sz w:val="24"/>
                <w:szCs w:val="24"/>
              </w:rPr>
              <w:t>onitoriaus įstrižainės reikalavimas ne mažesnis kaip 48,8 colio yra tiesiogiai susijęs su darbo specifika ir darbo vietų efektyvumu, ypač atliekant kriminalistinius skaitmeninius tyrimus ir analizę, kur būtina:</w:t>
            </w:r>
          </w:p>
          <w:p w14:paraId="1EB51B7E" w14:textId="77777777" w:rsidR="00BA762F" w:rsidRPr="007739CC"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 xml:space="preserve">1. </w:t>
            </w:r>
            <w:r>
              <w:rPr>
                <w:rFonts w:ascii="Times New Roman" w:hAnsi="Times New Roman" w:cs="Times New Roman"/>
                <w:sz w:val="24"/>
                <w:szCs w:val="24"/>
              </w:rPr>
              <w:t>V</w:t>
            </w:r>
            <w:r w:rsidRPr="007739CC">
              <w:rPr>
                <w:rFonts w:ascii="Times New Roman" w:hAnsi="Times New Roman" w:cs="Times New Roman"/>
                <w:sz w:val="24"/>
                <w:szCs w:val="24"/>
              </w:rPr>
              <w:t>ienu metu matyti kelių skirtingų duomenų šaltinių informaciją: pvz., viename ekrano trečdalyje – „disk image“ naršyklė, kitame – „hex editor“, o trečiame – papildomos metaduomenų analizės priemonėmis.</w:t>
            </w:r>
          </w:p>
          <w:p w14:paraId="24EC793B" w14:textId="77777777" w:rsidR="00BA762F" w:rsidRPr="007739CC"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2. Dirbti su didelių apimčių failų struktūromis, pvz., kelių tūkstančių failų hierarchijomis, kur standartinis ekranas netelpa.</w:t>
            </w:r>
          </w:p>
          <w:p w14:paraId="1EF398B7" w14:textId="77777777" w:rsidR="00BA762F" w:rsidRPr="007739CC"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3. Vykdyti vaizdo stebėjimo analizę arba video įrašų peržiūrą su laiko juostomis ir įvykių sinchronizavimu, kur būtinas platus darbo plotas.</w:t>
            </w:r>
          </w:p>
          <w:p w14:paraId="02365483" w14:textId="77777777" w:rsidR="00BA762F" w:rsidRPr="007739CC"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Be to, 48,8“ 5120x1440 monitoriai yra rinkoje prieinami bent kelių skirtingų gamintojų (pvz., Samsung, Dell, LG, Philips, Lenovo), todėl šis reikalavimas nekuria vieno tiekėjo pranašumo.</w:t>
            </w:r>
          </w:p>
          <w:p w14:paraId="7954E99F" w14:textId="77777777" w:rsidR="00BA762F" w:rsidRPr="007739CC"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t>Darbuotojai praleidžia daug laiko analizuodami vaizdo medžiagą, dėl šios priežasties reikia kuo geresnės spalvų aprėpties , be to, sRGB 100 % arba DCI-P3 98 % standartus atitinkantys monitoriai šiandien yra plataus prieinamumo klasė, todėl ir čia konkurencija nėra ribojama.</w:t>
            </w:r>
          </w:p>
          <w:p w14:paraId="49937645" w14:textId="77777777" w:rsidR="00BA762F" w:rsidRDefault="00BA762F" w:rsidP="00BA762F">
            <w:pPr>
              <w:autoSpaceDE w:val="0"/>
              <w:autoSpaceDN w:val="0"/>
              <w:adjustRightInd w:val="0"/>
              <w:jc w:val="both"/>
              <w:rPr>
                <w:rFonts w:ascii="Times New Roman" w:hAnsi="Times New Roman" w:cs="Times New Roman"/>
                <w:sz w:val="24"/>
                <w:szCs w:val="24"/>
              </w:rPr>
            </w:pPr>
            <w:r w:rsidRPr="007739CC">
              <w:rPr>
                <w:rFonts w:ascii="Times New Roman" w:hAnsi="Times New Roman" w:cs="Times New Roman"/>
                <w:sz w:val="24"/>
                <w:szCs w:val="24"/>
              </w:rPr>
              <w:lastRenderedPageBreak/>
              <w:t>Darbuotojai darbo vietoje dirba su kompiuteriais (ne mažiau 3 vnt.) kurie prijungti prie vieno monitoriaus, tam reikia ne mažiau kaip 3 vnt. vaizdo jungčių kiekio.</w:t>
            </w:r>
          </w:p>
          <w:p w14:paraId="590BFC1C" w14:textId="77777777" w:rsidR="00E412E2" w:rsidRPr="0006301E" w:rsidRDefault="00E412E2" w:rsidP="00BA762F">
            <w:pPr>
              <w:rPr>
                <w:rFonts w:ascii="Times New Roman" w:eastAsia="Times New Roman" w:hAnsi="Times New Roman" w:cs="Times New Roman"/>
                <w:b/>
                <w:color w:val="000000" w:themeColor="text1"/>
                <w:sz w:val="24"/>
                <w:szCs w:val="24"/>
                <w:lang w:eastAsia="zh-CN"/>
              </w:rPr>
            </w:pPr>
          </w:p>
        </w:tc>
      </w:tr>
      <w:tr w:rsidR="00E412E2" w:rsidRPr="0006301E" w14:paraId="0F70ADBC" w14:textId="77777777" w:rsidTr="00C63691">
        <w:tc>
          <w:tcPr>
            <w:tcW w:w="1413" w:type="dxa"/>
            <w:shd w:val="clear" w:color="auto" w:fill="auto"/>
            <w:vAlign w:val="center"/>
          </w:tcPr>
          <w:p w14:paraId="33A6B693" w14:textId="77777777" w:rsidR="00E412E2" w:rsidRPr="0006301E" w:rsidRDefault="00E412E2" w:rsidP="00F15007">
            <w:pPr>
              <w:jc w:val="center"/>
              <w:rPr>
                <w:rFonts w:ascii="Times New Roman" w:eastAsia="Times New Roman" w:hAnsi="Times New Roman" w:cs="Times New Roman"/>
                <w:b/>
                <w:color w:val="000000" w:themeColor="text1"/>
                <w:sz w:val="24"/>
                <w:szCs w:val="24"/>
                <w:lang w:eastAsia="zh-CN"/>
              </w:rPr>
            </w:pPr>
          </w:p>
        </w:tc>
        <w:tc>
          <w:tcPr>
            <w:tcW w:w="6520" w:type="dxa"/>
            <w:shd w:val="clear" w:color="auto" w:fill="auto"/>
            <w:vAlign w:val="center"/>
          </w:tcPr>
          <w:p w14:paraId="2349203C" w14:textId="77777777" w:rsidR="00B32308" w:rsidRPr="00EF397B" w:rsidRDefault="00B32308" w:rsidP="00B32308">
            <w:pPr>
              <w:rPr>
                <w:rFonts w:ascii="Times New Roman" w:eastAsia="Times New Roman" w:hAnsi="Times New Roman" w:cs="Times New Roman"/>
                <w:b/>
                <w:color w:val="000000" w:themeColor="text1"/>
                <w:sz w:val="24"/>
                <w:szCs w:val="24"/>
                <w:lang w:eastAsia="zh-CN"/>
              </w:rPr>
            </w:pPr>
            <w:r w:rsidRPr="00B32308">
              <w:rPr>
                <w:rFonts w:ascii="Times New Roman" w:eastAsia="Times New Roman" w:hAnsi="Times New Roman" w:cs="Times New Roman"/>
                <w:color w:val="000000" w:themeColor="text1"/>
                <w:sz w:val="24"/>
                <w:szCs w:val="24"/>
                <w:lang w:eastAsia="zh-CN"/>
              </w:rPr>
              <w:t>Pirkimo sąlygų 2 priedas „Techninė specifikacija“</w:t>
            </w:r>
            <w:r w:rsidRPr="00EF397B">
              <w:rPr>
                <w:rFonts w:ascii="Times New Roman" w:eastAsia="Times New Roman" w:hAnsi="Times New Roman" w:cs="Times New Roman"/>
                <w:b/>
                <w:color w:val="000000" w:themeColor="text1"/>
                <w:sz w:val="24"/>
                <w:szCs w:val="24"/>
                <w:lang w:eastAsia="zh-CN"/>
              </w:rPr>
              <w:t xml:space="preserve"> I</w:t>
            </w:r>
            <w:r>
              <w:rPr>
                <w:rFonts w:ascii="Times New Roman" w:eastAsia="Times New Roman" w:hAnsi="Times New Roman" w:cs="Times New Roman"/>
                <w:b/>
                <w:color w:val="000000" w:themeColor="text1"/>
                <w:sz w:val="24"/>
                <w:szCs w:val="24"/>
                <w:lang w:eastAsia="zh-CN"/>
              </w:rPr>
              <w:t>I</w:t>
            </w:r>
            <w:r w:rsidRPr="00EF397B">
              <w:rPr>
                <w:rFonts w:ascii="Times New Roman" w:eastAsia="Times New Roman" w:hAnsi="Times New Roman" w:cs="Times New Roman"/>
                <w:b/>
                <w:color w:val="000000" w:themeColor="text1"/>
                <w:sz w:val="24"/>
                <w:szCs w:val="24"/>
                <w:lang w:eastAsia="zh-CN"/>
              </w:rPr>
              <w:t xml:space="preserve"> pirkimo objekto dalis:</w:t>
            </w:r>
          </w:p>
          <w:p w14:paraId="3DD3E781" w14:textId="77777777" w:rsidR="00E412E2" w:rsidRDefault="00B32308" w:rsidP="00B32308">
            <w:pPr>
              <w:jc w:val="both"/>
              <w:rPr>
                <w:rFonts w:ascii="Times New Roman" w:eastAsia="Times New Roman" w:hAnsi="Times New Roman" w:cs="Times New Roman"/>
                <w:color w:val="000000" w:themeColor="text1"/>
                <w:sz w:val="24"/>
                <w:szCs w:val="24"/>
                <w:lang w:eastAsia="zh-CN"/>
              </w:rPr>
            </w:pPr>
            <w:r w:rsidRPr="00B32308">
              <w:rPr>
                <w:rFonts w:ascii="Times New Roman" w:eastAsia="Times New Roman" w:hAnsi="Times New Roman" w:cs="Times New Roman"/>
                <w:color w:val="000000" w:themeColor="text1"/>
                <w:sz w:val="24"/>
                <w:szCs w:val="24"/>
                <w:lang w:eastAsia="zh-CN"/>
              </w:rPr>
              <w:t>c.)</w:t>
            </w:r>
            <w:r w:rsidRPr="00B32308">
              <w:rPr>
                <w:rFonts w:ascii="Times New Roman" w:eastAsia="Times New Roman" w:hAnsi="Times New Roman" w:cs="Times New Roman"/>
                <w:color w:val="000000" w:themeColor="text1"/>
                <w:sz w:val="24"/>
                <w:szCs w:val="24"/>
                <w:lang w:eastAsia="zh-CN"/>
              </w:rPr>
              <w:tab/>
              <w:t xml:space="preserve">Dėl perteklinių ir konkurenciją ribojančių aplinkosauginių reikalavimų norime atkreipti perkančiosios organizacijos dėmesį į 1.22 punkte „Sertifikatai ir kokybės reikalavimai“ nurodytą EPEAT Gold sertifikato reikalavimą. </w:t>
            </w:r>
            <w:r w:rsidRPr="00B32308">
              <w:rPr>
                <w:rFonts w:ascii="Times New Roman" w:eastAsia="Times New Roman" w:hAnsi="Times New Roman" w:cs="Times New Roman"/>
                <w:color w:val="000000" w:themeColor="text1"/>
                <w:sz w:val="24"/>
                <w:szCs w:val="24"/>
                <w:lang w:eastAsia="zh-CN"/>
              </w:rPr>
              <w:lastRenderedPageBreak/>
              <w:t>Mūsų nuomone, šis reikalavimas yra perteklinis ir nepagrįstas, nes EPEAT Gold sertifikatas atspindi gaminio tvarumą bei draugiškumą aplinkai, o ne apibrėžia gaminio kokybę. Toks reikalavimas dirbtinai riboja konkurenciją, sudarydamas galimybes dalyvauti konkurse tik ribotam gamintojų skaičiui. Siūlome pakoreguoti 1.22 punktą taip, kad būtų pašalintas EPEAT Gold sertifikato reikalavimas. Ši korekcija neturės įtakos gaminio kokybei ir sudarys sąlygas didesnio tiekėjų skaičiaus dalyvavimui.</w:t>
            </w:r>
          </w:p>
          <w:p w14:paraId="141BEE9B" w14:textId="77777777" w:rsidR="00B32308" w:rsidRDefault="00B32308" w:rsidP="00B32308">
            <w:pPr>
              <w:jc w:val="both"/>
              <w:rPr>
                <w:rFonts w:ascii="Times New Roman" w:eastAsia="Times New Roman" w:hAnsi="Times New Roman" w:cs="Times New Roman"/>
                <w:color w:val="000000" w:themeColor="text1"/>
                <w:sz w:val="24"/>
                <w:szCs w:val="24"/>
                <w:lang w:eastAsia="zh-CN"/>
              </w:rPr>
            </w:pPr>
          </w:p>
          <w:p w14:paraId="49D5A77D" w14:textId="008E36BC" w:rsidR="00B32308" w:rsidRDefault="007722EC" w:rsidP="00B32308">
            <w:pPr>
              <w:jc w:val="both"/>
              <w:rPr>
                <w:rFonts w:ascii="Times New Roman" w:eastAsia="Times New Roman" w:hAnsi="Times New Roman" w:cs="Times New Roman"/>
                <w:color w:val="000000" w:themeColor="text1"/>
                <w:sz w:val="24"/>
                <w:szCs w:val="24"/>
                <w:lang w:eastAsia="zh-CN"/>
              </w:rPr>
            </w:pPr>
            <w:r w:rsidRPr="007722EC">
              <w:rPr>
                <w:rFonts w:ascii="Times New Roman" w:eastAsia="Times New Roman" w:hAnsi="Times New Roman" w:cs="Times New Roman"/>
                <w:noProof/>
                <w:color w:val="000000" w:themeColor="text1"/>
                <w:sz w:val="24"/>
                <w:szCs w:val="24"/>
                <w:lang w:eastAsia="lt-LT"/>
              </w:rPr>
              <w:drawing>
                <wp:inline distT="0" distB="0" distL="0" distR="0" wp14:anchorId="6AD681BE" wp14:editId="423C3FC0">
                  <wp:extent cx="4093210" cy="163195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3210" cy="1631950"/>
                          </a:xfrm>
                          <a:prstGeom prst="rect">
                            <a:avLst/>
                          </a:prstGeom>
                        </pic:spPr>
                      </pic:pic>
                    </a:graphicData>
                  </a:graphic>
                </wp:inline>
              </w:drawing>
            </w:r>
          </w:p>
          <w:p w14:paraId="1DB706A9" w14:textId="0E9D7672" w:rsidR="00B32308" w:rsidRPr="00B32308" w:rsidRDefault="00B32308" w:rsidP="00B32308">
            <w:pPr>
              <w:jc w:val="both"/>
              <w:rPr>
                <w:rFonts w:ascii="Times New Roman" w:eastAsia="Times New Roman" w:hAnsi="Times New Roman" w:cs="Times New Roman"/>
                <w:color w:val="000000" w:themeColor="text1"/>
                <w:sz w:val="24"/>
                <w:szCs w:val="24"/>
                <w:lang w:eastAsia="zh-CN"/>
              </w:rPr>
            </w:pPr>
          </w:p>
        </w:tc>
        <w:tc>
          <w:tcPr>
            <w:tcW w:w="6521" w:type="dxa"/>
            <w:shd w:val="clear" w:color="auto" w:fill="DEEAF6" w:themeFill="accent1" w:themeFillTint="33"/>
            <w:vAlign w:val="center"/>
          </w:tcPr>
          <w:p w14:paraId="67567E1D" w14:textId="3BFB68D1" w:rsidR="00EA2DC4" w:rsidRPr="00F25DA1" w:rsidRDefault="00EA2DC4" w:rsidP="00EA2DC4">
            <w:pPr>
              <w:pStyle w:val="ListParagraph"/>
              <w:autoSpaceDE w:val="0"/>
              <w:autoSpaceDN w:val="0"/>
              <w:adjustRightInd w:val="0"/>
              <w:spacing w:before="100" w:beforeAutospacing="1" w:after="100" w:afterAutospacing="1"/>
              <w:ind w:left="0"/>
              <w:jc w:val="both"/>
              <w:rPr>
                <w:rFonts w:ascii="Times New Roman" w:hAnsi="Times New Roman" w:cs="Times New Roman"/>
                <w:b/>
                <w:bCs/>
                <w:sz w:val="24"/>
                <w:szCs w:val="24"/>
              </w:rPr>
            </w:pPr>
            <w:r w:rsidRPr="00EA2DC4">
              <w:rPr>
                <w:rFonts w:ascii="Times New Roman" w:eastAsia="Times New Roman" w:hAnsi="Times New Roman" w:cs="Times New Roman"/>
                <w:color w:val="000000" w:themeColor="text1"/>
                <w:sz w:val="24"/>
                <w:szCs w:val="24"/>
                <w:lang w:eastAsia="zh-CN"/>
              </w:rPr>
              <w:lastRenderedPageBreak/>
              <w:t>Perkančioji organizacija pakartoja, kad</w:t>
            </w:r>
            <w:r>
              <w:rPr>
                <w:rFonts w:ascii="Times New Roman" w:eastAsia="Times New Roman" w:hAnsi="Times New Roman" w:cs="Times New Roman"/>
                <w:b/>
                <w:color w:val="000000" w:themeColor="text1"/>
                <w:sz w:val="24"/>
                <w:szCs w:val="24"/>
                <w:lang w:eastAsia="zh-CN"/>
              </w:rPr>
              <w:t xml:space="preserve"> </w:t>
            </w:r>
            <w:r w:rsidRPr="007739CC">
              <w:rPr>
                <w:rFonts w:ascii="Times New Roman" w:hAnsi="Times New Roman" w:cs="Times New Roman"/>
                <w:sz w:val="24"/>
                <w:szCs w:val="24"/>
              </w:rPr>
              <w:t>EPEAT Gold arba lygiavertis sertifikatas nėra tik aplinkosauginis ženklinimas – jis taip pat apima ilgaamžiškumo, atnaujinamumo, energijos vartojimo ir perdirb</w:t>
            </w:r>
            <w:r>
              <w:rPr>
                <w:rFonts w:ascii="Times New Roman" w:hAnsi="Times New Roman" w:cs="Times New Roman"/>
                <w:sz w:val="24"/>
                <w:szCs w:val="24"/>
              </w:rPr>
              <w:t>i</w:t>
            </w:r>
            <w:r w:rsidRPr="007739CC">
              <w:rPr>
                <w:rFonts w:ascii="Times New Roman" w:hAnsi="Times New Roman" w:cs="Times New Roman"/>
                <w:sz w:val="24"/>
                <w:szCs w:val="24"/>
              </w:rPr>
              <w:t xml:space="preserve">mo kriterijus. Kadangi planuojama įranga intensyviai naudojama 24/7 režimu, šis sertifikatas užtikrina tiek produkto kokybę, tiek aplinkosaugą, tiek eksploatacinius </w:t>
            </w:r>
            <w:r w:rsidRPr="007739CC">
              <w:rPr>
                <w:rFonts w:ascii="Times New Roman" w:hAnsi="Times New Roman" w:cs="Times New Roman"/>
                <w:sz w:val="24"/>
                <w:szCs w:val="24"/>
              </w:rPr>
              <w:lastRenderedPageBreak/>
              <w:t>parametrus. EPEAT Gold sertifikatą turi ne vienas gamintojas, todėl konkurencija nėra ribojama.</w:t>
            </w:r>
          </w:p>
          <w:p w14:paraId="11875265" w14:textId="0AD14248" w:rsidR="00E412E2" w:rsidRPr="0006301E" w:rsidRDefault="00E412E2" w:rsidP="00E412E2">
            <w:pPr>
              <w:rPr>
                <w:rFonts w:ascii="Times New Roman" w:eastAsia="Times New Roman" w:hAnsi="Times New Roman" w:cs="Times New Roman"/>
                <w:b/>
                <w:color w:val="000000" w:themeColor="text1"/>
                <w:sz w:val="24"/>
                <w:szCs w:val="24"/>
                <w:lang w:eastAsia="zh-CN"/>
              </w:rPr>
            </w:pPr>
          </w:p>
        </w:tc>
      </w:tr>
      <w:tr w:rsidR="00E412E2" w:rsidRPr="0006301E" w14:paraId="53FE5B89" w14:textId="77777777" w:rsidTr="00C63691">
        <w:tc>
          <w:tcPr>
            <w:tcW w:w="1413" w:type="dxa"/>
            <w:shd w:val="clear" w:color="auto" w:fill="auto"/>
            <w:vAlign w:val="center"/>
          </w:tcPr>
          <w:p w14:paraId="5E566455" w14:textId="77777777" w:rsidR="00E412E2" w:rsidRPr="0006301E" w:rsidRDefault="00E412E2" w:rsidP="00F15007">
            <w:pPr>
              <w:jc w:val="center"/>
              <w:rPr>
                <w:rFonts w:ascii="Times New Roman" w:eastAsia="Times New Roman" w:hAnsi="Times New Roman" w:cs="Times New Roman"/>
                <w:b/>
                <w:color w:val="000000" w:themeColor="text1"/>
                <w:sz w:val="24"/>
                <w:szCs w:val="24"/>
                <w:lang w:eastAsia="zh-CN"/>
              </w:rPr>
            </w:pPr>
          </w:p>
        </w:tc>
        <w:tc>
          <w:tcPr>
            <w:tcW w:w="6520" w:type="dxa"/>
            <w:shd w:val="clear" w:color="auto" w:fill="auto"/>
            <w:vAlign w:val="center"/>
          </w:tcPr>
          <w:p w14:paraId="6F4215DC" w14:textId="77777777" w:rsidR="00E412E2" w:rsidRDefault="00662477" w:rsidP="00447CDB">
            <w:pPr>
              <w:rPr>
                <w:rFonts w:ascii="Times New Roman" w:eastAsia="Times New Roman" w:hAnsi="Times New Roman" w:cs="Times New Roman"/>
                <w:b/>
                <w:color w:val="000000" w:themeColor="text1"/>
                <w:sz w:val="24"/>
                <w:szCs w:val="24"/>
                <w:lang w:eastAsia="zh-CN"/>
              </w:rPr>
            </w:pPr>
            <w:r>
              <w:rPr>
                <w:rFonts w:ascii="Times New Roman" w:eastAsia="Times New Roman" w:hAnsi="Times New Roman" w:cs="Times New Roman"/>
                <w:b/>
                <w:color w:val="000000" w:themeColor="text1"/>
                <w:sz w:val="24"/>
                <w:szCs w:val="24"/>
                <w:lang w:eastAsia="zh-CN"/>
              </w:rPr>
              <w:t>S</w:t>
            </w:r>
            <w:r w:rsidRPr="00662477">
              <w:rPr>
                <w:rFonts w:ascii="Times New Roman" w:eastAsia="Times New Roman" w:hAnsi="Times New Roman" w:cs="Times New Roman"/>
                <w:b/>
                <w:color w:val="000000" w:themeColor="text1"/>
                <w:sz w:val="24"/>
                <w:szCs w:val="24"/>
                <w:lang w:eastAsia="zh-CN"/>
              </w:rPr>
              <w:t>pecialiųjų pirkimo sąlygų 7 priedo 5 punktą</w:t>
            </w:r>
            <w:r>
              <w:rPr>
                <w:rFonts w:ascii="Times New Roman" w:eastAsia="Times New Roman" w:hAnsi="Times New Roman" w:cs="Times New Roman"/>
                <w:b/>
                <w:color w:val="000000" w:themeColor="text1"/>
                <w:sz w:val="24"/>
                <w:szCs w:val="24"/>
                <w:lang w:eastAsia="zh-CN"/>
              </w:rPr>
              <w:t xml:space="preserve"> </w:t>
            </w:r>
          </w:p>
          <w:p w14:paraId="2752C267" w14:textId="77777777" w:rsidR="00662477" w:rsidRPr="00662477" w:rsidRDefault="00662477" w:rsidP="00447CDB">
            <w:pPr>
              <w:widowControl w:val="0"/>
              <w:suppressAutoHyphens/>
              <w:spacing w:line="276" w:lineRule="auto"/>
              <w:jc w:val="both"/>
              <w:rPr>
                <w:rFonts w:ascii="Times New Roman" w:hAnsi="Times New Roman"/>
                <w:b/>
                <w:bCs/>
                <w:iCs/>
                <w:sz w:val="24"/>
              </w:rPr>
            </w:pPr>
            <w:r w:rsidRPr="00662477">
              <w:rPr>
                <w:rFonts w:ascii="Times New Roman" w:hAnsi="Times New Roman"/>
                <w:b/>
                <w:bCs/>
                <w:sz w:val="24"/>
              </w:rPr>
              <w:t xml:space="preserve">1 pirkimo dalis – </w:t>
            </w:r>
            <w:r w:rsidRPr="00662477">
              <w:rPr>
                <w:rFonts w:ascii="Times New Roman" w:hAnsi="Times New Roman"/>
                <w:b/>
                <w:bCs/>
                <w:iCs/>
                <w:sz w:val="24"/>
              </w:rPr>
              <w:t xml:space="preserve">Stacionarūs </w:t>
            </w:r>
            <w:r w:rsidRPr="00662477">
              <w:rPr>
                <w:rFonts w:ascii="Times New Roman" w:hAnsi="Times New Roman"/>
                <w:b/>
                <w:bCs/>
                <w:sz w:val="24"/>
              </w:rPr>
              <w:t xml:space="preserve">(profesionalus) </w:t>
            </w:r>
            <w:r w:rsidRPr="00662477">
              <w:rPr>
                <w:rFonts w:ascii="Times New Roman" w:hAnsi="Times New Roman"/>
                <w:b/>
                <w:bCs/>
                <w:iCs/>
                <w:sz w:val="24"/>
              </w:rPr>
              <w:t>kompiuteriai</w:t>
            </w:r>
            <w:r w:rsidRPr="00662477">
              <w:rPr>
                <w:rFonts w:ascii="Times New Roman" w:hAnsi="Times New Roman"/>
                <w:b/>
                <w:bCs/>
                <w:sz w:val="24"/>
              </w:rPr>
              <w:t>:</w:t>
            </w:r>
          </w:p>
          <w:p w14:paraId="7F95276F" w14:textId="77777777" w:rsidR="00662477" w:rsidRPr="00FE5FAE" w:rsidRDefault="00662477" w:rsidP="00C16075">
            <w:pPr>
              <w:widowControl w:val="0"/>
              <w:suppressAutoHyphens/>
              <w:ind w:firstLine="720"/>
              <w:jc w:val="both"/>
              <w:rPr>
                <w:rFonts w:ascii="Times New Roman" w:hAnsi="Times New Roman" w:cs="Times New Roman"/>
                <w:sz w:val="24"/>
              </w:rPr>
            </w:pPr>
            <w:r w:rsidRPr="00662477">
              <w:rPr>
                <w:rFonts w:ascii="Times New Roman" w:hAnsi="Times New Roman"/>
                <w:sz w:val="24"/>
              </w:rPr>
              <w:t xml:space="preserve">Norime atkreipti perkančiosios organizacijos dėmesį į </w:t>
            </w:r>
            <w:r w:rsidRPr="00FE5FAE">
              <w:rPr>
                <w:rFonts w:ascii="Times New Roman" w:hAnsi="Times New Roman"/>
                <w:color w:val="000000" w:themeColor="text1"/>
                <w:sz w:val="24"/>
              </w:rPr>
              <w:t>nustatytus ekonominio naudingumo kriterijus, kurie išskirtinai vieną gamintoją padaro pranašesnį prieš kitus gamintojus, o reali nauda ir poreikis, per kurį bandomas sukurti ekonominio naudingumo privalumas, yra labai abejotinas. Tai taikome šioms pozicijoms:</w:t>
            </w:r>
          </w:p>
          <w:tbl>
            <w:tblPr>
              <w:tblW w:w="6096" w:type="dxa"/>
              <w:tblInd w:w="166" w:type="dxa"/>
              <w:tblLayout w:type="fixed"/>
              <w:tblCellMar>
                <w:top w:w="57" w:type="dxa"/>
                <w:left w:w="57" w:type="dxa"/>
                <w:bottom w:w="57" w:type="dxa"/>
                <w:right w:w="0" w:type="dxa"/>
              </w:tblCellMar>
              <w:tblLook w:val="04A0" w:firstRow="1" w:lastRow="0" w:firstColumn="1" w:lastColumn="0" w:noHBand="0" w:noVBand="1"/>
            </w:tblPr>
            <w:tblGrid>
              <w:gridCol w:w="709"/>
              <w:gridCol w:w="4678"/>
              <w:gridCol w:w="709"/>
            </w:tblGrid>
            <w:tr w:rsidR="00C16075" w:rsidRPr="00FE5FAE" w14:paraId="242CDF7D" w14:textId="77777777" w:rsidTr="00760F60">
              <w:tc>
                <w:tcPr>
                  <w:tcW w:w="709" w:type="dxa"/>
                  <w:tcBorders>
                    <w:top w:val="single" w:sz="4" w:space="0" w:color="000000"/>
                    <w:left w:val="single" w:sz="4" w:space="0" w:color="000000"/>
                    <w:bottom w:val="single" w:sz="4" w:space="0" w:color="000000"/>
                    <w:right w:val="single" w:sz="4" w:space="0" w:color="000000"/>
                  </w:tcBorders>
                  <w:shd w:val="pct10" w:color="auto" w:fill="auto"/>
                  <w:tcMar>
                    <w:top w:w="0" w:type="dxa"/>
                  </w:tcMar>
                  <w:vAlign w:val="center"/>
                </w:tcPr>
                <w:p w14:paraId="715E1D34" w14:textId="77777777" w:rsidR="00447CDB" w:rsidRPr="00FE5FAE" w:rsidRDefault="00447CDB" w:rsidP="00447CDB">
                  <w:pPr>
                    <w:spacing w:before="100" w:beforeAutospacing="1" w:line="276" w:lineRule="auto"/>
                    <w:ind w:firstLine="224"/>
                    <w:rPr>
                      <w:rFonts w:ascii="Times New Roman" w:hAnsi="Times New Roman" w:cs="Times New Roman"/>
                    </w:rPr>
                  </w:pPr>
                  <w:r w:rsidRPr="00FE5FAE">
                    <w:rPr>
                      <w:rFonts w:ascii="Times New Roman" w:hAnsi="Times New Roman" w:cs="Times New Roman"/>
                    </w:rPr>
                    <w:t>T</w:t>
                  </w:r>
                  <w:r w:rsidRPr="00FE5FAE">
                    <w:rPr>
                      <w:rFonts w:ascii="Times New Roman" w:hAnsi="Times New Roman" w:cs="Times New Roman"/>
                      <w:vertAlign w:val="subscript"/>
                    </w:rPr>
                    <w:t>1</w:t>
                  </w:r>
                </w:p>
              </w:tc>
              <w:tc>
                <w:tcPr>
                  <w:tcW w:w="4678" w:type="dxa"/>
                  <w:tcBorders>
                    <w:top w:val="single" w:sz="4" w:space="0" w:color="000000"/>
                    <w:left w:val="single" w:sz="4" w:space="0" w:color="000000"/>
                    <w:bottom w:val="single" w:sz="4" w:space="0" w:color="000000"/>
                    <w:right w:val="single" w:sz="4" w:space="0" w:color="000000"/>
                  </w:tcBorders>
                  <w:tcMar>
                    <w:top w:w="0" w:type="dxa"/>
                  </w:tcMar>
                </w:tcPr>
                <w:p w14:paraId="4293585D" w14:textId="77777777" w:rsidR="00447CDB" w:rsidRPr="00FE5FAE" w:rsidRDefault="00447CDB" w:rsidP="00447CDB">
                  <w:pPr>
                    <w:spacing w:before="100" w:beforeAutospacing="1" w:line="276" w:lineRule="auto"/>
                    <w:jc w:val="both"/>
                    <w:rPr>
                      <w:rFonts w:ascii="Times New Roman" w:hAnsi="Times New Roman" w:cs="Times New Roman"/>
                    </w:rPr>
                  </w:pPr>
                  <w:r w:rsidRPr="00FE5FAE">
                    <w:rPr>
                      <w:rFonts w:ascii="Times New Roman" w:hAnsi="Times New Roman" w:cs="Times New Roman"/>
                      <w:iCs/>
                    </w:rPr>
                    <w:t xml:space="preserve">Turi/pateikiama 3 vnt. 12 TB SATA HDD, sujungti į RAID5 konfigūraciją. </w:t>
                  </w:r>
                  <w:r w:rsidRPr="00FE5FAE">
                    <w:rPr>
                      <w:rFonts w:ascii="Times New Roman" w:hAnsi="Times New Roman" w:cs="Times New Roman"/>
                    </w:rPr>
                    <w:t>(taip/ne).</w:t>
                  </w:r>
                </w:p>
              </w:tc>
              <w:tc>
                <w:tcPr>
                  <w:tcW w:w="709" w:type="dxa"/>
                  <w:tcBorders>
                    <w:top w:val="single" w:sz="4" w:space="0" w:color="000000"/>
                    <w:left w:val="single" w:sz="4" w:space="0" w:color="000000"/>
                    <w:bottom w:val="single" w:sz="4" w:space="0" w:color="000000"/>
                    <w:right w:val="single" w:sz="4" w:space="0" w:color="000000"/>
                  </w:tcBorders>
                  <w:tcMar>
                    <w:top w:w="0" w:type="dxa"/>
                  </w:tcMar>
                </w:tcPr>
                <w:p w14:paraId="29B1C705" w14:textId="77777777" w:rsidR="00447CDB" w:rsidRPr="00FE5FAE" w:rsidRDefault="00447CDB" w:rsidP="00447CDB">
                  <w:pPr>
                    <w:spacing w:before="100" w:beforeAutospacing="1" w:line="276" w:lineRule="auto"/>
                    <w:jc w:val="center"/>
                    <w:rPr>
                      <w:rFonts w:ascii="Times New Roman" w:hAnsi="Times New Roman" w:cs="Times New Roman"/>
                    </w:rPr>
                  </w:pPr>
                  <w:r w:rsidRPr="00FE5FAE">
                    <w:rPr>
                      <w:rFonts w:ascii="Times New Roman" w:hAnsi="Times New Roman" w:cs="Times New Roman"/>
                    </w:rPr>
                    <w:t>3</w:t>
                  </w:r>
                </w:p>
              </w:tc>
            </w:tr>
            <w:tr w:rsidR="00447CDB" w:rsidRPr="00FE5FAE" w14:paraId="18A08765" w14:textId="77777777" w:rsidTr="00760F60">
              <w:tc>
                <w:tcPr>
                  <w:tcW w:w="709" w:type="dxa"/>
                  <w:tcBorders>
                    <w:top w:val="single" w:sz="4" w:space="0" w:color="000000"/>
                    <w:left w:val="single" w:sz="4" w:space="0" w:color="000000"/>
                    <w:bottom w:val="single" w:sz="4" w:space="0" w:color="000000"/>
                    <w:right w:val="single" w:sz="4" w:space="0" w:color="000000"/>
                  </w:tcBorders>
                  <w:shd w:val="pct10" w:color="auto" w:fill="auto"/>
                  <w:tcMar>
                    <w:top w:w="0" w:type="dxa"/>
                  </w:tcMar>
                  <w:vAlign w:val="center"/>
                </w:tcPr>
                <w:p w14:paraId="68867BA0" w14:textId="77777777" w:rsidR="00447CDB" w:rsidRPr="00FE5FAE" w:rsidRDefault="00447CDB" w:rsidP="00447CDB">
                  <w:pPr>
                    <w:spacing w:before="100" w:beforeAutospacing="1" w:line="276" w:lineRule="auto"/>
                    <w:ind w:firstLine="224"/>
                    <w:rPr>
                      <w:rFonts w:ascii="Times New Roman" w:hAnsi="Times New Roman" w:cs="Times New Roman"/>
                    </w:rPr>
                  </w:pPr>
                  <w:r w:rsidRPr="00FE5FAE">
                    <w:rPr>
                      <w:rFonts w:ascii="Times New Roman" w:hAnsi="Times New Roman" w:cs="Times New Roman"/>
                    </w:rPr>
                    <w:t>T</w:t>
                  </w:r>
                  <w:r w:rsidRPr="00FE5FAE">
                    <w:rPr>
                      <w:rFonts w:ascii="Times New Roman" w:hAnsi="Times New Roman" w:cs="Times New Roman"/>
                      <w:vertAlign w:val="subscript"/>
                    </w:rPr>
                    <w:t>2</w:t>
                  </w:r>
                </w:p>
              </w:tc>
              <w:tc>
                <w:tcPr>
                  <w:tcW w:w="4678" w:type="dxa"/>
                  <w:tcBorders>
                    <w:top w:val="single" w:sz="4" w:space="0" w:color="000000"/>
                    <w:left w:val="single" w:sz="4" w:space="0" w:color="000000"/>
                    <w:bottom w:val="single" w:sz="4" w:space="0" w:color="000000"/>
                    <w:right w:val="single" w:sz="4" w:space="0" w:color="000000"/>
                  </w:tcBorders>
                  <w:tcMar>
                    <w:top w:w="0" w:type="dxa"/>
                  </w:tcMar>
                </w:tcPr>
                <w:p w14:paraId="0A419254" w14:textId="77777777" w:rsidR="00447CDB" w:rsidRPr="00FE5FAE" w:rsidRDefault="00447CDB" w:rsidP="00447CDB">
                  <w:pPr>
                    <w:spacing w:before="100" w:beforeAutospacing="1" w:line="276" w:lineRule="auto"/>
                    <w:jc w:val="both"/>
                    <w:rPr>
                      <w:rFonts w:ascii="Times New Roman" w:hAnsi="Times New Roman" w:cs="Times New Roman"/>
                    </w:rPr>
                  </w:pPr>
                  <w:r w:rsidRPr="00FE5FAE">
                    <w:rPr>
                      <w:rFonts w:ascii="Times New Roman" w:hAnsi="Times New Roman" w:cs="Times New Roman"/>
                      <w:iCs/>
                    </w:rPr>
                    <w:t xml:space="preserve">Galimybė atmintį praplėsti iki 2 TB. </w:t>
                  </w:r>
                  <w:r w:rsidRPr="00FE5FAE">
                    <w:rPr>
                      <w:rFonts w:ascii="Times New Roman" w:hAnsi="Times New Roman" w:cs="Times New Roman"/>
                    </w:rPr>
                    <w:t>(taip/ne)</w:t>
                  </w:r>
                </w:p>
              </w:tc>
              <w:tc>
                <w:tcPr>
                  <w:tcW w:w="709" w:type="dxa"/>
                  <w:tcBorders>
                    <w:top w:val="single" w:sz="4" w:space="0" w:color="000000"/>
                    <w:left w:val="single" w:sz="4" w:space="0" w:color="000000"/>
                    <w:bottom w:val="single" w:sz="4" w:space="0" w:color="000000"/>
                    <w:right w:val="single" w:sz="4" w:space="0" w:color="000000"/>
                  </w:tcBorders>
                  <w:tcMar>
                    <w:top w:w="0" w:type="dxa"/>
                  </w:tcMar>
                </w:tcPr>
                <w:p w14:paraId="109754E5" w14:textId="77777777" w:rsidR="00447CDB" w:rsidRPr="00FE5FAE" w:rsidRDefault="00447CDB" w:rsidP="00447CDB">
                  <w:pPr>
                    <w:spacing w:before="100" w:beforeAutospacing="1" w:line="276" w:lineRule="auto"/>
                    <w:jc w:val="center"/>
                    <w:rPr>
                      <w:rFonts w:ascii="Times New Roman" w:hAnsi="Times New Roman" w:cs="Times New Roman"/>
                    </w:rPr>
                  </w:pPr>
                  <w:r w:rsidRPr="00FE5FAE">
                    <w:rPr>
                      <w:rFonts w:ascii="Times New Roman" w:hAnsi="Times New Roman" w:cs="Times New Roman"/>
                    </w:rPr>
                    <w:t>3</w:t>
                  </w:r>
                </w:p>
              </w:tc>
            </w:tr>
          </w:tbl>
          <w:p w14:paraId="3ED47A69" w14:textId="77777777" w:rsidR="00447CDB" w:rsidRDefault="00447CDB" w:rsidP="00447CDB">
            <w:pPr>
              <w:widowControl w:val="0"/>
              <w:suppressAutoHyphens/>
              <w:spacing w:line="276" w:lineRule="auto"/>
              <w:ind w:firstLine="720"/>
              <w:jc w:val="both"/>
              <w:rPr>
                <w:rFonts w:ascii="Times New Roman" w:hAnsi="Times New Roman"/>
                <w:sz w:val="24"/>
              </w:rPr>
            </w:pPr>
          </w:p>
          <w:p w14:paraId="54926208" w14:textId="77777777" w:rsidR="00447CDB" w:rsidRPr="00447CDB" w:rsidRDefault="00447CDB" w:rsidP="0022778D">
            <w:pPr>
              <w:widowControl w:val="0"/>
              <w:suppressAutoHyphens/>
              <w:ind w:firstLine="720"/>
              <w:jc w:val="both"/>
              <w:rPr>
                <w:rFonts w:ascii="Times New Roman" w:hAnsi="Times New Roman"/>
                <w:sz w:val="24"/>
              </w:rPr>
            </w:pPr>
            <w:r w:rsidRPr="00447CDB">
              <w:rPr>
                <w:rFonts w:ascii="Times New Roman" w:hAnsi="Times New Roman"/>
                <w:sz w:val="24"/>
              </w:rPr>
              <w:t xml:space="preserve">Pirmu atveju, perkančioji organizacija techninėse </w:t>
            </w:r>
            <w:r w:rsidRPr="00447CDB">
              <w:rPr>
                <w:rFonts w:ascii="Times New Roman" w:hAnsi="Times New Roman"/>
                <w:sz w:val="24"/>
              </w:rPr>
              <w:lastRenderedPageBreak/>
              <w:t>specifikacijose pateikia reikalavimą, kad kompiuteris būtų su šiais standžiaisiais diskais:</w:t>
            </w:r>
          </w:p>
          <w:tbl>
            <w:tblPr>
              <w:tblStyle w:val="TableGrid"/>
              <w:tblW w:w="6120" w:type="dxa"/>
              <w:tblLayout w:type="fixed"/>
              <w:tblLook w:val="04A0" w:firstRow="1" w:lastRow="0" w:firstColumn="1" w:lastColumn="0" w:noHBand="0" w:noVBand="1"/>
            </w:tblPr>
            <w:tblGrid>
              <w:gridCol w:w="709"/>
              <w:gridCol w:w="1134"/>
              <w:gridCol w:w="4277"/>
            </w:tblGrid>
            <w:tr w:rsidR="00447CDB" w:rsidRPr="00EC46AA" w14:paraId="667F29EE" w14:textId="77777777" w:rsidTr="00760F60">
              <w:trPr>
                <w:trHeight w:val="1132"/>
              </w:trPr>
              <w:tc>
                <w:tcPr>
                  <w:tcW w:w="709" w:type="dxa"/>
                </w:tcPr>
                <w:p w14:paraId="4D2FCD9D" w14:textId="77777777" w:rsidR="00447CDB" w:rsidRPr="00C63691" w:rsidRDefault="00447CDB" w:rsidP="00447CDB">
                  <w:pPr>
                    <w:spacing w:before="100" w:beforeAutospacing="1" w:line="276" w:lineRule="auto"/>
                    <w:jc w:val="both"/>
                    <w:rPr>
                      <w:rFonts w:ascii="Times New Roman" w:hAnsi="Times New Roman" w:cs="Times New Roman"/>
                      <w:bCs/>
                    </w:rPr>
                  </w:pPr>
                  <w:r w:rsidRPr="00C63691">
                    <w:rPr>
                      <w:rFonts w:ascii="Times New Roman" w:hAnsi="Times New Roman" w:cs="Times New Roman"/>
                      <w:bCs/>
                    </w:rPr>
                    <w:t>1.3.</w:t>
                  </w:r>
                </w:p>
              </w:tc>
              <w:tc>
                <w:tcPr>
                  <w:tcW w:w="1134" w:type="dxa"/>
                  <w:tcBorders>
                    <w:top w:val="single" w:sz="4" w:space="0" w:color="auto"/>
                    <w:left w:val="single" w:sz="4" w:space="0" w:color="auto"/>
                    <w:bottom w:val="single" w:sz="4" w:space="0" w:color="auto"/>
                    <w:right w:val="single" w:sz="4" w:space="0" w:color="auto"/>
                  </w:tcBorders>
                </w:tcPr>
                <w:p w14:paraId="3DEFD887" w14:textId="77777777" w:rsidR="00447CDB" w:rsidRPr="00C63691" w:rsidRDefault="00447CDB" w:rsidP="00447CDB">
                  <w:pPr>
                    <w:spacing w:before="100" w:beforeAutospacing="1" w:line="276" w:lineRule="auto"/>
                    <w:jc w:val="both"/>
                    <w:rPr>
                      <w:rFonts w:ascii="Times New Roman" w:hAnsi="Times New Roman" w:cs="Times New Roman"/>
                      <w:b/>
                    </w:rPr>
                  </w:pPr>
                  <w:r w:rsidRPr="00C63691">
                    <w:rPr>
                      <w:rFonts w:ascii="Times New Roman" w:hAnsi="Times New Roman" w:cs="Times New Roman"/>
                    </w:rPr>
                    <w:t>Standieji diskai</w:t>
                  </w:r>
                </w:p>
              </w:tc>
              <w:tc>
                <w:tcPr>
                  <w:tcW w:w="4277" w:type="dxa"/>
                  <w:tcBorders>
                    <w:top w:val="single" w:sz="4" w:space="0" w:color="auto"/>
                    <w:left w:val="single" w:sz="4" w:space="0" w:color="auto"/>
                    <w:bottom w:val="single" w:sz="4" w:space="0" w:color="auto"/>
                    <w:right w:val="single" w:sz="4" w:space="0" w:color="auto"/>
                  </w:tcBorders>
                </w:tcPr>
                <w:p w14:paraId="35527A60" w14:textId="77777777" w:rsidR="00447CDB" w:rsidRPr="00C63691" w:rsidRDefault="00447CDB" w:rsidP="00447CDB">
                  <w:pPr>
                    <w:spacing w:before="100" w:beforeAutospacing="1" w:line="120" w:lineRule="auto"/>
                    <w:jc w:val="both"/>
                    <w:rPr>
                      <w:rFonts w:ascii="Times New Roman" w:hAnsi="Times New Roman" w:cs="Times New Roman"/>
                    </w:rPr>
                  </w:pPr>
                </w:p>
                <w:p w14:paraId="382D8BB8" w14:textId="77777777" w:rsidR="00447CDB" w:rsidRPr="00C63691" w:rsidRDefault="00447CDB" w:rsidP="00447CDB">
                  <w:pPr>
                    <w:jc w:val="both"/>
                    <w:rPr>
                      <w:rFonts w:ascii="Times New Roman" w:hAnsi="Times New Roman" w:cs="Times New Roman"/>
                    </w:rPr>
                  </w:pPr>
                  <w:r w:rsidRPr="00C63691">
                    <w:rPr>
                      <w:rFonts w:ascii="Times New Roman" w:hAnsi="Times New Roman" w:cs="Times New Roman"/>
                    </w:rPr>
                    <w:t>Ne mažiau kaip:   </w:t>
                  </w:r>
                </w:p>
                <w:p w14:paraId="4655D953" w14:textId="77777777" w:rsidR="00447CDB" w:rsidRPr="00C63691" w:rsidRDefault="00447CDB" w:rsidP="00447CDB">
                  <w:pPr>
                    <w:jc w:val="both"/>
                    <w:rPr>
                      <w:rFonts w:ascii="Times New Roman" w:hAnsi="Times New Roman" w:cs="Times New Roman"/>
                    </w:rPr>
                  </w:pPr>
                  <w:r w:rsidRPr="00C63691">
                    <w:rPr>
                      <w:rFonts w:ascii="Times New Roman" w:hAnsi="Times New Roman" w:cs="Times New Roman"/>
                    </w:rPr>
                    <w:t>2 vnt. 2 TB SSD M.2 PCIe NVMe tipo, sujungti į RAID1 konfigūraciją. 1 vnt. 12 TB SATA HDD.</w:t>
                  </w:r>
                </w:p>
              </w:tc>
            </w:tr>
          </w:tbl>
          <w:p w14:paraId="35B106B5" w14:textId="3EEB51C1" w:rsidR="00447CDB" w:rsidRDefault="00447CDB" w:rsidP="0022778D">
            <w:pPr>
              <w:widowControl w:val="0"/>
              <w:suppressAutoHyphens/>
              <w:jc w:val="both"/>
              <w:rPr>
                <w:rFonts w:ascii="Times New Roman" w:hAnsi="Times New Roman"/>
                <w:sz w:val="24"/>
              </w:rPr>
            </w:pPr>
            <w:r w:rsidRPr="00447CDB">
              <w:rPr>
                <w:rFonts w:ascii="Times New Roman" w:hAnsi="Times New Roman"/>
                <w:sz w:val="24"/>
              </w:rPr>
              <w:t>Prašome paaiškinti, ar ekonominio naudingumo balai suteikiami už 2 diskus (iš viso 3 vnt.), sujungtus į RAID5, ar tik už galimybę praplėsti iki 3 vnt.? Jei tik už galimybę, tai ekonominio naudingumo balai būtų skirti už teorinę opciją, kuria perkančioji organizacija nebūtinai pasinaudos, tačiau suteiks pranašumą išskirtinai vienam gamintojui.</w:t>
            </w:r>
          </w:p>
          <w:p w14:paraId="64AC2B02" w14:textId="77777777" w:rsidR="00447CDB" w:rsidRPr="00447CDB" w:rsidRDefault="00447CDB" w:rsidP="00447CDB">
            <w:pPr>
              <w:widowControl w:val="0"/>
              <w:suppressAutoHyphens/>
              <w:spacing w:line="276" w:lineRule="auto"/>
              <w:jc w:val="both"/>
              <w:rPr>
                <w:rFonts w:ascii="Times New Roman" w:hAnsi="Times New Roman"/>
                <w:sz w:val="24"/>
              </w:rPr>
            </w:pPr>
          </w:p>
          <w:p w14:paraId="635B21BF" w14:textId="77777777" w:rsidR="00447CDB" w:rsidRPr="00447CDB" w:rsidRDefault="00447CDB" w:rsidP="0022778D">
            <w:pPr>
              <w:widowControl w:val="0"/>
              <w:suppressAutoHyphens/>
              <w:jc w:val="both"/>
              <w:rPr>
                <w:rFonts w:ascii="Times New Roman" w:hAnsi="Times New Roman"/>
                <w:sz w:val="24"/>
              </w:rPr>
            </w:pPr>
            <w:r w:rsidRPr="00447CDB">
              <w:rPr>
                <w:rFonts w:ascii="Times New Roman" w:hAnsi="Times New Roman"/>
                <w:sz w:val="24"/>
              </w:rPr>
              <w:t>Antru atveju, dėl atminties praplėtimo galimybės. Jos taip pat yra teorinės, ir tokio kriterijaus opcija suteikia pranašumą išskirtinai vienam gamintojui. Pradiniuose reikalavimuose išreiškiamas poreikis tik 256 GB atminčiai, o praplėtimas iki 2 TB (8-is kartus daugiau nei poreikis dabar) yra abejotinas.</w:t>
            </w:r>
          </w:p>
          <w:tbl>
            <w:tblPr>
              <w:tblStyle w:val="TableGrid"/>
              <w:tblW w:w="6262" w:type="dxa"/>
              <w:tblLayout w:type="fixed"/>
              <w:tblLook w:val="04A0" w:firstRow="1" w:lastRow="0" w:firstColumn="1" w:lastColumn="0" w:noHBand="0" w:noVBand="1"/>
            </w:tblPr>
            <w:tblGrid>
              <w:gridCol w:w="562"/>
              <w:gridCol w:w="1134"/>
              <w:gridCol w:w="4566"/>
            </w:tblGrid>
            <w:tr w:rsidR="00447CDB" w:rsidRPr="004849F7" w14:paraId="5A93F615" w14:textId="77777777" w:rsidTr="00760F60">
              <w:tc>
                <w:tcPr>
                  <w:tcW w:w="562" w:type="dxa"/>
                </w:tcPr>
                <w:p w14:paraId="384C497C" w14:textId="77777777" w:rsidR="00447CDB" w:rsidRPr="00C63691" w:rsidRDefault="00447CDB" w:rsidP="00447CDB">
                  <w:pPr>
                    <w:spacing w:before="100" w:beforeAutospacing="1" w:line="276" w:lineRule="auto"/>
                    <w:jc w:val="both"/>
                    <w:rPr>
                      <w:rFonts w:ascii="Times New Roman" w:hAnsi="Times New Roman" w:cs="Times New Roman"/>
                      <w:bCs/>
                    </w:rPr>
                  </w:pPr>
                  <w:r w:rsidRPr="00C63691">
                    <w:rPr>
                      <w:rFonts w:ascii="Times New Roman" w:hAnsi="Times New Roman" w:cs="Times New Roman"/>
                      <w:bCs/>
                    </w:rPr>
                    <w:t>1.2</w:t>
                  </w:r>
                </w:p>
              </w:tc>
              <w:tc>
                <w:tcPr>
                  <w:tcW w:w="1134" w:type="dxa"/>
                  <w:tcBorders>
                    <w:top w:val="single" w:sz="4" w:space="0" w:color="auto"/>
                    <w:left w:val="single" w:sz="4" w:space="0" w:color="auto"/>
                    <w:bottom w:val="single" w:sz="4" w:space="0" w:color="auto"/>
                    <w:right w:val="single" w:sz="4" w:space="0" w:color="auto"/>
                  </w:tcBorders>
                </w:tcPr>
                <w:p w14:paraId="61ABE99E" w14:textId="77777777" w:rsidR="00447CDB" w:rsidRPr="00C63691" w:rsidRDefault="00447CDB" w:rsidP="00447CDB">
                  <w:pPr>
                    <w:spacing w:before="100" w:beforeAutospacing="1" w:line="276" w:lineRule="auto"/>
                    <w:jc w:val="both"/>
                    <w:rPr>
                      <w:rFonts w:ascii="Times New Roman" w:hAnsi="Times New Roman" w:cs="Times New Roman"/>
                      <w:b/>
                    </w:rPr>
                  </w:pPr>
                  <w:r w:rsidRPr="00C63691">
                    <w:rPr>
                      <w:rFonts w:ascii="Times New Roman" w:hAnsi="Times New Roman" w:cs="Times New Roman"/>
                    </w:rPr>
                    <w:t>Atmintis </w:t>
                  </w:r>
                </w:p>
              </w:tc>
              <w:tc>
                <w:tcPr>
                  <w:tcW w:w="4566" w:type="dxa"/>
                  <w:tcBorders>
                    <w:top w:val="single" w:sz="4" w:space="0" w:color="auto"/>
                    <w:left w:val="single" w:sz="4" w:space="0" w:color="auto"/>
                    <w:bottom w:val="single" w:sz="4" w:space="0" w:color="auto"/>
                    <w:right w:val="single" w:sz="4" w:space="0" w:color="auto"/>
                  </w:tcBorders>
                </w:tcPr>
                <w:p w14:paraId="1B2E4EDB" w14:textId="77777777" w:rsidR="00447CDB" w:rsidRPr="00C63691" w:rsidRDefault="00447CDB" w:rsidP="00447CDB">
                  <w:pPr>
                    <w:spacing w:before="100" w:beforeAutospacing="1" w:line="276" w:lineRule="auto"/>
                    <w:jc w:val="both"/>
                    <w:rPr>
                      <w:rFonts w:ascii="Times New Roman" w:hAnsi="Times New Roman" w:cs="Times New Roman"/>
                      <w:b/>
                    </w:rPr>
                  </w:pPr>
                  <w:r w:rsidRPr="00C63691">
                    <w:rPr>
                      <w:rFonts w:ascii="Times New Roman" w:hAnsi="Times New Roman" w:cs="Times New Roman"/>
                    </w:rPr>
                    <w:t xml:space="preserve">Ne mažiau nei 256 GB DDR5 su galimybe praplėsti iki 1 TB. Ne mažiau kaip 8 atminties lizdai. </w:t>
                  </w:r>
                </w:p>
              </w:tc>
            </w:tr>
          </w:tbl>
          <w:p w14:paraId="4DFF86CB" w14:textId="77777777" w:rsidR="0022778D" w:rsidRPr="0022778D" w:rsidRDefault="0022778D" w:rsidP="0022778D">
            <w:pPr>
              <w:widowControl w:val="0"/>
              <w:suppressAutoHyphens/>
              <w:jc w:val="both"/>
              <w:rPr>
                <w:rFonts w:ascii="Times New Roman" w:hAnsi="Times New Roman"/>
                <w:sz w:val="24"/>
              </w:rPr>
            </w:pPr>
            <w:r w:rsidRPr="0022778D">
              <w:rPr>
                <w:rFonts w:ascii="Times New Roman" w:hAnsi="Times New Roman"/>
                <w:sz w:val="24"/>
              </w:rPr>
              <w:t>Prašome perkančiosios organizacijos pakoreguoti vertinimo kriterijus, pašalinant įvardintas pozicijas T</w:t>
            </w:r>
            <w:r w:rsidRPr="0022778D">
              <w:rPr>
                <w:rFonts w:ascii="Times New Roman" w:hAnsi="Times New Roman"/>
                <w:sz w:val="24"/>
                <w:vertAlign w:val="subscript"/>
              </w:rPr>
              <w:t xml:space="preserve">1 </w:t>
            </w:r>
            <w:r w:rsidRPr="0022778D">
              <w:rPr>
                <w:rFonts w:ascii="Times New Roman" w:hAnsi="Times New Roman"/>
                <w:sz w:val="24"/>
              </w:rPr>
              <w:t>ir T</w:t>
            </w:r>
            <w:r w:rsidRPr="0022778D">
              <w:rPr>
                <w:rFonts w:ascii="Times New Roman" w:hAnsi="Times New Roman"/>
                <w:sz w:val="24"/>
                <w:vertAlign w:val="subscript"/>
              </w:rPr>
              <w:t xml:space="preserve">2 </w:t>
            </w:r>
            <w:r w:rsidRPr="0022778D">
              <w:rPr>
                <w:rFonts w:ascii="Times New Roman" w:hAnsi="Times New Roman"/>
                <w:sz w:val="24"/>
              </w:rPr>
              <w:t xml:space="preserve">iš ekonominio naudingumo vertinimo kriterijų lentelės. </w:t>
            </w:r>
          </w:p>
          <w:p w14:paraId="3353F2D0" w14:textId="6DFC84D1" w:rsidR="00447CDB" w:rsidRPr="00447CDB" w:rsidRDefault="00447CDB" w:rsidP="0022778D">
            <w:pPr>
              <w:widowControl w:val="0"/>
              <w:suppressAutoHyphens/>
              <w:spacing w:before="100" w:beforeAutospacing="1" w:line="276" w:lineRule="auto"/>
              <w:ind w:firstLine="720"/>
              <w:jc w:val="both"/>
              <w:rPr>
                <w:rFonts w:ascii="Times New Roman" w:hAnsi="Times New Roman"/>
                <w:sz w:val="24"/>
              </w:rPr>
            </w:pPr>
          </w:p>
        </w:tc>
        <w:tc>
          <w:tcPr>
            <w:tcW w:w="6521" w:type="dxa"/>
            <w:shd w:val="clear" w:color="auto" w:fill="DEEAF6" w:themeFill="accent1" w:themeFillTint="33"/>
          </w:tcPr>
          <w:p w14:paraId="376F8D5A" w14:textId="653D6110" w:rsidR="00E412E2" w:rsidRDefault="00C16075" w:rsidP="00760F60">
            <w:pPr>
              <w:jc w:val="both"/>
              <w:rPr>
                <w:rFonts w:ascii="Times New Roman" w:eastAsia="Times New Roman" w:hAnsi="Times New Roman" w:cs="Times New Roman"/>
                <w:color w:val="000000" w:themeColor="text1"/>
                <w:sz w:val="24"/>
                <w:szCs w:val="24"/>
                <w:lang w:eastAsia="zh-CN"/>
              </w:rPr>
            </w:pPr>
            <w:r w:rsidRPr="00C16075">
              <w:rPr>
                <w:rFonts w:ascii="Times New Roman" w:eastAsia="Times New Roman" w:hAnsi="Times New Roman" w:cs="Times New Roman"/>
                <w:color w:val="000000" w:themeColor="text1"/>
                <w:sz w:val="24"/>
                <w:szCs w:val="24"/>
                <w:lang w:eastAsia="zh-CN"/>
              </w:rPr>
              <w:lastRenderedPageBreak/>
              <w:t xml:space="preserve">Perkančioji organizacija, paaiškina, kad </w:t>
            </w:r>
            <w:r>
              <w:rPr>
                <w:rFonts w:ascii="Times New Roman" w:eastAsia="Times New Roman" w:hAnsi="Times New Roman" w:cs="Times New Roman"/>
                <w:color w:val="000000" w:themeColor="text1"/>
                <w:sz w:val="24"/>
                <w:szCs w:val="24"/>
                <w:lang w:eastAsia="zh-CN"/>
              </w:rPr>
              <w:t xml:space="preserve">Ekonominio </w:t>
            </w:r>
            <w:r w:rsidRPr="00C16075">
              <w:rPr>
                <w:rFonts w:ascii="Times New Roman" w:eastAsia="Times New Roman" w:hAnsi="Times New Roman" w:cs="Times New Roman"/>
                <w:color w:val="000000" w:themeColor="text1"/>
                <w:sz w:val="24"/>
                <w:szCs w:val="24"/>
                <w:lang w:eastAsia="zh-CN"/>
              </w:rPr>
              <w:t>naudingumo balai s</w:t>
            </w:r>
            <w:r>
              <w:rPr>
                <w:rFonts w:ascii="Times New Roman" w:eastAsia="Times New Roman" w:hAnsi="Times New Roman" w:cs="Times New Roman"/>
                <w:color w:val="000000" w:themeColor="text1"/>
                <w:sz w:val="24"/>
                <w:szCs w:val="24"/>
                <w:lang w:eastAsia="zh-CN"/>
              </w:rPr>
              <w:t xml:space="preserve">uteikiami už fiziškai pateiktus </w:t>
            </w:r>
            <w:r w:rsidR="00CC166A">
              <w:rPr>
                <w:rFonts w:ascii="Times New Roman" w:eastAsia="Times New Roman" w:hAnsi="Times New Roman" w:cs="Times New Roman"/>
                <w:color w:val="000000" w:themeColor="text1"/>
                <w:sz w:val="24"/>
                <w:szCs w:val="24"/>
                <w:lang w:eastAsia="zh-CN"/>
              </w:rPr>
              <w:t>papildomai</w:t>
            </w:r>
            <w:r w:rsidR="00FE5FAE">
              <w:rPr>
                <w:rFonts w:ascii="Times New Roman" w:eastAsia="Times New Roman" w:hAnsi="Times New Roman" w:cs="Times New Roman"/>
                <w:color w:val="000000" w:themeColor="text1"/>
                <w:sz w:val="24"/>
                <w:szCs w:val="24"/>
                <w:lang w:eastAsia="zh-CN"/>
              </w:rPr>
              <w:t>,</w:t>
            </w:r>
            <w:r w:rsidR="00CC166A">
              <w:rPr>
                <w:rFonts w:ascii="Times New Roman" w:eastAsia="Times New Roman" w:hAnsi="Times New Roman" w:cs="Times New Roman"/>
                <w:color w:val="000000" w:themeColor="text1"/>
                <w:sz w:val="24"/>
                <w:szCs w:val="24"/>
                <w:lang w:eastAsia="zh-CN"/>
              </w:rPr>
              <w:t xml:space="preserve"> </w:t>
            </w:r>
            <w:r w:rsidR="00FE5FAE">
              <w:rPr>
                <w:rFonts w:ascii="Times New Roman" w:eastAsia="Times New Roman" w:hAnsi="Times New Roman" w:cs="Times New Roman"/>
                <w:color w:val="000000" w:themeColor="text1"/>
                <w:sz w:val="24"/>
                <w:szCs w:val="24"/>
                <w:lang w:eastAsia="zh-CN"/>
              </w:rPr>
              <w:t>3</w:t>
            </w:r>
            <w:r w:rsidRPr="00C16075">
              <w:rPr>
                <w:rFonts w:ascii="Times New Roman" w:eastAsia="Times New Roman" w:hAnsi="Times New Roman" w:cs="Times New Roman"/>
                <w:color w:val="000000" w:themeColor="text1"/>
                <w:sz w:val="24"/>
                <w:szCs w:val="24"/>
                <w:lang w:eastAsia="zh-CN"/>
              </w:rPr>
              <w:t xml:space="preserve"> vnt. </w:t>
            </w:r>
            <w:r>
              <w:rPr>
                <w:rFonts w:ascii="Times New Roman" w:eastAsia="Times New Roman" w:hAnsi="Times New Roman" w:cs="Times New Roman"/>
                <w:color w:val="000000" w:themeColor="text1"/>
                <w:sz w:val="24"/>
                <w:szCs w:val="24"/>
                <w:lang w:eastAsia="zh-CN"/>
              </w:rPr>
              <w:t xml:space="preserve">12 TB SATA HDD diskus. 3 diskai </w:t>
            </w:r>
            <w:r w:rsidRPr="00C16075">
              <w:rPr>
                <w:rFonts w:ascii="Times New Roman" w:eastAsia="Times New Roman" w:hAnsi="Times New Roman" w:cs="Times New Roman"/>
                <w:color w:val="000000" w:themeColor="text1"/>
                <w:sz w:val="24"/>
                <w:szCs w:val="24"/>
                <w:lang w:eastAsia="zh-CN"/>
              </w:rPr>
              <w:t>privalo būti sujungti į RAID5 konfigūraciją.</w:t>
            </w:r>
          </w:p>
          <w:p w14:paraId="7039970B" w14:textId="77777777" w:rsidR="00426F63" w:rsidRDefault="00426F63" w:rsidP="00760F60">
            <w:pPr>
              <w:jc w:val="both"/>
              <w:rPr>
                <w:rFonts w:ascii="Times New Roman" w:eastAsia="Times New Roman" w:hAnsi="Times New Roman" w:cs="Times New Roman"/>
                <w:color w:val="000000" w:themeColor="text1"/>
                <w:sz w:val="24"/>
                <w:szCs w:val="24"/>
                <w:lang w:eastAsia="zh-CN"/>
              </w:rPr>
            </w:pPr>
          </w:p>
          <w:p w14:paraId="1D638F31" w14:textId="77777777" w:rsidR="00CC166A" w:rsidRDefault="00426F63" w:rsidP="00760F60">
            <w:pPr>
              <w:jc w:val="both"/>
              <w:rPr>
                <w:rFonts w:ascii="Times New Roman" w:hAnsi="Times New Roman" w:cs="Times New Roman"/>
                <w:sz w:val="24"/>
                <w:szCs w:val="24"/>
              </w:rPr>
            </w:pPr>
            <w:r>
              <w:rPr>
                <w:rFonts w:ascii="Times New Roman" w:hAnsi="Times New Roman" w:cs="Times New Roman"/>
                <w:sz w:val="24"/>
                <w:szCs w:val="24"/>
              </w:rPr>
              <w:t xml:space="preserve">Perkančioji organizacija dėl antrojo atvejo, t. y. </w:t>
            </w:r>
            <w:r w:rsidRPr="00E52FD4">
              <w:rPr>
                <w:rFonts w:ascii="Times New Roman" w:hAnsi="Times New Roman" w:cs="Times New Roman"/>
                <w:sz w:val="24"/>
                <w:szCs w:val="24"/>
              </w:rPr>
              <w:t>dėl atminties praplėtimo galimybės</w:t>
            </w:r>
            <w:r>
              <w:rPr>
                <w:rFonts w:ascii="Times New Roman" w:hAnsi="Times New Roman" w:cs="Times New Roman"/>
                <w:sz w:val="24"/>
                <w:szCs w:val="24"/>
              </w:rPr>
              <w:t xml:space="preserve">, paaiškina, kad atsižvelgiant į tai, kad </w:t>
            </w:r>
            <w:r w:rsidRPr="00E52FD4">
              <w:rPr>
                <w:rFonts w:ascii="Times New Roman" w:hAnsi="Times New Roman" w:cs="Times New Roman"/>
                <w:sz w:val="24"/>
                <w:szCs w:val="24"/>
              </w:rPr>
              <w:t xml:space="preserve"> perkančioji organizacija turi ribota biudžetą, o didėjant duomenų kiekiui, ateityje programoms reikės daugiau atminties (RAM) duomenų apdorojimui, todėl perkančioji organizacija numato atmintį ateityje praplėsti iki numatyto dydžio ir už tai suteikti papildomai naudingumo balų kiekį.</w:t>
            </w:r>
          </w:p>
          <w:p w14:paraId="3696D88D" w14:textId="55F39B51" w:rsidR="00426F63" w:rsidRPr="00CC166A" w:rsidRDefault="00CC166A" w:rsidP="00760F60">
            <w:pPr>
              <w:jc w:val="both"/>
              <w:rPr>
                <w:rFonts w:ascii="Times New Roman" w:hAnsi="Times New Roman" w:cs="Times New Roman"/>
                <w:sz w:val="24"/>
                <w:szCs w:val="24"/>
              </w:rPr>
            </w:pPr>
            <w:r w:rsidRPr="00CC166A">
              <w:rPr>
                <w:rFonts w:ascii="Times New Roman" w:eastAsia="Times New Roman" w:hAnsi="Times New Roman" w:cs="Times New Roman"/>
                <w:color w:val="000000" w:themeColor="text1"/>
                <w:sz w:val="24"/>
                <w:szCs w:val="24"/>
                <w:lang w:eastAsia="zh-CN"/>
              </w:rPr>
              <w:t xml:space="preserve">Tuo pačiu paaiškiname, kad ekonominio naudingumo balais vertinami papildomi techniniai </w:t>
            </w:r>
            <w:r w:rsidR="00760F60">
              <w:rPr>
                <w:rFonts w:ascii="Times New Roman" w:eastAsia="Times New Roman" w:hAnsi="Times New Roman" w:cs="Times New Roman"/>
                <w:color w:val="000000" w:themeColor="text1"/>
                <w:sz w:val="24"/>
                <w:szCs w:val="24"/>
                <w:lang w:eastAsia="zh-CN"/>
              </w:rPr>
              <w:t>privalumai</w:t>
            </w:r>
            <w:r w:rsidRPr="00CC166A">
              <w:rPr>
                <w:rFonts w:ascii="Times New Roman" w:eastAsia="Times New Roman" w:hAnsi="Times New Roman" w:cs="Times New Roman"/>
                <w:color w:val="000000" w:themeColor="text1"/>
                <w:sz w:val="24"/>
                <w:szCs w:val="24"/>
                <w:lang w:eastAsia="zh-CN"/>
              </w:rPr>
              <w:t xml:space="preserve"> nėra tiekėjams privalomi, tiekėjai turi teisę nesiūlyti šių </w:t>
            </w:r>
            <w:r w:rsidR="00760F60">
              <w:rPr>
                <w:rFonts w:ascii="Times New Roman" w:eastAsia="Times New Roman" w:hAnsi="Times New Roman" w:cs="Times New Roman"/>
                <w:color w:val="000000" w:themeColor="text1"/>
                <w:sz w:val="24"/>
                <w:szCs w:val="24"/>
                <w:lang w:eastAsia="zh-CN"/>
              </w:rPr>
              <w:t>funkcionalumų</w:t>
            </w:r>
            <w:r w:rsidRPr="00CC166A">
              <w:rPr>
                <w:rFonts w:ascii="Times New Roman" w:eastAsia="Times New Roman" w:hAnsi="Times New Roman" w:cs="Times New Roman"/>
                <w:color w:val="000000" w:themeColor="text1"/>
                <w:sz w:val="24"/>
                <w:szCs w:val="24"/>
                <w:lang w:eastAsia="zh-CN"/>
              </w:rPr>
              <w:t xml:space="preserve"> ir </w:t>
            </w:r>
            <w:r w:rsidRPr="00CC166A">
              <w:rPr>
                <w:rFonts w:ascii="Times New Roman" w:eastAsia="Times New Roman" w:hAnsi="Times New Roman" w:cs="Times New Roman"/>
                <w:color w:val="000000" w:themeColor="text1"/>
                <w:sz w:val="24"/>
                <w:szCs w:val="24"/>
                <w:lang w:eastAsia="zh-CN"/>
              </w:rPr>
              <w:lastRenderedPageBreak/>
              <w:t xml:space="preserve">dalyvauti pirkime. Atsižvelgiant į tai, </w:t>
            </w:r>
            <w:r w:rsidR="00760F60">
              <w:rPr>
                <w:rFonts w:ascii="Times New Roman" w:eastAsia="Times New Roman" w:hAnsi="Times New Roman" w:cs="Times New Roman"/>
                <w:color w:val="000000" w:themeColor="text1"/>
                <w:sz w:val="24"/>
                <w:szCs w:val="24"/>
                <w:lang w:eastAsia="zh-CN"/>
              </w:rPr>
              <w:t>kad šie funkcionalumai sukuria Perkančiajai organizacijai</w:t>
            </w:r>
            <w:r w:rsidRPr="00CC166A">
              <w:rPr>
                <w:rFonts w:ascii="Times New Roman" w:eastAsia="Times New Roman" w:hAnsi="Times New Roman" w:cs="Times New Roman"/>
                <w:color w:val="000000" w:themeColor="text1"/>
                <w:sz w:val="24"/>
                <w:szCs w:val="24"/>
                <w:lang w:eastAsia="zh-CN"/>
              </w:rPr>
              <w:t xml:space="preserve"> pridėtinę vertę jie vertinami papildomais ekonominio naudingumo balais.</w:t>
            </w:r>
          </w:p>
        </w:tc>
      </w:tr>
      <w:tr w:rsidR="00E412E2" w:rsidRPr="0006301E" w14:paraId="4A1773F0" w14:textId="77777777" w:rsidTr="00C63691">
        <w:tc>
          <w:tcPr>
            <w:tcW w:w="1413" w:type="dxa"/>
            <w:shd w:val="clear" w:color="auto" w:fill="auto"/>
            <w:vAlign w:val="center"/>
          </w:tcPr>
          <w:p w14:paraId="5C1384E5" w14:textId="77777777" w:rsidR="00E412E2" w:rsidRPr="0006301E" w:rsidRDefault="00E412E2" w:rsidP="00F15007">
            <w:pPr>
              <w:jc w:val="center"/>
              <w:rPr>
                <w:rFonts w:ascii="Times New Roman" w:eastAsia="Times New Roman" w:hAnsi="Times New Roman" w:cs="Times New Roman"/>
                <w:b/>
                <w:color w:val="000000" w:themeColor="text1"/>
                <w:sz w:val="24"/>
                <w:szCs w:val="24"/>
                <w:lang w:eastAsia="zh-CN"/>
              </w:rPr>
            </w:pPr>
          </w:p>
        </w:tc>
        <w:tc>
          <w:tcPr>
            <w:tcW w:w="6520" w:type="dxa"/>
            <w:shd w:val="clear" w:color="auto" w:fill="auto"/>
            <w:vAlign w:val="center"/>
          </w:tcPr>
          <w:p w14:paraId="1FB7ABD7" w14:textId="42D706E1" w:rsidR="0022778D" w:rsidRDefault="0022778D" w:rsidP="0022778D">
            <w:pPr>
              <w:widowControl w:val="0"/>
              <w:suppressAutoHyphens/>
              <w:spacing w:before="100" w:beforeAutospacing="1" w:line="276" w:lineRule="auto"/>
              <w:jc w:val="both"/>
              <w:rPr>
                <w:rFonts w:ascii="Times New Roman" w:hAnsi="Times New Roman"/>
                <w:sz w:val="24"/>
              </w:rPr>
            </w:pPr>
            <w:r w:rsidRPr="0022778D">
              <w:rPr>
                <w:rFonts w:ascii="Times New Roman" w:hAnsi="Times New Roman"/>
                <w:sz w:val="24"/>
              </w:rPr>
              <w:t>Taip pat norime atkreipti perkančiosios organizacijos dėmesį į techninių specifikacijų II pirkimo objekto dalies reikalavimą:</w:t>
            </w:r>
          </w:p>
          <w:tbl>
            <w:tblPr>
              <w:tblStyle w:val="TableGrid"/>
              <w:tblW w:w="0" w:type="auto"/>
              <w:tblLayout w:type="fixed"/>
              <w:tblLook w:val="04A0" w:firstRow="1" w:lastRow="0" w:firstColumn="1" w:lastColumn="0" w:noHBand="0" w:noVBand="1"/>
            </w:tblPr>
            <w:tblGrid>
              <w:gridCol w:w="477"/>
              <w:gridCol w:w="970"/>
              <w:gridCol w:w="4956"/>
            </w:tblGrid>
            <w:tr w:rsidR="0022778D" w:rsidRPr="00C63691" w14:paraId="61F8BF2E" w14:textId="77777777" w:rsidTr="0022778D">
              <w:tc>
                <w:tcPr>
                  <w:tcW w:w="477" w:type="dxa"/>
                  <w:tcBorders>
                    <w:top w:val="single" w:sz="4" w:space="0" w:color="auto"/>
                    <w:left w:val="single" w:sz="4" w:space="0" w:color="auto"/>
                    <w:bottom w:val="single" w:sz="4" w:space="0" w:color="auto"/>
                    <w:right w:val="single" w:sz="4" w:space="0" w:color="auto"/>
                  </w:tcBorders>
                </w:tcPr>
                <w:p w14:paraId="1A913EB3" w14:textId="77777777" w:rsidR="0022778D" w:rsidRPr="00C63691" w:rsidRDefault="0022778D" w:rsidP="0022778D">
                  <w:pPr>
                    <w:pStyle w:val="ListParagraph"/>
                    <w:numPr>
                      <w:ilvl w:val="1"/>
                      <w:numId w:val="26"/>
                    </w:numPr>
                    <w:ind w:left="0" w:firstLine="0"/>
                    <w:jc w:val="center"/>
                    <w:rPr>
                      <w:rFonts w:ascii="Times New Roman" w:hAnsi="Times New Roman" w:cs="Times New Roman"/>
                    </w:rPr>
                  </w:pPr>
                </w:p>
              </w:tc>
              <w:tc>
                <w:tcPr>
                  <w:tcW w:w="970" w:type="dxa"/>
                  <w:tcBorders>
                    <w:top w:val="single" w:sz="4" w:space="0" w:color="auto"/>
                    <w:left w:val="single" w:sz="4" w:space="0" w:color="auto"/>
                    <w:bottom w:val="single" w:sz="4" w:space="0" w:color="auto"/>
                    <w:right w:val="single" w:sz="4" w:space="0" w:color="auto"/>
                  </w:tcBorders>
                </w:tcPr>
                <w:p w14:paraId="511F1B90" w14:textId="77777777" w:rsidR="0022778D" w:rsidRPr="00C63691" w:rsidRDefault="0022778D" w:rsidP="0022778D">
                  <w:pPr>
                    <w:rPr>
                      <w:rFonts w:ascii="Times New Roman" w:hAnsi="Times New Roman" w:cs="Times New Roman"/>
                      <w:szCs w:val="24"/>
                    </w:rPr>
                  </w:pPr>
                  <w:r w:rsidRPr="00C63691">
                    <w:rPr>
                      <w:rFonts w:ascii="Times New Roman" w:hAnsi="Times New Roman" w:cs="Times New Roman"/>
                      <w:szCs w:val="24"/>
                    </w:rPr>
                    <w:t>Vaizdo plokštė </w:t>
                  </w:r>
                </w:p>
              </w:tc>
              <w:tc>
                <w:tcPr>
                  <w:tcW w:w="4956" w:type="dxa"/>
                  <w:tcBorders>
                    <w:top w:val="single" w:sz="4" w:space="0" w:color="auto"/>
                    <w:left w:val="single" w:sz="4" w:space="0" w:color="auto"/>
                    <w:bottom w:val="single" w:sz="4" w:space="0" w:color="auto"/>
                    <w:right w:val="single" w:sz="4" w:space="0" w:color="auto"/>
                  </w:tcBorders>
                </w:tcPr>
                <w:p w14:paraId="3171488B" w14:textId="77777777" w:rsidR="0022778D" w:rsidRPr="00C63691" w:rsidRDefault="0022778D" w:rsidP="0022778D">
                  <w:pPr>
                    <w:jc w:val="both"/>
                    <w:rPr>
                      <w:rFonts w:ascii="Times New Roman" w:hAnsi="Times New Roman" w:cs="Times New Roman"/>
                      <w:szCs w:val="24"/>
                    </w:rPr>
                  </w:pPr>
                  <w:r w:rsidRPr="00C63691">
                    <w:rPr>
                      <w:rFonts w:ascii="Times New Roman" w:hAnsi="Times New Roman" w:cs="Times New Roman"/>
                      <w:szCs w:val="24"/>
                    </w:rPr>
                    <w:t>Neintegruota. Ne mažiau nei 20 GB ECC GDDR6 atminties. Vaizdo plokštės grafinio procesoriaus CUDA branduolių skaičius mažiausiai 6100. Našumas pagal „PassMark – G3D Mark“ testą (</w:t>
                  </w:r>
                  <w:hyperlink r:id="rId12" w:history="1">
                    <w:r w:rsidRPr="00C63691">
                      <w:rPr>
                        <w:rStyle w:val="Hyperlink"/>
                        <w:rFonts w:ascii="Times New Roman" w:hAnsi="Times New Roman" w:cs="Times New Roman"/>
                        <w:szCs w:val="24"/>
                      </w:rPr>
                      <w:t>https://www.videocardbenchmark.net/high_end_gpus.html</w:t>
                    </w:r>
                  </w:hyperlink>
                  <w:r w:rsidRPr="00C63691">
                    <w:rPr>
                      <w:rFonts w:ascii="Times New Roman" w:hAnsi="Times New Roman" w:cs="Times New Roman"/>
                      <w:szCs w:val="24"/>
                    </w:rPr>
                    <w:t xml:space="preserve"> ) turi būti ne mažesnis nei 24 700 taškų. Testo </w:t>
                  </w:r>
                  <w:r w:rsidRPr="00C63691">
                    <w:rPr>
                      <w:rFonts w:ascii="Times New Roman" w:hAnsi="Times New Roman" w:cs="Times New Roman"/>
                      <w:szCs w:val="24"/>
                    </w:rPr>
                    <w:lastRenderedPageBreak/>
                    <w:t>rezultatai turi būti pateikiami kartu su pasiūlymu (angl. printscreen).</w:t>
                  </w:r>
                </w:p>
              </w:tc>
            </w:tr>
          </w:tbl>
          <w:p w14:paraId="539259AB" w14:textId="23874CDA" w:rsidR="0022778D" w:rsidRPr="0022778D" w:rsidRDefault="0022778D" w:rsidP="0022778D">
            <w:pPr>
              <w:widowControl w:val="0"/>
              <w:suppressAutoHyphens/>
              <w:jc w:val="both"/>
              <w:rPr>
                <w:rFonts w:ascii="Times New Roman" w:hAnsi="Times New Roman" w:cs="Times New Roman"/>
                <w:sz w:val="24"/>
              </w:rPr>
            </w:pPr>
            <w:r w:rsidRPr="0022778D">
              <w:rPr>
                <w:rFonts w:ascii="Times New Roman" w:hAnsi="Times New Roman" w:cs="Times New Roman"/>
                <w:sz w:val="24"/>
              </w:rPr>
              <w:lastRenderedPageBreak/>
              <w:t>Į mažesnę pusę pasikeitus konkursui siūlytinos vaizdo plokštės renkamų taškų kiekiui ir norint atitikti šį reikalavimą, būtume priversti siūlyti neproporcingai našesnę ir brangesnę vaizdo plokštę. Tai sukeltų riziką pasiūlyme viršyti perkančiosios organizacijos pateiktą pirkimo biudžetą, todėl siūlome reikalavimą pakoreguoti taip:</w:t>
            </w:r>
          </w:p>
          <w:tbl>
            <w:tblPr>
              <w:tblStyle w:val="TableGrid"/>
              <w:tblW w:w="6403" w:type="dxa"/>
              <w:tblLayout w:type="fixed"/>
              <w:tblLook w:val="04A0" w:firstRow="1" w:lastRow="0" w:firstColumn="1" w:lastColumn="0" w:noHBand="0" w:noVBand="1"/>
            </w:tblPr>
            <w:tblGrid>
              <w:gridCol w:w="477"/>
              <w:gridCol w:w="823"/>
              <w:gridCol w:w="5103"/>
            </w:tblGrid>
            <w:tr w:rsidR="0022778D" w:rsidRPr="00C63691" w14:paraId="7AA8186E" w14:textId="77777777" w:rsidTr="0022778D">
              <w:tc>
                <w:tcPr>
                  <w:tcW w:w="477" w:type="dxa"/>
                  <w:tcBorders>
                    <w:top w:val="single" w:sz="4" w:space="0" w:color="auto"/>
                    <w:left w:val="single" w:sz="4" w:space="0" w:color="auto"/>
                    <w:bottom w:val="single" w:sz="4" w:space="0" w:color="auto"/>
                    <w:right w:val="single" w:sz="4" w:space="0" w:color="auto"/>
                  </w:tcBorders>
                </w:tcPr>
                <w:p w14:paraId="69069675" w14:textId="77777777" w:rsidR="0022778D" w:rsidRPr="00C63691" w:rsidRDefault="0022778D" w:rsidP="0022778D">
                  <w:pPr>
                    <w:pStyle w:val="ListParagraph"/>
                    <w:numPr>
                      <w:ilvl w:val="1"/>
                      <w:numId w:val="26"/>
                    </w:numPr>
                    <w:ind w:left="0" w:firstLine="0"/>
                    <w:jc w:val="center"/>
                    <w:rPr>
                      <w:rFonts w:ascii="Times New Roman" w:hAnsi="Times New Roman" w:cs="Times New Roman"/>
                    </w:rPr>
                  </w:pPr>
                </w:p>
              </w:tc>
              <w:tc>
                <w:tcPr>
                  <w:tcW w:w="823" w:type="dxa"/>
                  <w:tcBorders>
                    <w:top w:val="single" w:sz="4" w:space="0" w:color="auto"/>
                    <w:left w:val="single" w:sz="4" w:space="0" w:color="auto"/>
                    <w:bottom w:val="single" w:sz="4" w:space="0" w:color="auto"/>
                    <w:right w:val="single" w:sz="4" w:space="0" w:color="auto"/>
                  </w:tcBorders>
                </w:tcPr>
                <w:p w14:paraId="3CC6F8B2" w14:textId="77777777" w:rsidR="0022778D" w:rsidRPr="00C63691" w:rsidRDefault="0022778D" w:rsidP="0022778D">
                  <w:pPr>
                    <w:rPr>
                      <w:rFonts w:ascii="Times New Roman" w:hAnsi="Times New Roman" w:cs="Times New Roman"/>
                      <w:szCs w:val="24"/>
                    </w:rPr>
                  </w:pPr>
                  <w:r w:rsidRPr="00C63691">
                    <w:rPr>
                      <w:rFonts w:ascii="Times New Roman" w:hAnsi="Times New Roman" w:cs="Times New Roman"/>
                      <w:szCs w:val="24"/>
                    </w:rPr>
                    <w:t>Vaizdo plokštė </w:t>
                  </w:r>
                </w:p>
              </w:tc>
              <w:tc>
                <w:tcPr>
                  <w:tcW w:w="5103" w:type="dxa"/>
                  <w:tcBorders>
                    <w:top w:val="single" w:sz="4" w:space="0" w:color="auto"/>
                    <w:left w:val="single" w:sz="4" w:space="0" w:color="auto"/>
                    <w:bottom w:val="single" w:sz="4" w:space="0" w:color="auto"/>
                    <w:right w:val="single" w:sz="4" w:space="0" w:color="auto"/>
                  </w:tcBorders>
                </w:tcPr>
                <w:p w14:paraId="383F979C" w14:textId="77777777" w:rsidR="0022778D" w:rsidRPr="00C63691" w:rsidRDefault="0022778D" w:rsidP="0022778D">
                  <w:pPr>
                    <w:jc w:val="both"/>
                    <w:rPr>
                      <w:rFonts w:ascii="Times New Roman" w:hAnsi="Times New Roman" w:cs="Times New Roman"/>
                      <w:szCs w:val="24"/>
                    </w:rPr>
                  </w:pPr>
                  <w:r w:rsidRPr="00C63691">
                    <w:rPr>
                      <w:rFonts w:ascii="Times New Roman" w:hAnsi="Times New Roman" w:cs="Times New Roman"/>
                      <w:szCs w:val="24"/>
                    </w:rPr>
                    <w:t>Neintegruota. Ne mažiau nei 20 GB ECC GDDR6 atminties. Vaizdo plokštės grafinio procesoriaus CUDA branduolių skaičius mažiausiai 6100. Našumas pagal „PassMark – G3D Mark“ testą (</w:t>
                  </w:r>
                  <w:hyperlink r:id="rId13" w:history="1">
                    <w:r w:rsidRPr="00C63691">
                      <w:rPr>
                        <w:rStyle w:val="Hyperlink"/>
                        <w:rFonts w:ascii="Times New Roman" w:hAnsi="Times New Roman" w:cs="Times New Roman"/>
                        <w:szCs w:val="24"/>
                      </w:rPr>
                      <w:t>https://www.videocardbenchmark.net/high_end_gpus.html</w:t>
                    </w:r>
                  </w:hyperlink>
                  <w:r w:rsidRPr="00C63691">
                    <w:rPr>
                      <w:rFonts w:ascii="Times New Roman" w:hAnsi="Times New Roman" w:cs="Times New Roman"/>
                      <w:szCs w:val="24"/>
                    </w:rPr>
                    <w:t xml:space="preserve"> ) turi būti ne mažesnis nei </w:t>
                  </w:r>
                  <w:r w:rsidRPr="00C63691">
                    <w:rPr>
                      <w:rFonts w:ascii="Times New Roman" w:hAnsi="Times New Roman" w:cs="Times New Roman"/>
                      <w:color w:val="00B0F0"/>
                      <w:szCs w:val="24"/>
                    </w:rPr>
                    <w:t>23 000 taškų</w:t>
                  </w:r>
                  <w:r w:rsidRPr="00C63691">
                    <w:rPr>
                      <w:rFonts w:ascii="Times New Roman" w:hAnsi="Times New Roman" w:cs="Times New Roman"/>
                      <w:szCs w:val="24"/>
                    </w:rPr>
                    <w:t>. Testo rezultatai turi būti pateikiami kartu su pasiūlymu (angl. printscreen).</w:t>
                  </w:r>
                </w:p>
              </w:tc>
            </w:tr>
          </w:tbl>
          <w:p w14:paraId="73DE2A31" w14:textId="6A833DEA" w:rsidR="00E412E2" w:rsidRPr="0006301E" w:rsidRDefault="00E412E2" w:rsidP="00E412E2">
            <w:pPr>
              <w:rPr>
                <w:rFonts w:ascii="Times New Roman" w:eastAsia="Times New Roman" w:hAnsi="Times New Roman" w:cs="Times New Roman"/>
                <w:b/>
                <w:color w:val="000000" w:themeColor="text1"/>
                <w:sz w:val="24"/>
                <w:szCs w:val="24"/>
                <w:lang w:eastAsia="zh-CN"/>
              </w:rPr>
            </w:pPr>
          </w:p>
        </w:tc>
        <w:tc>
          <w:tcPr>
            <w:tcW w:w="6521" w:type="dxa"/>
            <w:shd w:val="clear" w:color="auto" w:fill="DEEAF6" w:themeFill="accent1" w:themeFillTint="33"/>
          </w:tcPr>
          <w:p w14:paraId="504DAE13" w14:textId="1993240E" w:rsidR="00EA2DC4" w:rsidRPr="00EA2DC4" w:rsidRDefault="00EA2DC4" w:rsidP="00EA2DC4">
            <w:pPr>
              <w:jc w:val="both"/>
              <w:rPr>
                <w:rFonts w:ascii="Times New Roman" w:eastAsia="Calibri" w:hAnsi="Times New Roman" w:cs="Times New Roman"/>
                <w:bCs/>
                <w:iCs/>
              </w:rPr>
            </w:pPr>
            <w:r>
              <w:rPr>
                <w:rFonts w:ascii="Times New Roman" w:eastAsia="Times New Roman" w:hAnsi="Times New Roman" w:cs="Times New Roman"/>
                <w:b/>
                <w:color w:val="000000" w:themeColor="text1"/>
                <w:sz w:val="24"/>
                <w:szCs w:val="24"/>
                <w:lang w:eastAsia="zh-CN"/>
              </w:rPr>
              <w:lastRenderedPageBreak/>
              <w:t xml:space="preserve">Perkančioji organizacija </w:t>
            </w:r>
            <w:r>
              <w:rPr>
                <w:rFonts w:ascii="Times New Roman" w:eastAsia="Times New Roman" w:hAnsi="Times New Roman" w:cs="Times New Roman"/>
                <w:color w:val="000000" w:themeColor="text1"/>
                <w:sz w:val="24"/>
                <w:szCs w:val="24"/>
                <w:lang w:eastAsia="zh-CN"/>
              </w:rPr>
              <w:t>Specialiųjų pirkimo sąlygų 2 priedo „Techninė specifikacija“</w:t>
            </w:r>
            <w:r w:rsidRPr="00CF00FB">
              <w:rPr>
                <w:rFonts w:ascii="Times New Roman" w:eastAsia="Times New Roman" w:hAnsi="Times New Roman" w:cs="Times New Roman"/>
                <w:color w:val="000000" w:themeColor="text1"/>
                <w:sz w:val="24"/>
                <w:szCs w:val="24"/>
                <w:lang w:eastAsia="zh-CN"/>
              </w:rPr>
              <w:t xml:space="preserve"> </w:t>
            </w:r>
            <w:r>
              <w:rPr>
                <w:rFonts w:ascii="Times New Roman" w:eastAsia="Times New Roman" w:hAnsi="Times New Roman" w:cs="Times New Roman"/>
                <w:color w:val="000000" w:themeColor="text1"/>
                <w:sz w:val="24"/>
                <w:szCs w:val="24"/>
                <w:lang w:eastAsia="zh-CN"/>
              </w:rPr>
              <w:t>2</w:t>
            </w:r>
            <w:r w:rsidRPr="00CF00FB">
              <w:rPr>
                <w:rFonts w:ascii="Times New Roman" w:eastAsia="Times New Roman" w:hAnsi="Times New Roman" w:cs="Times New Roman"/>
                <w:color w:val="000000" w:themeColor="text1"/>
                <w:sz w:val="24"/>
                <w:szCs w:val="24"/>
                <w:lang w:eastAsia="zh-CN"/>
              </w:rPr>
              <w:t xml:space="preserve"> pirkimo dalies „</w:t>
            </w:r>
            <w:r w:rsidRPr="00CF00FB">
              <w:rPr>
                <w:rFonts w:ascii="Times New Roman" w:eastAsia="Calibri" w:hAnsi="Times New Roman" w:cs="Times New Roman"/>
                <w:bCs/>
                <w:iCs/>
              </w:rPr>
              <w:t>Stacionarūs (profesionalus) kompiuteriai“</w:t>
            </w:r>
            <w:r>
              <w:rPr>
                <w:rFonts w:ascii="Times New Roman" w:eastAsia="Calibri" w:hAnsi="Times New Roman" w:cs="Times New Roman"/>
                <w:bCs/>
                <w:iCs/>
              </w:rPr>
              <w:t xml:space="preserve"> 1.4. p. </w:t>
            </w:r>
            <w:r w:rsidRPr="009611C2">
              <w:rPr>
                <w:rFonts w:ascii="Times New Roman" w:hAnsi="Times New Roman" w:cs="Times New Roman"/>
                <w:sz w:val="24"/>
                <w:szCs w:val="24"/>
              </w:rPr>
              <w:t>nurodytas minimalus „videocardbenchmark“</w:t>
            </w:r>
            <w:r w:rsidRPr="009611C2">
              <w:rPr>
                <w:rFonts w:ascii="Times New Roman" w:hAnsi="Times New Roman" w:cs="Times New Roman"/>
                <w:iCs/>
                <w:sz w:val="24"/>
                <w:szCs w:val="24"/>
              </w:rPr>
              <w:t xml:space="preserve"> </w:t>
            </w:r>
            <w:r w:rsidRPr="009611C2">
              <w:rPr>
                <w:rFonts w:ascii="Times New Roman" w:hAnsi="Times New Roman" w:cs="Times New Roman"/>
                <w:sz w:val="24"/>
                <w:szCs w:val="24"/>
              </w:rPr>
              <w:t xml:space="preserve">taškų skaičius yra pagrįstas perkančiosios organizacijos poreikiais. Perkančioji organizacija pripažįsta, kad  „videocardbenchmark“ reitingai gali kisti, tačiau pažymi, jog šie pokyčiai, kurie galėtų lemti biudžeto viršijimą, jos vertinimu, </w:t>
            </w:r>
            <w:r w:rsidRPr="009611C2">
              <w:rPr>
                <w:rFonts w:ascii="Times New Roman" w:hAnsi="Times New Roman" w:cs="Times New Roman"/>
                <w:sz w:val="24"/>
                <w:szCs w:val="24"/>
              </w:rPr>
              <w:lastRenderedPageBreak/>
              <w:t>nesudaro pagrindo sumažinti taškų skaičiaus reikalavimo. Taškai vis dar yra pasiekiami su rinkoje esančiais modeliais.</w:t>
            </w:r>
          </w:p>
          <w:p w14:paraId="2D05944F" w14:textId="06F1AADA" w:rsidR="00EA2DC4" w:rsidRPr="0006301E" w:rsidRDefault="00EA2DC4" w:rsidP="00EA2DC4">
            <w:pPr>
              <w:rPr>
                <w:rFonts w:ascii="Times New Roman" w:eastAsia="Times New Roman" w:hAnsi="Times New Roman" w:cs="Times New Roman"/>
                <w:b/>
                <w:color w:val="000000" w:themeColor="text1"/>
                <w:sz w:val="24"/>
                <w:szCs w:val="24"/>
                <w:lang w:eastAsia="zh-CN"/>
              </w:rPr>
            </w:pPr>
          </w:p>
        </w:tc>
      </w:tr>
    </w:tbl>
    <w:p w14:paraId="3555AAD8" w14:textId="77777777" w:rsidR="00A57A17" w:rsidRPr="0006301E" w:rsidRDefault="00A57A17" w:rsidP="005A3183">
      <w:pPr>
        <w:spacing w:after="0"/>
        <w:rPr>
          <w:rFonts w:ascii="Times New Roman" w:hAnsi="Times New Roman" w:cs="Times New Roman"/>
          <w:sz w:val="24"/>
          <w:szCs w:val="24"/>
        </w:rPr>
      </w:pPr>
    </w:p>
    <w:sectPr w:rsidR="00A57A17" w:rsidRPr="0006301E" w:rsidSect="0075771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09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DE9431F"/>
    <w:multiLevelType w:val="hybridMultilevel"/>
    <w:tmpl w:val="5BECFC4A"/>
    <w:lvl w:ilvl="0" w:tplc="D98A2FB2">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AC74C2"/>
    <w:multiLevelType w:val="multilevel"/>
    <w:tmpl w:val="DCF2D01A"/>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3104D"/>
    <w:multiLevelType w:val="multilevel"/>
    <w:tmpl w:val="DCF2D01A"/>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A66D6"/>
    <w:multiLevelType w:val="multilevel"/>
    <w:tmpl w:val="8E8AD7A8"/>
    <w:styleLink w:val="Style4"/>
    <w:lvl w:ilvl="0">
      <w:start w:val="1"/>
      <w:numFmt w:val="decimal"/>
      <w:lvlText w:val="%1"/>
      <w:lvlJc w:val="left"/>
      <w:pPr>
        <w:ind w:left="0" w:firstLine="567"/>
      </w:pPr>
      <w:rPr>
        <w:rFonts w:ascii="Times New Roman" w:hAnsi="Times New Roman" w:hint="default"/>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abstractNum w:abstractNumId="5" w15:restartNumberingAfterBreak="0">
    <w:nsid w:val="17944F36"/>
    <w:multiLevelType w:val="hybridMultilevel"/>
    <w:tmpl w:val="5DC82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894303"/>
    <w:multiLevelType w:val="hybridMultilevel"/>
    <w:tmpl w:val="389AC1F8"/>
    <w:lvl w:ilvl="0" w:tplc="87AA1C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343E3"/>
    <w:multiLevelType w:val="multilevel"/>
    <w:tmpl w:val="5E4E6FB4"/>
    <w:lvl w:ilvl="0">
      <w:start w:val="1"/>
      <w:numFmt w:val="bullet"/>
      <w:lvlText w:val=""/>
      <w:lvlJc w:val="left"/>
      <w:pPr>
        <w:tabs>
          <w:tab w:val="num" w:pos="720"/>
        </w:tabs>
        <w:ind w:left="720" w:hanging="360"/>
      </w:pPr>
      <w:rPr>
        <w:rFonts w:ascii="Symbol" w:hAnsi="Symbol" w:hint="default"/>
        <w:color w:val="000000" w:themeColor="text1"/>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93E9F"/>
    <w:multiLevelType w:val="multilevel"/>
    <w:tmpl w:val="DCF2D01A"/>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D69D6"/>
    <w:multiLevelType w:val="multilevel"/>
    <w:tmpl w:val="DCF2D01A"/>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E7F8F"/>
    <w:multiLevelType w:val="multilevel"/>
    <w:tmpl w:val="5E4E6FB4"/>
    <w:lvl w:ilvl="0">
      <w:start w:val="1"/>
      <w:numFmt w:val="bullet"/>
      <w:lvlText w:val=""/>
      <w:lvlJc w:val="left"/>
      <w:pPr>
        <w:tabs>
          <w:tab w:val="num" w:pos="720"/>
        </w:tabs>
        <w:ind w:left="720" w:hanging="360"/>
      </w:pPr>
      <w:rPr>
        <w:rFonts w:ascii="Symbol" w:hAnsi="Symbol" w:hint="default"/>
        <w:color w:val="000000" w:themeColor="text1"/>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A3174"/>
    <w:multiLevelType w:val="hybridMultilevel"/>
    <w:tmpl w:val="CB74C452"/>
    <w:lvl w:ilvl="0" w:tplc="D05268BC">
      <w:start w:val="1"/>
      <w:numFmt w:val="upperRoman"/>
      <w:pStyle w:val="Heading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583E84"/>
    <w:multiLevelType w:val="multilevel"/>
    <w:tmpl w:val="DCF2D01A"/>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F578D"/>
    <w:multiLevelType w:val="hybridMultilevel"/>
    <w:tmpl w:val="F17CE2BE"/>
    <w:lvl w:ilvl="0" w:tplc="D1DC9576">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0B0EC8"/>
    <w:multiLevelType w:val="multilevel"/>
    <w:tmpl w:val="7986ACB8"/>
    <w:styleLink w:val="Style2"/>
    <w:lvl w:ilvl="0">
      <w:start w:val="1"/>
      <w:numFmt w:val="decimal"/>
      <w:lvlText w:val="%1."/>
      <w:lvlJc w:val="left"/>
      <w:pPr>
        <w:tabs>
          <w:tab w:val="num" w:pos="567"/>
        </w:tabs>
        <w:ind w:left="0" w:firstLine="567"/>
      </w:pPr>
      <w:rPr>
        <w:rFonts w:ascii="Times New Roman" w:hAnsi="Times New Roman"/>
        <w:sz w:val="24"/>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080C1A"/>
    <w:multiLevelType w:val="multilevel"/>
    <w:tmpl w:val="F0A8F3F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60B62"/>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BC10110"/>
    <w:multiLevelType w:val="multilevel"/>
    <w:tmpl w:val="DCF2D01A"/>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D65974"/>
    <w:multiLevelType w:val="multilevel"/>
    <w:tmpl w:val="229C0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23DD6"/>
    <w:multiLevelType w:val="multilevel"/>
    <w:tmpl w:val="1898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C27C28"/>
    <w:multiLevelType w:val="multilevel"/>
    <w:tmpl w:val="DCF2D01A"/>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8A7E82"/>
    <w:multiLevelType w:val="multilevel"/>
    <w:tmpl w:val="09A0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506A8"/>
    <w:multiLevelType w:val="multilevel"/>
    <w:tmpl w:val="24E60BE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041A5F"/>
    <w:multiLevelType w:val="multilevel"/>
    <w:tmpl w:val="DCF2D01A"/>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8A03A5"/>
    <w:multiLevelType w:val="multilevel"/>
    <w:tmpl w:val="DCF2D01A"/>
    <w:lvl w:ilvl="0">
      <w:start w:val="1"/>
      <w:numFmt w:val="decimal"/>
      <w:lvlText w:val="%1)"/>
      <w:lvlJc w:val="left"/>
      <w:pPr>
        <w:tabs>
          <w:tab w:val="num" w:pos="720"/>
        </w:tabs>
        <w:ind w:left="720" w:hanging="360"/>
      </w:pPr>
      <w:rPr>
        <w:rFonts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427247"/>
    <w:multiLevelType w:val="hybridMultilevel"/>
    <w:tmpl w:val="CEF4EF9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6" w15:restartNumberingAfterBreak="0">
    <w:nsid w:val="7C3833CE"/>
    <w:multiLevelType w:val="multilevel"/>
    <w:tmpl w:val="5E4E6FB4"/>
    <w:lvl w:ilvl="0">
      <w:start w:val="1"/>
      <w:numFmt w:val="bullet"/>
      <w:lvlText w:val=""/>
      <w:lvlJc w:val="left"/>
      <w:pPr>
        <w:tabs>
          <w:tab w:val="num" w:pos="720"/>
        </w:tabs>
        <w:ind w:left="720" w:hanging="360"/>
      </w:pPr>
      <w:rPr>
        <w:rFonts w:ascii="Symbol" w:hAnsi="Symbol" w:hint="default"/>
        <w:color w:val="000000" w:themeColor="text1"/>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
  </w:num>
  <w:num w:numId="4">
    <w:abstractNumId w:val="11"/>
  </w:num>
  <w:num w:numId="5">
    <w:abstractNumId w:val="4"/>
  </w:num>
  <w:num w:numId="6">
    <w:abstractNumId w:val="12"/>
  </w:num>
  <w:num w:numId="7">
    <w:abstractNumId w:val="21"/>
  </w:num>
  <w:num w:numId="8">
    <w:abstractNumId w:val="9"/>
  </w:num>
  <w:num w:numId="9">
    <w:abstractNumId w:val="23"/>
  </w:num>
  <w:num w:numId="10">
    <w:abstractNumId w:val="24"/>
  </w:num>
  <w:num w:numId="11">
    <w:abstractNumId w:val="3"/>
  </w:num>
  <w:num w:numId="12">
    <w:abstractNumId w:val="20"/>
  </w:num>
  <w:num w:numId="13">
    <w:abstractNumId w:val="17"/>
  </w:num>
  <w:num w:numId="14">
    <w:abstractNumId w:val="8"/>
  </w:num>
  <w:num w:numId="15">
    <w:abstractNumId w:val="2"/>
  </w:num>
  <w:num w:numId="16">
    <w:abstractNumId w:val="22"/>
  </w:num>
  <w:num w:numId="17">
    <w:abstractNumId w:val="15"/>
  </w:num>
  <w:num w:numId="18">
    <w:abstractNumId w:val="26"/>
  </w:num>
  <w:num w:numId="19">
    <w:abstractNumId w:val="10"/>
  </w:num>
  <w:num w:numId="20">
    <w:abstractNumId w:val="18"/>
  </w:num>
  <w:num w:numId="21">
    <w:abstractNumId w:val="7"/>
  </w:num>
  <w:num w:numId="22">
    <w:abstractNumId w:val="16"/>
  </w:num>
  <w:num w:numId="23">
    <w:abstractNumId w:val="19"/>
  </w:num>
  <w:num w:numId="24">
    <w:abstractNumId w:val="25"/>
  </w:num>
  <w:num w:numId="25">
    <w:abstractNumId w:val="6"/>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4F"/>
    <w:rsid w:val="000205E6"/>
    <w:rsid w:val="00030076"/>
    <w:rsid w:val="0006301E"/>
    <w:rsid w:val="000E1F6F"/>
    <w:rsid w:val="001418CD"/>
    <w:rsid w:val="0014250F"/>
    <w:rsid w:val="00174F6E"/>
    <w:rsid w:val="001C43D6"/>
    <w:rsid w:val="0022778D"/>
    <w:rsid w:val="0025699F"/>
    <w:rsid w:val="00262550"/>
    <w:rsid w:val="00274081"/>
    <w:rsid w:val="002F6103"/>
    <w:rsid w:val="003064FC"/>
    <w:rsid w:val="00347B85"/>
    <w:rsid w:val="00374ABE"/>
    <w:rsid w:val="003A33C1"/>
    <w:rsid w:val="003B5D5C"/>
    <w:rsid w:val="00401079"/>
    <w:rsid w:val="004077E7"/>
    <w:rsid w:val="00426F63"/>
    <w:rsid w:val="00447CDB"/>
    <w:rsid w:val="00460193"/>
    <w:rsid w:val="004932C4"/>
    <w:rsid w:val="004D6096"/>
    <w:rsid w:val="004F5293"/>
    <w:rsid w:val="004F670E"/>
    <w:rsid w:val="005930D8"/>
    <w:rsid w:val="005A3183"/>
    <w:rsid w:val="005A798C"/>
    <w:rsid w:val="005D3021"/>
    <w:rsid w:val="00627C05"/>
    <w:rsid w:val="00655344"/>
    <w:rsid w:val="00662477"/>
    <w:rsid w:val="006A6071"/>
    <w:rsid w:val="006B7AD4"/>
    <w:rsid w:val="00711475"/>
    <w:rsid w:val="0073053D"/>
    <w:rsid w:val="00751F9B"/>
    <w:rsid w:val="00757711"/>
    <w:rsid w:val="00760F60"/>
    <w:rsid w:val="00767FBC"/>
    <w:rsid w:val="007722EC"/>
    <w:rsid w:val="007935DA"/>
    <w:rsid w:val="00794BED"/>
    <w:rsid w:val="007A673B"/>
    <w:rsid w:val="007F19C1"/>
    <w:rsid w:val="00847D4F"/>
    <w:rsid w:val="00886E23"/>
    <w:rsid w:val="0089059A"/>
    <w:rsid w:val="00890B54"/>
    <w:rsid w:val="008B5BA5"/>
    <w:rsid w:val="008D55D7"/>
    <w:rsid w:val="00957E2C"/>
    <w:rsid w:val="009A79E3"/>
    <w:rsid w:val="009B10E2"/>
    <w:rsid w:val="009D28D2"/>
    <w:rsid w:val="00A234F1"/>
    <w:rsid w:val="00A53FE9"/>
    <w:rsid w:val="00A57A17"/>
    <w:rsid w:val="00A615F6"/>
    <w:rsid w:val="00A91285"/>
    <w:rsid w:val="00AA18E3"/>
    <w:rsid w:val="00AB0B4B"/>
    <w:rsid w:val="00AC4170"/>
    <w:rsid w:val="00AE4EAE"/>
    <w:rsid w:val="00AF4DB8"/>
    <w:rsid w:val="00B240B1"/>
    <w:rsid w:val="00B32308"/>
    <w:rsid w:val="00B417D2"/>
    <w:rsid w:val="00B507F7"/>
    <w:rsid w:val="00B77740"/>
    <w:rsid w:val="00B80118"/>
    <w:rsid w:val="00B85A81"/>
    <w:rsid w:val="00B941F1"/>
    <w:rsid w:val="00BA762F"/>
    <w:rsid w:val="00BE0F4F"/>
    <w:rsid w:val="00BF2E7F"/>
    <w:rsid w:val="00BF6DF8"/>
    <w:rsid w:val="00C16075"/>
    <w:rsid w:val="00C50A9F"/>
    <w:rsid w:val="00C63691"/>
    <w:rsid w:val="00C6636D"/>
    <w:rsid w:val="00C8307B"/>
    <w:rsid w:val="00C9023D"/>
    <w:rsid w:val="00CB16CB"/>
    <w:rsid w:val="00CC166A"/>
    <w:rsid w:val="00CF00FB"/>
    <w:rsid w:val="00CF366E"/>
    <w:rsid w:val="00D223F5"/>
    <w:rsid w:val="00D74F3D"/>
    <w:rsid w:val="00DD682E"/>
    <w:rsid w:val="00DF5A20"/>
    <w:rsid w:val="00E412E2"/>
    <w:rsid w:val="00E51051"/>
    <w:rsid w:val="00E528A5"/>
    <w:rsid w:val="00E76B86"/>
    <w:rsid w:val="00E84DC3"/>
    <w:rsid w:val="00EA2DC4"/>
    <w:rsid w:val="00EB0966"/>
    <w:rsid w:val="00ED260E"/>
    <w:rsid w:val="00ED6A30"/>
    <w:rsid w:val="00EF397B"/>
    <w:rsid w:val="00F035DB"/>
    <w:rsid w:val="00F20BFA"/>
    <w:rsid w:val="00FE5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AFA8"/>
  <w15:chartTrackingRefBased/>
  <w15:docId w15:val="{68ACB326-4B9F-470D-A5E7-12364D19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711"/>
  </w:style>
  <w:style w:type="paragraph" w:styleId="Heading1">
    <w:name w:val="heading 1"/>
    <w:basedOn w:val="Normal"/>
    <w:next w:val="Normal"/>
    <w:link w:val="Heading1Char"/>
    <w:uiPriority w:val="9"/>
    <w:qFormat/>
    <w:rsid w:val="00B941F1"/>
    <w:pPr>
      <w:keepNext/>
      <w:keepLines/>
      <w:suppressAutoHyphens/>
      <w:spacing w:before="240" w:after="240" w:line="276"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autoRedefine/>
    <w:uiPriority w:val="9"/>
    <w:unhideWhenUsed/>
    <w:qFormat/>
    <w:rsid w:val="002F6103"/>
    <w:pPr>
      <w:keepNext/>
      <w:keepLines/>
      <w:numPr>
        <w:numId w:val="4"/>
      </w:numPr>
      <w:suppressAutoHyphens/>
      <w:spacing w:before="40" w:after="0"/>
      <w:jc w:val="center"/>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BF6DF8"/>
    <w:pPr>
      <w:numPr>
        <w:numId w:val="1"/>
      </w:numPr>
    </w:pPr>
  </w:style>
  <w:style w:type="character" w:customStyle="1" w:styleId="Heading1Char">
    <w:name w:val="Heading 1 Char"/>
    <w:basedOn w:val="DefaultParagraphFont"/>
    <w:link w:val="Heading1"/>
    <w:uiPriority w:val="9"/>
    <w:rsid w:val="00B941F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2F6103"/>
    <w:rPr>
      <w:rFonts w:ascii="Times New Roman" w:eastAsiaTheme="majorEastAsia" w:hAnsi="Times New Roman" w:cstheme="majorBidi"/>
      <w:b/>
      <w:color w:val="000000" w:themeColor="text1"/>
      <w:sz w:val="24"/>
      <w:szCs w:val="26"/>
    </w:rPr>
  </w:style>
  <w:style w:type="numbering" w:customStyle="1" w:styleId="Style4">
    <w:name w:val="Style4"/>
    <w:uiPriority w:val="99"/>
    <w:rsid w:val="00B77740"/>
    <w:pPr>
      <w:numPr>
        <w:numId w:val="5"/>
      </w:numPr>
    </w:pPr>
  </w:style>
  <w:style w:type="table" w:styleId="TableGrid">
    <w:name w:val="Table Grid"/>
    <w:basedOn w:val="TableNormal"/>
    <w:uiPriority w:val="39"/>
    <w:rsid w:val="00757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D6A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aliases w:val="Numbering,ERP-List Paragraph,List Paragraph11,Bullet EY,List Paragraph2,List Paragraph Red,List Paragraph1,List Paragraph21,Lentele,List not in Table,punktai,Buletai,lp1,Bullet 1,Use Case List Paragraph,List Paragraph111,Paragraph,Bullet"/>
    <w:basedOn w:val="Normal"/>
    <w:link w:val="ListParagraphChar"/>
    <w:uiPriority w:val="34"/>
    <w:qFormat/>
    <w:rsid w:val="000205E6"/>
    <w:pPr>
      <w:ind w:left="720"/>
      <w:contextualSpacing/>
    </w:pPr>
  </w:style>
  <w:style w:type="table" w:customStyle="1" w:styleId="TableGrid31">
    <w:name w:val="Table Grid31"/>
    <w:basedOn w:val="TableNormal"/>
    <w:next w:val="TableGrid"/>
    <w:uiPriority w:val="39"/>
    <w:rsid w:val="000205E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A53FE9"/>
    <w:rPr>
      <w:sz w:val="16"/>
      <w:szCs w:val="16"/>
    </w:rPr>
  </w:style>
  <w:style w:type="paragraph" w:styleId="CommentText">
    <w:name w:val="annotation text"/>
    <w:basedOn w:val="Normal"/>
    <w:link w:val="CommentTextChar"/>
    <w:uiPriority w:val="99"/>
    <w:semiHidden/>
    <w:unhideWhenUsed/>
    <w:rsid w:val="00A53FE9"/>
    <w:pPr>
      <w:spacing w:line="240" w:lineRule="auto"/>
    </w:pPr>
    <w:rPr>
      <w:sz w:val="20"/>
      <w:szCs w:val="20"/>
    </w:rPr>
  </w:style>
  <w:style w:type="character" w:customStyle="1" w:styleId="CommentTextChar">
    <w:name w:val="Comment Text Char"/>
    <w:basedOn w:val="DefaultParagraphFont"/>
    <w:link w:val="CommentText"/>
    <w:uiPriority w:val="99"/>
    <w:semiHidden/>
    <w:rsid w:val="00A53FE9"/>
    <w:rPr>
      <w:sz w:val="20"/>
      <w:szCs w:val="20"/>
    </w:rPr>
  </w:style>
  <w:style w:type="paragraph" w:styleId="CommentSubject">
    <w:name w:val="annotation subject"/>
    <w:basedOn w:val="CommentText"/>
    <w:next w:val="CommentText"/>
    <w:link w:val="CommentSubjectChar"/>
    <w:uiPriority w:val="99"/>
    <w:semiHidden/>
    <w:unhideWhenUsed/>
    <w:rsid w:val="00A53FE9"/>
    <w:rPr>
      <w:b/>
      <w:bCs/>
    </w:rPr>
  </w:style>
  <w:style w:type="character" w:customStyle="1" w:styleId="CommentSubjectChar">
    <w:name w:val="Comment Subject Char"/>
    <w:basedOn w:val="CommentTextChar"/>
    <w:link w:val="CommentSubject"/>
    <w:uiPriority w:val="99"/>
    <w:semiHidden/>
    <w:rsid w:val="00A53FE9"/>
    <w:rPr>
      <w:b/>
      <w:bCs/>
      <w:sz w:val="20"/>
      <w:szCs w:val="20"/>
    </w:rPr>
  </w:style>
  <w:style w:type="paragraph" w:styleId="BalloonText">
    <w:name w:val="Balloon Text"/>
    <w:basedOn w:val="Normal"/>
    <w:link w:val="BalloonTextChar"/>
    <w:uiPriority w:val="99"/>
    <w:semiHidden/>
    <w:unhideWhenUsed/>
    <w:rsid w:val="00A53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FE9"/>
    <w:rPr>
      <w:rFonts w:ascii="Segoe UI" w:hAnsi="Segoe UI" w:cs="Segoe UI"/>
      <w:sz w:val="18"/>
      <w:szCs w:val="18"/>
    </w:rPr>
  </w:style>
  <w:style w:type="paragraph" w:customStyle="1" w:styleId="Default">
    <w:name w:val="Default"/>
    <w:qFormat/>
    <w:rsid w:val="00AC4170"/>
    <w:pPr>
      <w:suppressAutoHyphens/>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Numbering Char,ERP-List Paragraph Char,List Paragraph11 Char,Bullet EY Char,List Paragraph2 Char,List Paragraph Red Char,List Paragraph1 Char,List Paragraph21 Char,Lentele Char,List not in Table Char,punktai Char,Buletai Char"/>
    <w:basedOn w:val="DefaultParagraphFont"/>
    <w:link w:val="ListParagraph"/>
    <w:uiPriority w:val="34"/>
    <w:qFormat/>
    <w:locked/>
    <w:rsid w:val="00AC4170"/>
  </w:style>
  <w:style w:type="character" w:styleId="Hyperlink">
    <w:name w:val="Hyperlink"/>
    <w:basedOn w:val="DefaultParagraphFont"/>
    <w:uiPriority w:val="99"/>
    <w:unhideWhenUsed/>
    <w:rsid w:val="00AC4170"/>
    <w:rPr>
      <w:color w:val="0563C1" w:themeColor="hyperlink"/>
      <w:u w:val="single"/>
    </w:rPr>
  </w:style>
  <w:style w:type="paragraph" w:customStyle="1" w:styleId="P68B1DB1-ListParagraph13">
    <w:name w:val="P68B1DB1-ListParagraph13"/>
    <w:basedOn w:val="ListParagraph"/>
    <w:rsid w:val="00401079"/>
    <w:pPr>
      <w:spacing w:after="0" w:line="240" w:lineRule="auto"/>
    </w:pPr>
    <w:rPr>
      <w:rFonts w:ascii="Times New Roman" w:eastAsia="Arial" w:hAnsi="Times New Roman" w:cs="Times New Roman"/>
      <w:sz w:val="24"/>
      <w:szCs w:val="20"/>
      <w:lang w:val="en" w:eastAsia="lt-LT"/>
    </w:rPr>
  </w:style>
  <w:style w:type="character" w:styleId="Strong">
    <w:name w:val="Strong"/>
    <w:basedOn w:val="DefaultParagraphFont"/>
    <w:uiPriority w:val="22"/>
    <w:qFormat/>
    <w:rsid w:val="001C43D6"/>
    <w:rPr>
      <w:b/>
      <w:bCs/>
    </w:rPr>
  </w:style>
  <w:style w:type="paragraph" w:customStyle="1" w:styleId="western">
    <w:name w:val="western"/>
    <w:basedOn w:val="Normal"/>
    <w:rsid w:val="009A79E3"/>
    <w:pPr>
      <w:spacing w:before="100" w:beforeAutospacing="1" w:after="100" w:afterAutospacing="1" w:line="240" w:lineRule="auto"/>
      <w:jc w:val="both"/>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122">
      <w:bodyDiv w:val="1"/>
      <w:marLeft w:val="0"/>
      <w:marRight w:val="0"/>
      <w:marTop w:val="0"/>
      <w:marBottom w:val="0"/>
      <w:divBdr>
        <w:top w:val="none" w:sz="0" w:space="0" w:color="auto"/>
        <w:left w:val="none" w:sz="0" w:space="0" w:color="auto"/>
        <w:bottom w:val="none" w:sz="0" w:space="0" w:color="auto"/>
        <w:right w:val="none" w:sz="0" w:space="0" w:color="auto"/>
      </w:divBdr>
    </w:div>
    <w:div w:id="188372968">
      <w:bodyDiv w:val="1"/>
      <w:marLeft w:val="0"/>
      <w:marRight w:val="0"/>
      <w:marTop w:val="0"/>
      <w:marBottom w:val="0"/>
      <w:divBdr>
        <w:top w:val="none" w:sz="0" w:space="0" w:color="auto"/>
        <w:left w:val="none" w:sz="0" w:space="0" w:color="auto"/>
        <w:bottom w:val="none" w:sz="0" w:space="0" w:color="auto"/>
        <w:right w:val="none" w:sz="0" w:space="0" w:color="auto"/>
      </w:divBdr>
    </w:div>
    <w:div w:id="220294786">
      <w:bodyDiv w:val="1"/>
      <w:marLeft w:val="0"/>
      <w:marRight w:val="0"/>
      <w:marTop w:val="0"/>
      <w:marBottom w:val="0"/>
      <w:divBdr>
        <w:top w:val="none" w:sz="0" w:space="0" w:color="auto"/>
        <w:left w:val="none" w:sz="0" w:space="0" w:color="auto"/>
        <w:bottom w:val="none" w:sz="0" w:space="0" w:color="auto"/>
        <w:right w:val="none" w:sz="0" w:space="0" w:color="auto"/>
      </w:divBdr>
    </w:div>
    <w:div w:id="225996852">
      <w:bodyDiv w:val="1"/>
      <w:marLeft w:val="0"/>
      <w:marRight w:val="0"/>
      <w:marTop w:val="0"/>
      <w:marBottom w:val="0"/>
      <w:divBdr>
        <w:top w:val="none" w:sz="0" w:space="0" w:color="auto"/>
        <w:left w:val="none" w:sz="0" w:space="0" w:color="auto"/>
        <w:bottom w:val="none" w:sz="0" w:space="0" w:color="auto"/>
        <w:right w:val="none" w:sz="0" w:space="0" w:color="auto"/>
      </w:divBdr>
    </w:div>
    <w:div w:id="803425721">
      <w:bodyDiv w:val="1"/>
      <w:marLeft w:val="0"/>
      <w:marRight w:val="0"/>
      <w:marTop w:val="0"/>
      <w:marBottom w:val="0"/>
      <w:divBdr>
        <w:top w:val="none" w:sz="0" w:space="0" w:color="auto"/>
        <w:left w:val="none" w:sz="0" w:space="0" w:color="auto"/>
        <w:bottom w:val="none" w:sz="0" w:space="0" w:color="auto"/>
        <w:right w:val="none" w:sz="0" w:space="0" w:color="auto"/>
      </w:divBdr>
    </w:div>
    <w:div w:id="833187522">
      <w:bodyDiv w:val="1"/>
      <w:marLeft w:val="0"/>
      <w:marRight w:val="0"/>
      <w:marTop w:val="0"/>
      <w:marBottom w:val="0"/>
      <w:divBdr>
        <w:top w:val="none" w:sz="0" w:space="0" w:color="auto"/>
        <w:left w:val="none" w:sz="0" w:space="0" w:color="auto"/>
        <w:bottom w:val="none" w:sz="0" w:space="0" w:color="auto"/>
        <w:right w:val="none" w:sz="0" w:space="0" w:color="auto"/>
      </w:divBdr>
    </w:div>
    <w:div w:id="881138357">
      <w:bodyDiv w:val="1"/>
      <w:marLeft w:val="0"/>
      <w:marRight w:val="0"/>
      <w:marTop w:val="0"/>
      <w:marBottom w:val="0"/>
      <w:divBdr>
        <w:top w:val="none" w:sz="0" w:space="0" w:color="auto"/>
        <w:left w:val="none" w:sz="0" w:space="0" w:color="auto"/>
        <w:bottom w:val="none" w:sz="0" w:space="0" w:color="auto"/>
        <w:right w:val="none" w:sz="0" w:space="0" w:color="auto"/>
      </w:divBdr>
    </w:div>
    <w:div w:id="1110512068">
      <w:bodyDiv w:val="1"/>
      <w:marLeft w:val="0"/>
      <w:marRight w:val="0"/>
      <w:marTop w:val="0"/>
      <w:marBottom w:val="0"/>
      <w:divBdr>
        <w:top w:val="none" w:sz="0" w:space="0" w:color="auto"/>
        <w:left w:val="none" w:sz="0" w:space="0" w:color="auto"/>
        <w:bottom w:val="none" w:sz="0" w:space="0" w:color="auto"/>
        <w:right w:val="none" w:sz="0" w:space="0" w:color="auto"/>
      </w:divBdr>
    </w:div>
    <w:div w:id="1236091981">
      <w:bodyDiv w:val="1"/>
      <w:marLeft w:val="0"/>
      <w:marRight w:val="0"/>
      <w:marTop w:val="0"/>
      <w:marBottom w:val="0"/>
      <w:divBdr>
        <w:top w:val="none" w:sz="0" w:space="0" w:color="auto"/>
        <w:left w:val="none" w:sz="0" w:space="0" w:color="auto"/>
        <w:bottom w:val="none" w:sz="0" w:space="0" w:color="auto"/>
        <w:right w:val="none" w:sz="0" w:space="0" w:color="auto"/>
      </w:divBdr>
    </w:div>
    <w:div w:id="1628925816">
      <w:bodyDiv w:val="1"/>
      <w:marLeft w:val="0"/>
      <w:marRight w:val="0"/>
      <w:marTop w:val="0"/>
      <w:marBottom w:val="0"/>
      <w:divBdr>
        <w:top w:val="none" w:sz="0" w:space="0" w:color="auto"/>
        <w:left w:val="none" w:sz="0" w:space="0" w:color="auto"/>
        <w:bottom w:val="none" w:sz="0" w:space="0" w:color="auto"/>
        <w:right w:val="none" w:sz="0" w:space="0" w:color="auto"/>
      </w:divBdr>
    </w:div>
    <w:div w:id="1687367215">
      <w:bodyDiv w:val="1"/>
      <w:marLeft w:val="0"/>
      <w:marRight w:val="0"/>
      <w:marTop w:val="0"/>
      <w:marBottom w:val="0"/>
      <w:divBdr>
        <w:top w:val="none" w:sz="0" w:space="0" w:color="auto"/>
        <w:left w:val="none" w:sz="0" w:space="0" w:color="auto"/>
        <w:bottom w:val="none" w:sz="0" w:space="0" w:color="auto"/>
        <w:right w:val="none" w:sz="0" w:space="0" w:color="auto"/>
      </w:divBdr>
    </w:div>
    <w:div w:id="20627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videocardbenchmark.net/high_end_gpus.html"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videocardbenchmark.net/high_end_gpu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B402B-DF8D-46CE-9CC1-D9FD0123B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10</Pages>
  <Words>14350</Words>
  <Characters>8180</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Sičiūnaitė-Kalytienė</dc:creator>
  <cp:keywords/>
  <dc:description/>
  <cp:lastModifiedBy>Vaida Sičiūnaitė-Kalytienė</cp:lastModifiedBy>
  <cp:revision>29</cp:revision>
  <dcterms:created xsi:type="dcterms:W3CDTF">2024-09-18T07:13:00Z</dcterms:created>
  <dcterms:modified xsi:type="dcterms:W3CDTF">2025-04-23T13:06:00Z</dcterms:modified>
</cp:coreProperties>
</file>