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BABB" w14:textId="1A12C734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C8621D">
        <w:rPr>
          <w:rFonts w:ascii="Times New Roman" w:hAnsi="Times New Roman"/>
          <w:b/>
          <w:sz w:val="24"/>
          <w:szCs w:val="24"/>
          <w:lang w:val="lt-LT"/>
        </w:rPr>
        <w:t>9</w:t>
      </w:r>
      <w:r w:rsidR="007712B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>priedas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2601661F" w14:textId="03C6633D" w:rsidR="00DC2D79" w:rsidRPr="0036763A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tiekėjui 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Į Statybos sektoriaus vystymo agentūros (buv. </w:t>
            </w: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centro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išduoti kvalifikacijos atestatai ar (tiekėjams iš užsienio) 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Į Statybos sektoriaus vystymo agentūros (buv. </w:t>
            </w: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išduotas teisės pripažinimo dokumentas.</w:t>
            </w:r>
          </w:p>
          <w:p w14:paraId="73970F27" w14:textId="3B1FFF98" w:rsidR="00F61E3C" w:rsidRPr="0036763A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  <w:tr w:rsidR="003D51E7" w:rsidRPr="00132116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02EB6F5F" w14:textId="6CD9E0C4" w:rsidR="00DC2D79" w:rsidRPr="0036763A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Reikalavimo atitikčiai pagrįsti pateikiami tiekėjui 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Į Statybos sektoriaus vystymo agentūros (</w:t>
            </w:r>
            <w:r w:rsidR="0071295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buv. </w:t>
            </w: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centro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išduoti kvalifikacijos atestatai ar (tiekėjams iš užsienio) 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š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Į Statybos sektoriaus vystymo agentūros (</w:t>
            </w:r>
            <w:r w:rsidR="0071295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buv. </w:t>
            </w: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VĮ Statybos produkcijos sertifikavimo centr</w:t>
            </w:r>
            <w:r w:rsidR="009C7168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="006C28C9"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išduotas teisės pripažinimo dokumentas.</w:t>
            </w:r>
          </w:p>
          <w:p w14:paraId="26B7A8E3" w14:textId="63DD47FF" w:rsidR="003D51E7" w:rsidRPr="0036763A" w:rsidRDefault="00DC2D79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36763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Pateikiamos skaitmeninės dokumentų kopijos.</w:t>
            </w: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3B9BCCAC" w14:textId="3C1770B8" w:rsidR="00FF7CB9" w:rsidRP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1612A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D1612A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A17969">
        <w:rPr>
          <w:rFonts w:ascii="Times New Roman" w:hAnsi="Times New Roman"/>
          <w:sz w:val="24"/>
          <w:szCs w:val="24"/>
          <w:lang w:val="lt-LT"/>
        </w:rPr>
        <w:t xml:space="preserve">kaip nurodyta konkurso sąlygų </w:t>
      </w:r>
      <w:r w:rsidR="00F65167" w:rsidRPr="00A17969">
        <w:rPr>
          <w:rFonts w:ascii="Times New Roman" w:hAnsi="Times New Roman"/>
          <w:sz w:val="24"/>
          <w:szCs w:val="24"/>
          <w:lang w:val="lt-LT"/>
        </w:rPr>
        <w:t>1</w:t>
      </w:r>
      <w:r w:rsidR="00565755">
        <w:rPr>
          <w:rFonts w:ascii="Times New Roman" w:hAnsi="Times New Roman"/>
          <w:sz w:val="24"/>
          <w:szCs w:val="24"/>
          <w:lang w:val="lt-LT"/>
        </w:rPr>
        <w:t>6</w:t>
      </w:r>
      <w:r w:rsidR="00BE16D0">
        <w:rPr>
          <w:rFonts w:ascii="Times New Roman" w:hAnsi="Times New Roman"/>
          <w:sz w:val="24"/>
          <w:szCs w:val="24"/>
          <w:lang w:val="lt-LT"/>
        </w:rPr>
        <w:t>.</w:t>
      </w:r>
      <w:r w:rsidR="00387A97">
        <w:rPr>
          <w:rFonts w:ascii="Times New Roman" w:hAnsi="Times New Roman"/>
          <w:sz w:val="24"/>
          <w:szCs w:val="24"/>
          <w:lang w:val="lt-LT"/>
        </w:rPr>
        <w:t>2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17969">
        <w:rPr>
          <w:rFonts w:ascii="Times New Roman" w:hAnsi="Times New Roman"/>
          <w:sz w:val="24"/>
          <w:szCs w:val="24"/>
          <w:lang w:val="lt-LT"/>
        </w:rPr>
        <w:t>punkt</w:t>
      </w:r>
      <w:r w:rsidR="00B07AEC" w:rsidRPr="00A17969">
        <w:rPr>
          <w:rFonts w:ascii="Times New Roman" w:hAnsi="Times New Roman"/>
          <w:sz w:val="24"/>
          <w:szCs w:val="24"/>
          <w:lang w:val="lt-LT"/>
        </w:rPr>
        <w:t>e</w:t>
      </w:r>
      <w:r w:rsidRPr="00A17969">
        <w:rPr>
          <w:rFonts w:ascii="Times New Roman" w:hAnsi="Times New Roman"/>
          <w:sz w:val="24"/>
          <w:szCs w:val="24"/>
          <w:lang w:val="lt-LT"/>
        </w:rPr>
        <w:t>.</w:t>
      </w:r>
    </w:p>
    <w:sectPr w:rsidR="00FF7CB9" w:rsidRPr="00FF7CB9" w:rsidSect="002A2B0C">
      <w:headerReference w:type="default" r:id="rId7"/>
      <w:pgSz w:w="15840" w:h="12240" w:orient="landscape"/>
      <w:pgMar w:top="993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97D5" w14:textId="77777777" w:rsidR="00684C0C" w:rsidRDefault="00684C0C" w:rsidP="00E82522">
      <w:pPr>
        <w:spacing w:after="0" w:line="240" w:lineRule="auto"/>
      </w:pPr>
      <w:r>
        <w:separator/>
      </w:r>
    </w:p>
  </w:endnote>
  <w:endnote w:type="continuationSeparator" w:id="0">
    <w:p w14:paraId="15A4B11F" w14:textId="77777777" w:rsidR="00684C0C" w:rsidRDefault="00684C0C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BC9B" w14:textId="77777777" w:rsidR="00684C0C" w:rsidRDefault="00684C0C" w:rsidP="00E82522">
      <w:pPr>
        <w:spacing w:after="0" w:line="240" w:lineRule="auto"/>
      </w:pPr>
      <w:r>
        <w:separator/>
      </w:r>
    </w:p>
  </w:footnote>
  <w:footnote w:type="continuationSeparator" w:id="0">
    <w:p w14:paraId="78E64673" w14:textId="77777777" w:rsidR="00684C0C" w:rsidRDefault="00684C0C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E74C2"/>
    <w:rsid w:val="00130BB2"/>
    <w:rsid w:val="00132116"/>
    <w:rsid w:val="00132EB8"/>
    <w:rsid w:val="00142386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24453"/>
    <w:rsid w:val="002679FA"/>
    <w:rsid w:val="00291699"/>
    <w:rsid w:val="002A2B0C"/>
    <w:rsid w:val="002C00F4"/>
    <w:rsid w:val="002C1616"/>
    <w:rsid w:val="002D1A72"/>
    <w:rsid w:val="002F18EA"/>
    <w:rsid w:val="0036763A"/>
    <w:rsid w:val="00387A97"/>
    <w:rsid w:val="003D51E7"/>
    <w:rsid w:val="004740DE"/>
    <w:rsid w:val="00494117"/>
    <w:rsid w:val="00532B09"/>
    <w:rsid w:val="00565755"/>
    <w:rsid w:val="005A60E3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B53D2"/>
    <w:rsid w:val="0084438F"/>
    <w:rsid w:val="00887CB6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665D2"/>
    <w:rsid w:val="00A70960"/>
    <w:rsid w:val="00AA3F1D"/>
    <w:rsid w:val="00B07AEC"/>
    <w:rsid w:val="00B5378E"/>
    <w:rsid w:val="00B831E8"/>
    <w:rsid w:val="00BE16D0"/>
    <w:rsid w:val="00BE5210"/>
    <w:rsid w:val="00C75381"/>
    <w:rsid w:val="00C8621D"/>
    <w:rsid w:val="00D01E24"/>
    <w:rsid w:val="00D030A9"/>
    <w:rsid w:val="00D06164"/>
    <w:rsid w:val="00D1612A"/>
    <w:rsid w:val="00D71F88"/>
    <w:rsid w:val="00D92793"/>
    <w:rsid w:val="00DC2D79"/>
    <w:rsid w:val="00E032FF"/>
    <w:rsid w:val="00E82522"/>
    <w:rsid w:val="00E93311"/>
    <w:rsid w:val="00EC7609"/>
    <w:rsid w:val="00EE2087"/>
    <w:rsid w:val="00F233A3"/>
    <w:rsid w:val="00F61E3C"/>
    <w:rsid w:val="00F65167"/>
    <w:rsid w:val="00F87062"/>
    <w:rsid w:val="00FD460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Valentas</dc:creator>
  <cp:keywords/>
  <cp:lastModifiedBy>Viešųjų pirkimų skyrius</cp:lastModifiedBy>
  <cp:revision>17</cp:revision>
  <dcterms:created xsi:type="dcterms:W3CDTF">2023-02-17T07:22:00Z</dcterms:created>
  <dcterms:modified xsi:type="dcterms:W3CDTF">2024-02-19T14:30:00Z</dcterms:modified>
</cp:coreProperties>
</file>