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E05275">
        <w:rPr>
          <w:rFonts w:asciiTheme="majorHAnsi" w:hAnsiTheme="majorHAnsi"/>
          <w:iCs/>
          <w:sz w:val="22"/>
          <w:szCs w:val="22"/>
        </w:rPr>
        <w:t>1743517</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E05275">
        <w:rPr>
          <w:rFonts w:asciiTheme="majorHAnsi" w:hAnsiTheme="majorHAnsi"/>
          <w:sz w:val="22"/>
          <w:szCs w:val="22"/>
        </w:rPr>
        <w:t>12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05275">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763FF4"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763FF4"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763FF4"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763FF4"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763FF4"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E05275">
        <w:rPr>
          <w:rFonts w:asciiTheme="majorHAnsi" w:hAnsiTheme="majorHAnsi"/>
          <w:b/>
          <w:iCs/>
          <w:color w:val="548DD4" w:themeColor="text2" w:themeTint="99"/>
        </w:rPr>
        <w:t>gegužės</w:t>
      </w:r>
      <w:r w:rsidR="00E10C59">
        <w:rPr>
          <w:rFonts w:asciiTheme="majorHAnsi" w:hAnsiTheme="majorHAnsi"/>
          <w:b/>
          <w:iCs/>
          <w:color w:val="548DD4" w:themeColor="text2" w:themeTint="99"/>
        </w:rPr>
        <w:t xml:space="preserve"> </w:t>
      </w:r>
      <w:r w:rsidR="00E05275">
        <w:rPr>
          <w:rFonts w:asciiTheme="majorHAnsi" w:hAnsiTheme="majorHAnsi"/>
          <w:b/>
          <w:iCs/>
          <w:color w:val="548DD4" w:themeColor="text2" w:themeTint="99"/>
        </w:rPr>
        <w:t>05</w:t>
      </w:r>
      <w:r w:rsidR="00C40927" w:rsidRPr="00D45921">
        <w:rPr>
          <w:rFonts w:asciiTheme="majorHAnsi" w:hAnsiTheme="majorHAnsi"/>
          <w:b/>
          <w:iCs/>
          <w:color w:val="548DD4" w:themeColor="text2" w:themeTint="99"/>
        </w:rPr>
        <w:t xml:space="preserve"> </w:t>
      </w:r>
      <w:bookmarkStart w:id="26" w:name="_GoBack"/>
      <w:bookmarkEnd w:id="26"/>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E05275">
        <w:rPr>
          <w:rFonts w:asciiTheme="majorHAnsi" w:hAnsiTheme="majorHAnsi"/>
          <w:b/>
          <w:iCs/>
          <w:color w:val="548DD4" w:themeColor="text2" w:themeTint="99"/>
          <w:sz w:val="22"/>
          <w:szCs w:val="22"/>
          <w:u w:val="single"/>
        </w:rPr>
        <w:t>gegužės</w:t>
      </w:r>
      <w:r w:rsidR="009B383E" w:rsidRPr="009B383E">
        <w:rPr>
          <w:rFonts w:asciiTheme="majorHAnsi" w:hAnsiTheme="majorHAnsi"/>
          <w:b/>
          <w:iCs/>
          <w:color w:val="548DD4" w:themeColor="text2" w:themeTint="99"/>
          <w:sz w:val="22"/>
          <w:szCs w:val="22"/>
          <w:u w:val="single"/>
        </w:rPr>
        <w:t xml:space="preserve"> </w:t>
      </w:r>
      <w:r w:rsidR="00E05275">
        <w:rPr>
          <w:rFonts w:asciiTheme="majorHAnsi" w:hAnsiTheme="majorHAnsi"/>
          <w:b/>
          <w:iCs/>
          <w:color w:val="548DD4" w:themeColor="text2" w:themeTint="99"/>
          <w:sz w:val="22"/>
          <w:szCs w:val="22"/>
          <w:u w:val="single"/>
        </w:rPr>
        <w:t>05</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E05275">
        <w:rPr>
          <w:rFonts w:asciiTheme="majorHAnsi" w:hAnsiTheme="majorHAnsi"/>
          <w:b/>
          <w:iCs/>
          <w:color w:val="548DD4" w:themeColor="text2" w:themeTint="99"/>
          <w:sz w:val="22"/>
          <w:szCs w:val="22"/>
          <w:u w:val="single"/>
        </w:rPr>
        <w:t>gegužės</w:t>
      </w:r>
      <w:r w:rsidR="009C2351" w:rsidRPr="009B383E">
        <w:rPr>
          <w:rFonts w:asciiTheme="majorHAnsi" w:hAnsiTheme="majorHAnsi"/>
          <w:b/>
          <w:iCs/>
          <w:color w:val="548DD4" w:themeColor="text2" w:themeTint="99"/>
          <w:sz w:val="22"/>
          <w:szCs w:val="22"/>
          <w:u w:val="single"/>
        </w:rPr>
        <w:t xml:space="preserve"> </w:t>
      </w:r>
      <w:r w:rsidR="00E05275">
        <w:rPr>
          <w:rFonts w:asciiTheme="majorHAnsi" w:hAnsiTheme="majorHAnsi"/>
          <w:b/>
          <w:iCs/>
          <w:color w:val="548DD4" w:themeColor="text2" w:themeTint="99"/>
          <w:sz w:val="22"/>
          <w:szCs w:val="22"/>
          <w:u w:val="single"/>
        </w:rPr>
        <w:t>05</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8562A0" w:rsidRDefault="008562A0" w:rsidP="008562A0">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FF4" w:rsidRDefault="00763FF4" w:rsidP="00516023">
      <w:r>
        <w:separator/>
      </w:r>
    </w:p>
  </w:endnote>
  <w:endnote w:type="continuationSeparator" w:id="0">
    <w:p w:rsidR="00763FF4" w:rsidRDefault="00763FF4"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FF4" w:rsidRDefault="00763FF4" w:rsidP="00516023">
      <w:r>
        <w:separator/>
      </w:r>
    </w:p>
  </w:footnote>
  <w:footnote w:type="continuationSeparator" w:id="0">
    <w:p w:rsidR="00763FF4" w:rsidRDefault="00763FF4"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76F2C"/>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506"/>
    <w:rsid w:val="003F2B46"/>
    <w:rsid w:val="003F5E26"/>
    <w:rsid w:val="00403A8A"/>
    <w:rsid w:val="00404988"/>
    <w:rsid w:val="00414815"/>
    <w:rsid w:val="004154FD"/>
    <w:rsid w:val="004161CD"/>
    <w:rsid w:val="004224A2"/>
    <w:rsid w:val="00431EFF"/>
    <w:rsid w:val="00445155"/>
    <w:rsid w:val="00463A86"/>
    <w:rsid w:val="0046583B"/>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2591"/>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8A"/>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3FF4"/>
    <w:rsid w:val="00764683"/>
    <w:rsid w:val="00773A00"/>
    <w:rsid w:val="00777CA1"/>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562A0"/>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01C18"/>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05F6"/>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5275"/>
    <w:rsid w:val="00E061B0"/>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58383068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5A363-73BF-49CD-BF21-7A05FBB6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19</Pages>
  <Words>9060</Words>
  <Characters>51644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125</cp:revision>
  <cp:lastPrinted>2024-07-29T06:28:00Z</cp:lastPrinted>
  <dcterms:created xsi:type="dcterms:W3CDTF">2023-03-03T08:33:00Z</dcterms:created>
  <dcterms:modified xsi:type="dcterms:W3CDTF">2025-04-24T07:02:00Z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