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708231F5" w14:textId="77777777" w:rsidR="00AE1F31" w:rsidRDefault="00AE1F31" w:rsidP="00AE1F31">
      <w:pPr>
        <w:pStyle w:val="Pagrindinistekstas"/>
        <w:ind w:firstLine="0"/>
        <w:jc w:val="center"/>
        <w:rPr>
          <w:rFonts w:ascii="Arial" w:hAnsi="Arial" w:cs="Arial"/>
          <w:b/>
          <w:bCs/>
          <w:sz w:val="22"/>
          <w:szCs w:val="22"/>
        </w:rPr>
      </w:pPr>
      <w:bookmarkStart w:id="2" w:name="_PASIŪLYMO_FORMA"/>
      <w:bookmarkEnd w:id="2"/>
    </w:p>
    <w:p w14:paraId="25BC0622" w14:textId="77777777" w:rsidR="0082263E" w:rsidRDefault="0082263E" w:rsidP="0082263E">
      <w:pPr>
        <w:pStyle w:val="Pagrindinistekstas"/>
        <w:ind w:firstLine="0"/>
        <w:jc w:val="center"/>
        <w:rPr>
          <w:rFonts w:ascii="Arial" w:hAnsi="Arial" w:cs="Arial"/>
          <w:b/>
          <w:bCs/>
          <w:sz w:val="22"/>
          <w:szCs w:val="22"/>
        </w:rPr>
      </w:pPr>
      <w:r w:rsidRPr="0047671B">
        <w:rPr>
          <w:rFonts w:ascii="Arial" w:hAnsi="Arial" w:cs="Arial"/>
          <w:b/>
          <w:bCs/>
          <w:sz w:val="22"/>
          <w:szCs w:val="22"/>
          <w:shd w:val="clear" w:color="auto" w:fill="FEFBFA"/>
        </w:rPr>
        <w:t>RAJONINIO KELIO 3710 SKUODAS–MOSĖDIS–ŠAUKLIAI RUOŽO NUO 0,000 IKI 6,342 KM KAPITALINIS REMONTAS</w:t>
      </w:r>
    </w:p>
    <w:p w14:paraId="6F8839A5" w14:textId="0E109032"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6B79BD2C"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w:t>
            </w:r>
            <w:r w:rsidR="00364C18">
              <w:rPr>
                <w:rFonts w:ascii="Arial" w:hAnsi="Arial" w:cs="Arial"/>
                <w:b/>
                <w:sz w:val="22"/>
                <w:szCs w:val="22"/>
              </w:rPr>
              <w:t>a</w:t>
            </w:r>
            <w:r w:rsidRPr="00E81238">
              <w:rPr>
                <w:rFonts w:ascii="Arial" w:hAnsi="Arial" w:cs="Arial"/>
                <w:b/>
                <w:sz w:val="22"/>
                <w:szCs w:val="22"/>
              </w:rPr>
              <w:t xml:space="preserve"> </w:t>
            </w:r>
            <w:r w:rsidR="00364C18">
              <w:rPr>
                <w:rFonts w:ascii="Arial" w:hAnsi="Arial" w:cs="Arial"/>
                <w:b/>
                <w:sz w:val="22"/>
                <w:szCs w:val="22"/>
              </w:rPr>
              <w:t>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553CC847" w14:textId="77777777"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 xml:space="preserve">1 </w:t>
            </w:r>
          </w:p>
          <w:p w14:paraId="6CE13D07" w14:textId="77777777" w:rsidR="00364C18" w:rsidRDefault="00364C18" w:rsidP="005A4B9B">
            <w:pPr>
              <w:suppressAutoHyphens/>
              <w:rPr>
                <w:rFonts w:ascii="Arial" w:hAnsi="Arial" w:cs="Arial"/>
                <w:color w:val="FF0000"/>
                <w:sz w:val="22"/>
                <w:szCs w:val="22"/>
              </w:rPr>
            </w:pPr>
          </w:p>
          <w:p w14:paraId="7759BE74" w14:textId="24BC9021" w:rsidR="00364C18" w:rsidRPr="00364C18" w:rsidRDefault="00364C18" w:rsidP="005A4B9B">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xml:space="preserve">, kuris turi būti </w:t>
            </w:r>
            <w:r w:rsidR="00AA325E">
              <w:rPr>
                <w:rFonts w:ascii="Arial" w:hAnsi="Arial" w:cs="Arial"/>
                <w:i/>
                <w:iCs/>
                <w:sz w:val="22"/>
                <w:szCs w:val="22"/>
              </w:rPr>
              <w:t>atskirai nurodytas</w:t>
            </w:r>
            <w:r>
              <w:rPr>
                <w:rFonts w:ascii="Arial" w:hAnsi="Arial" w:cs="Arial"/>
                <w:i/>
                <w:iCs/>
                <w:sz w:val="22"/>
                <w:szCs w:val="22"/>
              </w:rPr>
              <w:t xml:space="preserve"> žemiau</w:t>
            </w:r>
            <w:r w:rsidRPr="00364C18">
              <w:rPr>
                <w:rFonts w:ascii="Arial" w:hAnsi="Arial" w:cs="Arial"/>
                <w:i/>
                <w:iCs/>
                <w:sz w:val="22"/>
                <w:szCs w:val="22"/>
              </w:rPr>
              <w:t>)</w:t>
            </w:r>
          </w:p>
          <w:p w14:paraId="39CD0038" w14:textId="17DC3E96" w:rsidR="00364C18" w:rsidRPr="007C5DE9" w:rsidRDefault="00364C18" w:rsidP="005A4B9B">
            <w:pPr>
              <w:suppressAutoHyphens/>
              <w:rPr>
                <w:rFonts w:ascii="Arial" w:hAnsi="Arial" w:cs="Arial"/>
                <w:b/>
                <w:bCs/>
                <w:sz w:val="22"/>
                <w:szCs w:val="22"/>
              </w:rPr>
            </w:pPr>
          </w:p>
        </w:tc>
        <w:tc>
          <w:tcPr>
            <w:tcW w:w="4252" w:type="dxa"/>
          </w:tcPr>
          <w:p w14:paraId="1DB8B904" w14:textId="77777777" w:rsidR="00364C18" w:rsidRDefault="00364C18" w:rsidP="005A4B9B">
            <w:pPr>
              <w:suppressAutoHyphens/>
              <w:rPr>
                <w:rFonts w:ascii="Arial" w:hAnsi="Arial" w:cs="Arial"/>
                <w:b/>
                <w:bCs/>
                <w:sz w:val="22"/>
                <w:szCs w:val="22"/>
              </w:rPr>
            </w:pPr>
          </w:p>
          <w:p w14:paraId="70A4238B" w14:textId="385B32CD" w:rsidR="0007396F" w:rsidRDefault="007C5DE9" w:rsidP="005A4B9B">
            <w:pPr>
              <w:suppressAutoHyphens/>
              <w:rPr>
                <w:rFonts w:ascii="Arial" w:hAnsi="Arial" w:cs="Arial"/>
                <w:b/>
                <w:bCs/>
                <w:sz w:val="22"/>
                <w:szCs w:val="22"/>
              </w:rPr>
            </w:pPr>
            <w:r w:rsidRPr="00AA325E">
              <w:rPr>
                <w:rFonts w:ascii="Arial" w:hAnsi="Arial" w:cs="Arial"/>
                <w:b/>
                <w:bCs/>
                <w:color w:val="FF0000"/>
                <w:sz w:val="22"/>
                <w:szCs w:val="22"/>
                <w:highlight w:val="lightGray"/>
              </w:rPr>
              <w:t>[įrašyti</w:t>
            </w:r>
            <w:r w:rsidR="00851EC7" w:rsidRPr="00AA325E">
              <w:rPr>
                <w:rFonts w:ascii="Arial" w:hAnsi="Arial" w:cs="Arial"/>
                <w:b/>
                <w:bCs/>
                <w:color w:val="FF0000"/>
                <w:sz w:val="22"/>
                <w:szCs w:val="22"/>
                <w:highlight w:val="lightGray"/>
              </w:rPr>
              <w:t xml:space="preserve"> sveiku skaičiumi</w:t>
            </w:r>
            <w:r w:rsidRPr="00AA325E">
              <w:rPr>
                <w:rFonts w:ascii="Arial" w:hAnsi="Arial" w:cs="Arial"/>
                <w:b/>
                <w:bCs/>
                <w:color w:val="FF0000"/>
                <w:sz w:val="22"/>
                <w:szCs w:val="22"/>
                <w:highlight w:val="lightGray"/>
              </w:rPr>
              <w:t>]</w:t>
            </w:r>
            <w:r w:rsidRPr="00AA325E">
              <w:rPr>
                <w:rFonts w:ascii="Arial" w:hAnsi="Arial" w:cs="Arial"/>
                <w:b/>
                <w:bCs/>
                <w:color w:val="FF0000"/>
                <w:sz w:val="22"/>
                <w:szCs w:val="22"/>
              </w:rPr>
              <w:t xml:space="preserve"> </w:t>
            </w:r>
            <w:r w:rsidRPr="007C5DE9">
              <w:rPr>
                <w:rFonts w:ascii="Arial" w:hAnsi="Arial" w:cs="Arial"/>
                <w:b/>
                <w:bCs/>
                <w:sz w:val="22"/>
                <w:szCs w:val="22"/>
              </w:rPr>
              <w:t>mėn.</w:t>
            </w:r>
          </w:p>
          <w:p w14:paraId="088E38CB" w14:textId="1EE8AAE0"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13≤ T</w:t>
            </w:r>
            <w:r w:rsidRPr="007C5DE9">
              <w:rPr>
                <w:rFonts w:ascii="Arial" w:hAnsi="Arial" w:cs="Arial"/>
                <w:b/>
                <w:bCs/>
                <w:sz w:val="22"/>
                <w:szCs w:val="22"/>
                <w:vertAlign w:val="subscript"/>
              </w:rPr>
              <w:t xml:space="preserve">1 </w:t>
            </w:r>
            <w:r w:rsidRPr="007C5DE9">
              <w:rPr>
                <w:rFonts w:ascii="Arial" w:hAnsi="Arial" w:cs="Arial"/>
                <w:b/>
                <w:bCs/>
                <w:sz w:val="22"/>
                <w:szCs w:val="22"/>
              </w:rPr>
              <w:t>≤ 15 mėn.</w:t>
            </w:r>
          </w:p>
        </w:tc>
      </w:tr>
    </w:tbl>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AA325E">
        <w:rPr>
          <w:rFonts w:ascii="Arial" w:hAnsi="Arial" w:cs="Arial"/>
          <w:color w:val="FF0000"/>
          <w:sz w:val="22"/>
          <w:szCs w:val="22"/>
          <w:highlight w:val="lightGray"/>
        </w:rPr>
        <w:t>[</w:t>
      </w:r>
      <w:r w:rsidR="00C750F4" w:rsidRPr="00AA325E">
        <w:rPr>
          <w:rFonts w:ascii="Arial" w:hAnsi="Arial" w:cs="Arial"/>
          <w:b/>
          <w:bCs/>
          <w:i/>
          <w:iCs/>
          <w:color w:val="FF0000"/>
          <w:sz w:val="22"/>
          <w:szCs w:val="22"/>
          <w:highlight w:val="lightGray"/>
        </w:rPr>
        <w:t>įrašyti</w:t>
      </w:r>
      <w:r w:rsidR="00851EC7" w:rsidRPr="00AA325E">
        <w:rPr>
          <w:rFonts w:ascii="Arial" w:hAnsi="Arial" w:cs="Arial"/>
          <w:color w:val="FF0000"/>
          <w:sz w:val="22"/>
          <w:szCs w:val="22"/>
          <w:highlight w:val="lightGray"/>
        </w:rPr>
        <w:t xml:space="preserve"> </w:t>
      </w:r>
      <w:r w:rsidR="00851EC7" w:rsidRPr="00AA325E">
        <w:rPr>
          <w:rFonts w:ascii="Arial" w:hAnsi="Arial" w:cs="Arial"/>
          <w:b/>
          <w:bCs/>
          <w:i/>
          <w:iCs/>
          <w:color w:val="FF0000"/>
          <w:sz w:val="22"/>
          <w:szCs w:val="22"/>
          <w:highlight w:val="lightGray"/>
        </w:rPr>
        <w:t>sveiku skaičiumi</w:t>
      </w:r>
      <w:r w:rsidR="00851EC7" w:rsidRPr="00AA325E">
        <w:rPr>
          <w:rFonts w:ascii="Arial" w:hAnsi="Arial" w:cs="Arial"/>
          <w:color w:val="FF0000"/>
          <w:sz w:val="22"/>
          <w:szCs w:val="22"/>
          <w:highlight w:val="lightGray"/>
        </w:rPr>
        <w:t>]</w:t>
      </w:r>
      <w:r w:rsidR="00851EC7" w:rsidRPr="00AA325E">
        <w:rPr>
          <w:rFonts w:ascii="Arial" w:hAnsi="Arial" w:cs="Arial"/>
          <w:color w:val="FF0000"/>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2BE05B71"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sidR="00364C18">
        <w:rPr>
          <w:rFonts w:ascii="Arial" w:hAnsi="Arial" w:cs="Arial"/>
          <w:sz w:val="22"/>
          <w:szCs w:val="22"/>
        </w:rPr>
        <w:t>.</w:t>
      </w:r>
      <w:r w:rsidR="00851EC7" w:rsidRPr="00364C18">
        <w:rPr>
          <w:rFonts w:ascii="Arial" w:hAnsi="Arial" w:cs="Arial"/>
          <w:sz w:val="22"/>
          <w:szCs w:val="22"/>
        </w:rPr>
        <w:t xml:space="preserve"> </w:t>
      </w:r>
      <w:r w:rsidR="00851EC7">
        <w:rPr>
          <w:rFonts w:ascii="Arial" w:hAnsi="Arial" w:cs="Arial"/>
          <w:sz w:val="22"/>
          <w:szCs w:val="22"/>
        </w:rPr>
        <w:t>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37B1929D" w14:textId="758D6AA3"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6B2C0AFD" w:rsidR="00CB2E2F" w:rsidRPr="00567FF9" w:rsidRDefault="00CB2E2F" w:rsidP="005A16D1">
            <w:pPr>
              <w:suppressAutoHyphens/>
              <w:jc w:val="left"/>
              <w:rPr>
                <w:rFonts w:ascii="Arial" w:hAnsi="Arial" w:cs="Arial"/>
                <w:i/>
                <w:sz w:val="20"/>
              </w:rPr>
            </w:pPr>
            <w:r w:rsidRPr="00567FF9">
              <w:rPr>
                <w:rFonts w:ascii="Arial" w:hAnsi="Arial" w:cs="Arial"/>
                <w:i/>
                <w:sz w:val="20"/>
              </w:rPr>
              <w:t>Kapitalinio remonto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lastRenderedPageBreak/>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 xml:space="preserve">Nurodytos konfidencialios informacijos pagrindimas (paaiškinimas, kuo </w:t>
            </w:r>
            <w:r w:rsidRPr="00E81238">
              <w:rPr>
                <w:rFonts w:ascii="Arial" w:hAnsi="Arial" w:cs="Arial"/>
                <w:b/>
                <w:bCs/>
                <w:color w:val="000000" w:themeColor="text1"/>
                <w:sz w:val="22"/>
                <w:szCs w:val="22"/>
              </w:rPr>
              <w:lastRenderedPageBreak/>
              <w:t>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8B80" w14:textId="77777777" w:rsidR="00C93EEB" w:rsidRDefault="00C93EEB" w:rsidP="00BE5C44">
      <w:r>
        <w:separator/>
      </w:r>
    </w:p>
  </w:endnote>
  <w:endnote w:type="continuationSeparator" w:id="0">
    <w:p w14:paraId="31E3087A" w14:textId="77777777" w:rsidR="00C93EEB" w:rsidRDefault="00C93EEB"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96E2" w14:textId="77777777" w:rsidR="00C93EEB" w:rsidRDefault="00C93EEB" w:rsidP="00BE5C44">
      <w:r>
        <w:separator/>
      </w:r>
    </w:p>
  </w:footnote>
  <w:footnote w:type="continuationSeparator" w:id="0">
    <w:p w14:paraId="1E9C1B5D" w14:textId="77777777" w:rsidR="00C93EEB" w:rsidRDefault="00C93EEB"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6955303">
    <w:abstractNumId w:val="1"/>
  </w:num>
  <w:num w:numId="2" w16cid:durableId="168397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7396F"/>
    <w:rsid w:val="00087298"/>
    <w:rsid w:val="002168AC"/>
    <w:rsid w:val="00224B1B"/>
    <w:rsid w:val="00236F76"/>
    <w:rsid w:val="00256FAB"/>
    <w:rsid w:val="0026016C"/>
    <w:rsid w:val="0035456E"/>
    <w:rsid w:val="00364C18"/>
    <w:rsid w:val="0037245B"/>
    <w:rsid w:val="003D7E39"/>
    <w:rsid w:val="004C3CFA"/>
    <w:rsid w:val="00513379"/>
    <w:rsid w:val="00542245"/>
    <w:rsid w:val="005774F4"/>
    <w:rsid w:val="005C24C4"/>
    <w:rsid w:val="005F69A3"/>
    <w:rsid w:val="00602F58"/>
    <w:rsid w:val="006C3D64"/>
    <w:rsid w:val="00716EAA"/>
    <w:rsid w:val="00722BBC"/>
    <w:rsid w:val="007C5DE9"/>
    <w:rsid w:val="0082040C"/>
    <w:rsid w:val="0082263E"/>
    <w:rsid w:val="00851EC7"/>
    <w:rsid w:val="008F6C09"/>
    <w:rsid w:val="00944EB0"/>
    <w:rsid w:val="009452C9"/>
    <w:rsid w:val="009B79BC"/>
    <w:rsid w:val="009D652B"/>
    <w:rsid w:val="00A32F95"/>
    <w:rsid w:val="00A41EEB"/>
    <w:rsid w:val="00A93236"/>
    <w:rsid w:val="00AA325E"/>
    <w:rsid w:val="00AE1F31"/>
    <w:rsid w:val="00B04C4C"/>
    <w:rsid w:val="00B27717"/>
    <w:rsid w:val="00BB353A"/>
    <w:rsid w:val="00BE5C44"/>
    <w:rsid w:val="00C750F4"/>
    <w:rsid w:val="00C93EEB"/>
    <w:rsid w:val="00CB2E2F"/>
    <w:rsid w:val="00CD4291"/>
    <w:rsid w:val="00DF37EA"/>
    <w:rsid w:val="00E32C29"/>
    <w:rsid w:val="00E45B21"/>
    <w:rsid w:val="00E81238"/>
    <w:rsid w:val="00E9523C"/>
    <w:rsid w:val="00EC3653"/>
    <w:rsid w:val="00EF6950"/>
    <w:rsid w:val="00F056B0"/>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87298"/>
    <w:rsid w:val="00127D28"/>
    <w:rsid w:val="00224B1B"/>
    <w:rsid w:val="00255B25"/>
    <w:rsid w:val="00390EAC"/>
    <w:rsid w:val="00403E4F"/>
    <w:rsid w:val="00513379"/>
    <w:rsid w:val="00553542"/>
    <w:rsid w:val="00602F58"/>
    <w:rsid w:val="006C3D64"/>
    <w:rsid w:val="00716EAA"/>
    <w:rsid w:val="00763EF9"/>
    <w:rsid w:val="0082040C"/>
    <w:rsid w:val="00856AA2"/>
    <w:rsid w:val="009D652B"/>
    <w:rsid w:val="00B04C4C"/>
    <w:rsid w:val="00B250E0"/>
    <w:rsid w:val="00B27717"/>
    <w:rsid w:val="00B90667"/>
    <w:rsid w:val="00C34E22"/>
    <w:rsid w:val="00CD1F3E"/>
    <w:rsid w:val="00E32C29"/>
    <w:rsid w:val="00F05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4496</Words>
  <Characters>2563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2</cp:revision>
  <dcterms:created xsi:type="dcterms:W3CDTF">2025-04-23T11:34:00Z</dcterms:created>
  <dcterms:modified xsi:type="dcterms:W3CDTF">2025-04-23T11:34:00Z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