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148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4678"/>
        <w:gridCol w:w="992"/>
        <w:gridCol w:w="1560"/>
        <w:gridCol w:w="1275"/>
        <w:gridCol w:w="1560"/>
        <w:gridCol w:w="2550"/>
      </w:tblGrid>
      <w:tr w:rsidR="00D32C1B" w:rsidRPr="0023611C" w14:paraId="29A13977" w14:textId="4C1D5C48" w:rsidTr="000E3253">
        <w:trPr>
          <w:trHeight w:val="624"/>
        </w:trPr>
        <w:tc>
          <w:tcPr>
            <w:tcW w:w="709" w:type="dxa"/>
            <w:vAlign w:val="center"/>
          </w:tcPr>
          <w:p w14:paraId="24E570B4" w14:textId="77777777" w:rsidR="00D32C1B" w:rsidRPr="00C9585E" w:rsidRDefault="00D32C1B" w:rsidP="00D32C1B">
            <w:pPr>
              <w:jc w:val="center"/>
              <w:rPr>
                <w:color w:val="000000" w:themeColor="text1"/>
              </w:rPr>
            </w:pPr>
            <w:r w:rsidRPr="00C9585E">
              <w:rPr>
                <w:color w:val="000000" w:themeColor="text1"/>
              </w:rPr>
              <w:t>Eil. Nr.</w:t>
            </w:r>
          </w:p>
        </w:tc>
        <w:tc>
          <w:tcPr>
            <w:tcW w:w="1559" w:type="dxa"/>
            <w:vAlign w:val="center"/>
          </w:tcPr>
          <w:p w14:paraId="11215CA5" w14:textId="77777777" w:rsidR="00D32C1B" w:rsidRPr="00C9585E" w:rsidRDefault="00D32C1B" w:rsidP="00D32C1B">
            <w:pPr>
              <w:jc w:val="center"/>
              <w:rPr>
                <w:color w:val="000000" w:themeColor="text1"/>
              </w:rPr>
            </w:pPr>
            <w:r w:rsidRPr="00C9585E">
              <w:rPr>
                <w:color w:val="000000" w:themeColor="text1"/>
              </w:rPr>
              <w:t>Gaminio pavadinimas</w:t>
            </w:r>
          </w:p>
        </w:tc>
        <w:tc>
          <w:tcPr>
            <w:tcW w:w="4678" w:type="dxa"/>
            <w:vAlign w:val="center"/>
          </w:tcPr>
          <w:p w14:paraId="47EBE2B5" w14:textId="77777777" w:rsidR="00D32C1B" w:rsidRPr="00C9585E" w:rsidRDefault="00D32C1B" w:rsidP="00D32C1B">
            <w:pPr>
              <w:jc w:val="center"/>
              <w:rPr>
                <w:color w:val="000000" w:themeColor="text1"/>
              </w:rPr>
            </w:pPr>
            <w:r w:rsidRPr="00C9585E">
              <w:rPr>
                <w:color w:val="000000" w:themeColor="text1"/>
              </w:rPr>
              <w:t>Reikalavimai</w:t>
            </w:r>
          </w:p>
        </w:tc>
        <w:tc>
          <w:tcPr>
            <w:tcW w:w="992" w:type="dxa"/>
            <w:vAlign w:val="center"/>
          </w:tcPr>
          <w:p w14:paraId="3F651F82" w14:textId="77777777" w:rsidR="00D32C1B" w:rsidRPr="00C9585E" w:rsidRDefault="00D32C1B" w:rsidP="00D32C1B">
            <w:pPr>
              <w:jc w:val="center"/>
              <w:rPr>
                <w:color w:val="000000" w:themeColor="text1"/>
              </w:rPr>
            </w:pPr>
            <w:r w:rsidRPr="00C9585E">
              <w:rPr>
                <w:color w:val="000000" w:themeColor="text1"/>
              </w:rPr>
              <w:t>Mato vnt.</w:t>
            </w:r>
          </w:p>
        </w:tc>
        <w:tc>
          <w:tcPr>
            <w:tcW w:w="1560" w:type="dxa"/>
            <w:vAlign w:val="center"/>
          </w:tcPr>
          <w:p w14:paraId="1B5B3E80" w14:textId="035A999C" w:rsidR="00D32C1B" w:rsidRPr="00C9585E" w:rsidRDefault="00D32C1B" w:rsidP="00D32C1B">
            <w:pPr>
              <w:jc w:val="center"/>
              <w:rPr>
                <w:color w:val="000000" w:themeColor="text1"/>
              </w:rPr>
            </w:pPr>
            <w:r w:rsidRPr="00C9585E">
              <w:t>Preliminarus kiekis</w:t>
            </w:r>
          </w:p>
        </w:tc>
        <w:tc>
          <w:tcPr>
            <w:tcW w:w="1275" w:type="dxa"/>
            <w:vAlign w:val="center"/>
          </w:tcPr>
          <w:p w14:paraId="45C3B762" w14:textId="77777777" w:rsidR="00D32C1B" w:rsidRPr="00C9585E" w:rsidRDefault="00D32C1B" w:rsidP="00D32C1B">
            <w:pPr>
              <w:jc w:val="center"/>
            </w:pPr>
            <w:r w:rsidRPr="00C9585E">
              <w:t>Siūloma pakuotė</w:t>
            </w:r>
          </w:p>
          <w:p w14:paraId="005F0FE9" w14:textId="77777777" w:rsidR="00D32C1B" w:rsidRPr="00C9585E" w:rsidRDefault="00D32C1B" w:rsidP="00D32C1B">
            <w:pPr>
              <w:jc w:val="center"/>
              <w:rPr>
                <w:i/>
                <w:iCs/>
              </w:rPr>
            </w:pPr>
            <w:r w:rsidRPr="00C9585E">
              <w:rPr>
                <w:i/>
                <w:iCs/>
                <w:color w:val="FF0000"/>
              </w:rPr>
              <w:t>(užpildo tiekėjas)</w:t>
            </w:r>
          </w:p>
          <w:p w14:paraId="6D69BB70" w14:textId="3FCC4AB8" w:rsidR="00D32C1B" w:rsidRPr="00C9585E" w:rsidRDefault="00D32C1B" w:rsidP="00D32C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59F200EF" w14:textId="77777777" w:rsidR="00D32C1B" w:rsidRPr="00C9585E" w:rsidRDefault="00D32C1B" w:rsidP="00D32C1B">
            <w:pPr>
              <w:jc w:val="center"/>
            </w:pPr>
            <w:r w:rsidRPr="00C9585E">
              <w:t>Siūlomos prekės pavadinimas, kilmės šalis, gamintojas</w:t>
            </w:r>
          </w:p>
          <w:p w14:paraId="3C029F76" w14:textId="341ABFDF" w:rsidR="00D32C1B" w:rsidRPr="00C9585E" w:rsidRDefault="00D32C1B" w:rsidP="00D32C1B">
            <w:pPr>
              <w:jc w:val="center"/>
              <w:rPr>
                <w:color w:val="000000" w:themeColor="text1"/>
              </w:rPr>
            </w:pPr>
            <w:r w:rsidRPr="00C9585E">
              <w:rPr>
                <w:i/>
                <w:iCs/>
                <w:color w:val="FF0000"/>
              </w:rPr>
              <w:t>(užpildo tiekėjas)</w:t>
            </w:r>
          </w:p>
        </w:tc>
        <w:tc>
          <w:tcPr>
            <w:tcW w:w="2550" w:type="dxa"/>
            <w:vAlign w:val="center"/>
          </w:tcPr>
          <w:p w14:paraId="1D6A0C07" w14:textId="013F9739" w:rsidR="00D32C1B" w:rsidRPr="00C9585E" w:rsidRDefault="00D32C1B" w:rsidP="00D32C1B">
            <w:pPr>
              <w:jc w:val="center"/>
              <w:rPr>
                <w:color w:val="000000" w:themeColor="text1"/>
              </w:rPr>
            </w:pPr>
            <w:r w:rsidRPr="00C9585E">
              <w:rPr>
                <w:color w:val="000000"/>
              </w:rPr>
              <w:t xml:space="preserve">Siūlomos prekės charakteristikos ir nuoroda į pateiktus siūlomos prekės techninių charakteristikų aprašymus (originalius prekių katalogus, ar jų dalis, ar kitus lygiaverčius dokumentus, kuriose aprašomos siūlomos prekės), nurodant aprašymo ir/ar katalogo pavadinimą, numerį, puslapį, kuriame aprašomas prekės atitikimas keliamiems reikalavimams </w:t>
            </w:r>
            <w:r w:rsidRPr="00C9585E">
              <w:rPr>
                <w:i/>
                <w:iCs/>
                <w:color w:val="FF0000"/>
              </w:rPr>
              <w:t>(užpildo tiekėjas)</w:t>
            </w:r>
          </w:p>
        </w:tc>
      </w:tr>
      <w:tr w:rsidR="00D32C1B" w:rsidRPr="0023611C" w14:paraId="010317A7" w14:textId="3A1F28D6" w:rsidTr="008244D6">
        <w:trPr>
          <w:trHeight w:val="487"/>
        </w:trPr>
        <w:tc>
          <w:tcPr>
            <w:tcW w:w="14883" w:type="dxa"/>
            <w:gridSpan w:val="8"/>
            <w:vAlign w:val="center"/>
          </w:tcPr>
          <w:p w14:paraId="586E6053" w14:textId="1C792CF1" w:rsidR="00D32C1B" w:rsidRPr="00C9585E" w:rsidRDefault="00D32C1B" w:rsidP="001C2996">
            <w:pPr>
              <w:jc w:val="center"/>
              <w:rPr>
                <w:b/>
                <w:bCs/>
                <w:color w:val="000000" w:themeColor="text1"/>
              </w:rPr>
            </w:pPr>
            <w:r w:rsidRPr="00C9585E">
              <w:rPr>
                <w:b/>
                <w:bCs/>
                <w:color w:val="000000" w:themeColor="text1"/>
              </w:rPr>
              <w:t>I DALIS. PRIEMONĖS SKIRTOS RANKINEI AUKŠTO LYGIO DEZINFEKCIJAI</w:t>
            </w:r>
          </w:p>
        </w:tc>
      </w:tr>
      <w:tr w:rsidR="00A364FD" w:rsidRPr="0023611C" w14:paraId="69CD08B8" w14:textId="4AD46166" w:rsidTr="000E3253">
        <w:tc>
          <w:tcPr>
            <w:tcW w:w="709" w:type="dxa"/>
            <w:shd w:val="clear" w:color="auto" w:fill="FFFFFF" w:themeFill="background1"/>
          </w:tcPr>
          <w:p w14:paraId="6EAF10DF" w14:textId="77777777" w:rsidR="00A364FD" w:rsidRPr="00C9585E" w:rsidRDefault="00A364FD" w:rsidP="00A364FD">
            <w:pPr>
              <w:rPr>
                <w:color w:val="000000" w:themeColor="text1"/>
              </w:rPr>
            </w:pPr>
            <w:r w:rsidRPr="00C9585E">
              <w:rPr>
                <w:color w:val="000000" w:themeColor="text1"/>
              </w:rPr>
              <w:t>1.1</w:t>
            </w:r>
          </w:p>
        </w:tc>
        <w:tc>
          <w:tcPr>
            <w:tcW w:w="1559" w:type="dxa"/>
          </w:tcPr>
          <w:p w14:paraId="4D27257C" w14:textId="77777777" w:rsidR="00A364FD" w:rsidRPr="00C9585E" w:rsidRDefault="00A364FD" w:rsidP="00A364FD">
            <w:pPr>
              <w:rPr>
                <w:color w:val="000000" w:themeColor="text1"/>
              </w:rPr>
            </w:pPr>
            <w:r w:rsidRPr="00C9585E">
              <w:rPr>
                <w:color w:val="000000" w:themeColor="text1"/>
              </w:rPr>
              <w:t xml:space="preserve">Lanksčių  endoskopų ploviklis </w:t>
            </w:r>
            <w:r w:rsidRPr="00C9585E">
              <w:rPr>
                <w:bCs/>
                <w:color w:val="000000" w:themeColor="text1"/>
                <w:kern w:val="0"/>
              </w:rPr>
              <w:t>prieš aukšto lygio dezinfekciją</w:t>
            </w:r>
          </w:p>
          <w:p w14:paraId="71D5EFC5" w14:textId="77777777" w:rsidR="00A364FD" w:rsidRPr="00C9585E" w:rsidRDefault="00A364FD" w:rsidP="00A364FD">
            <w:pPr>
              <w:keepNext/>
              <w:outlineLvl w:val="1"/>
              <w:rPr>
                <w:color w:val="000000" w:themeColor="text1"/>
                <w:kern w:val="0"/>
              </w:rPr>
            </w:pPr>
          </w:p>
          <w:p w14:paraId="375C3DB8" w14:textId="77777777" w:rsidR="00A364FD" w:rsidRPr="00C9585E" w:rsidRDefault="00A364FD" w:rsidP="00A364FD">
            <w:pPr>
              <w:keepNext/>
              <w:outlineLvl w:val="1"/>
              <w:rPr>
                <w:color w:val="000000" w:themeColor="text1"/>
              </w:rPr>
            </w:pPr>
          </w:p>
        </w:tc>
        <w:tc>
          <w:tcPr>
            <w:tcW w:w="4678" w:type="dxa"/>
          </w:tcPr>
          <w:p w14:paraId="68B89E13" w14:textId="77777777" w:rsidR="00A364FD" w:rsidRPr="00C9585E" w:rsidRDefault="00A364FD" w:rsidP="00A364FD">
            <w:pPr>
              <w:pStyle w:val="Sraopastraipa"/>
              <w:numPr>
                <w:ilvl w:val="0"/>
                <w:numId w:val="2"/>
              </w:numPr>
              <w:tabs>
                <w:tab w:val="clear" w:pos="720"/>
                <w:tab w:val="left" w:pos="316"/>
              </w:tabs>
              <w:ind w:left="0" w:firstLine="0"/>
              <w:jc w:val="both"/>
              <w:rPr>
                <w:color w:val="000000" w:themeColor="text1"/>
                <w:kern w:val="0"/>
              </w:rPr>
            </w:pPr>
            <w:r w:rsidRPr="00C9585E">
              <w:rPr>
                <w:color w:val="000000" w:themeColor="text1"/>
                <w:kern w:val="0"/>
              </w:rPr>
              <w:t xml:space="preserve">Enzimų ir riebiųjų alkoholių </w:t>
            </w:r>
            <w:proofErr w:type="spellStart"/>
            <w:r w:rsidRPr="00C9585E">
              <w:rPr>
                <w:color w:val="000000" w:themeColor="text1"/>
                <w:kern w:val="0"/>
              </w:rPr>
              <w:t>etoksilatų</w:t>
            </w:r>
            <w:proofErr w:type="spellEnd"/>
            <w:r w:rsidRPr="00C9585E">
              <w:rPr>
                <w:color w:val="000000" w:themeColor="text1"/>
                <w:kern w:val="0"/>
              </w:rPr>
              <w:t xml:space="preserve"> pagrindu;</w:t>
            </w:r>
          </w:p>
          <w:p w14:paraId="0D951DC4" w14:textId="77777777" w:rsidR="00A364FD" w:rsidRPr="00C9585E" w:rsidRDefault="00A364FD" w:rsidP="00A364FD">
            <w:pPr>
              <w:numPr>
                <w:ilvl w:val="0"/>
                <w:numId w:val="2"/>
              </w:numPr>
              <w:tabs>
                <w:tab w:val="clear" w:pos="720"/>
                <w:tab w:val="left" w:pos="315"/>
              </w:tabs>
              <w:ind w:left="0" w:firstLine="0"/>
              <w:jc w:val="both"/>
              <w:rPr>
                <w:color w:val="000000" w:themeColor="text1"/>
                <w:kern w:val="0"/>
              </w:rPr>
            </w:pPr>
            <w:r w:rsidRPr="00C9585E">
              <w:rPr>
                <w:color w:val="000000" w:themeColor="text1"/>
                <w:kern w:val="0"/>
              </w:rPr>
              <w:t>Mažos koncentracijos (0,5 – 2,0 %) ekspozicijos laikas (5 – 15 min.);</w:t>
            </w:r>
          </w:p>
          <w:p w14:paraId="2CA39A08" w14:textId="77777777" w:rsidR="00A364FD" w:rsidRPr="00C9585E" w:rsidRDefault="00A364FD" w:rsidP="00A364FD">
            <w:pPr>
              <w:numPr>
                <w:ilvl w:val="0"/>
                <w:numId w:val="2"/>
              </w:numPr>
              <w:tabs>
                <w:tab w:val="clear" w:pos="720"/>
                <w:tab w:val="num" w:pos="282"/>
              </w:tabs>
              <w:ind w:hanging="722"/>
              <w:jc w:val="both"/>
              <w:rPr>
                <w:color w:val="000000" w:themeColor="text1"/>
                <w:kern w:val="0"/>
              </w:rPr>
            </w:pPr>
            <w:r w:rsidRPr="00C9585E">
              <w:rPr>
                <w:color w:val="000000" w:themeColor="text1"/>
                <w:kern w:val="0"/>
              </w:rPr>
              <w:t>Visiškai neputojantis;</w:t>
            </w:r>
          </w:p>
          <w:p w14:paraId="1B58F6BB" w14:textId="77777777" w:rsidR="00A364FD" w:rsidRPr="00C9585E" w:rsidRDefault="00A364FD" w:rsidP="00A364FD">
            <w:pPr>
              <w:numPr>
                <w:ilvl w:val="0"/>
                <w:numId w:val="2"/>
              </w:numPr>
              <w:tabs>
                <w:tab w:val="clear" w:pos="720"/>
                <w:tab w:val="left" w:pos="315"/>
              </w:tabs>
              <w:ind w:left="0" w:firstLine="0"/>
              <w:jc w:val="both"/>
              <w:rPr>
                <w:color w:val="000000" w:themeColor="text1"/>
                <w:kern w:val="0"/>
              </w:rPr>
            </w:pPr>
            <w:r w:rsidRPr="00C9585E">
              <w:rPr>
                <w:color w:val="000000" w:themeColor="text1"/>
                <w:kern w:val="0"/>
              </w:rPr>
              <w:t xml:space="preserve">Suderinama su aukšto lygio </w:t>
            </w:r>
            <w:proofErr w:type="spellStart"/>
            <w:r w:rsidRPr="00C9585E">
              <w:rPr>
                <w:color w:val="000000" w:themeColor="text1"/>
                <w:kern w:val="0"/>
              </w:rPr>
              <w:t>dezinfekantu</w:t>
            </w:r>
            <w:proofErr w:type="spellEnd"/>
            <w:r w:rsidRPr="00C9585E">
              <w:rPr>
                <w:color w:val="000000" w:themeColor="text1"/>
                <w:kern w:val="0"/>
              </w:rPr>
              <w:t>;</w:t>
            </w:r>
          </w:p>
          <w:p w14:paraId="3EFE24E6" w14:textId="77777777" w:rsidR="00A364FD" w:rsidRPr="00C9585E" w:rsidRDefault="00A364FD" w:rsidP="00A364FD">
            <w:pPr>
              <w:numPr>
                <w:ilvl w:val="0"/>
                <w:numId w:val="2"/>
              </w:numPr>
              <w:tabs>
                <w:tab w:val="clear" w:pos="720"/>
                <w:tab w:val="left" w:pos="315"/>
              </w:tabs>
              <w:ind w:left="0" w:firstLine="0"/>
              <w:jc w:val="both"/>
              <w:rPr>
                <w:color w:val="000000" w:themeColor="text1"/>
                <w:kern w:val="0"/>
              </w:rPr>
            </w:pPr>
            <w:r w:rsidRPr="00C9585E">
              <w:rPr>
                <w:color w:val="000000" w:themeColor="text1"/>
                <w:kern w:val="0"/>
              </w:rPr>
              <w:t>Pozicijos 1.1 – 1.2 suderinamos;</w:t>
            </w:r>
          </w:p>
          <w:p w14:paraId="36DA518A" w14:textId="77777777" w:rsidR="00A364FD" w:rsidRPr="00C9585E" w:rsidRDefault="00A364FD" w:rsidP="00A364FD">
            <w:pPr>
              <w:numPr>
                <w:ilvl w:val="0"/>
                <w:numId w:val="2"/>
              </w:numPr>
              <w:tabs>
                <w:tab w:val="clear" w:pos="720"/>
                <w:tab w:val="left" w:pos="315"/>
              </w:tabs>
              <w:ind w:left="0" w:firstLine="0"/>
              <w:jc w:val="both"/>
              <w:rPr>
                <w:color w:val="000000" w:themeColor="text1"/>
                <w:kern w:val="0"/>
              </w:rPr>
            </w:pPr>
            <w:r w:rsidRPr="00C9585E">
              <w:rPr>
                <w:color w:val="000000" w:themeColor="text1"/>
                <w:kern w:val="0"/>
              </w:rPr>
              <w:t>Darbinio tirpalo pH neutralus;</w:t>
            </w:r>
          </w:p>
          <w:p w14:paraId="7076E7A2" w14:textId="77777777" w:rsidR="00A364FD" w:rsidRPr="00C9585E" w:rsidRDefault="00A364FD" w:rsidP="00A364FD">
            <w:pPr>
              <w:numPr>
                <w:ilvl w:val="0"/>
                <w:numId w:val="2"/>
              </w:numPr>
              <w:tabs>
                <w:tab w:val="clear" w:pos="720"/>
                <w:tab w:val="left" w:pos="315"/>
              </w:tabs>
              <w:ind w:left="0" w:firstLine="0"/>
              <w:jc w:val="both"/>
              <w:rPr>
                <w:color w:val="000000" w:themeColor="text1"/>
                <w:kern w:val="0"/>
              </w:rPr>
            </w:pPr>
            <w:r w:rsidRPr="00C9585E">
              <w:rPr>
                <w:color w:val="000000" w:themeColor="text1"/>
                <w:kern w:val="0"/>
              </w:rPr>
              <w:t>Sertifikuota pagal MDR 2017/745 EB.</w:t>
            </w:r>
          </w:p>
        </w:tc>
        <w:tc>
          <w:tcPr>
            <w:tcW w:w="992" w:type="dxa"/>
          </w:tcPr>
          <w:p w14:paraId="1CA11D27" w14:textId="77777777" w:rsidR="00A364FD" w:rsidRPr="00C9585E" w:rsidRDefault="00A364FD" w:rsidP="00A364FD">
            <w:pPr>
              <w:tabs>
                <w:tab w:val="left" w:pos="316"/>
              </w:tabs>
              <w:jc w:val="center"/>
              <w:rPr>
                <w:color w:val="000000" w:themeColor="text1"/>
                <w:kern w:val="0"/>
              </w:rPr>
            </w:pPr>
            <w:r w:rsidRPr="00C9585E">
              <w:rPr>
                <w:color w:val="000000" w:themeColor="text1"/>
              </w:rPr>
              <w:t>l</w:t>
            </w:r>
          </w:p>
        </w:tc>
        <w:tc>
          <w:tcPr>
            <w:tcW w:w="1560" w:type="dxa"/>
          </w:tcPr>
          <w:p w14:paraId="2D9C545C" w14:textId="050BBA65" w:rsidR="00A364FD" w:rsidRPr="00C9585E" w:rsidRDefault="00A364FD" w:rsidP="00A364FD">
            <w:pPr>
              <w:tabs>
                <w:tab w:val="left" w:pos="316"/>
              </w:tabs>
              <w:jc w:val="center"/>
              <w:rPr>
                <w:color w:val="000000" w:themeColor="text1"/>
              </w:rPr>
            </w:pPr>
            <w:r w:rsidRPr="00C9585E">
              <w:t>120</w:t>
            </w:r>
          </w:p>
        </w:tc>
        <w:tc>
          <w:tcPr>
            <w:tcW w:w="1275" w:type="dxa"/>
          </w:tcPr>
          <w:p w14:paraId="5E13862E" w14:textId="3D422543" w:rsidR="00A364FD" w:rsidRPr="00C9585E" w:rsidRDefault="00A364FD" w:rsidP="00A364FD">
            <w:pPr>
              <w:tabs>
                <w:tab w:val="left" w:pos="31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78CA1BC8" w14:textId="2EC1DBA1" w:rsidR="00A364FD" w:rsidRPr="00C9585E" w:rsidRDefault="00A364FD" w:rsidP="00A364FD">
            <w:pPr>
              <w:tabs>
                <w:tab w:val="left" w:pos="31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2550" w:type="dxa"/>
          </w:tcPr>
          <w:p w14:paraId="50A96883" w14:textId="77777777" w:rsidR="00A364FD" w:rsidRPr="00C9585E" w:rsidRDefault="00A364FD" w:rsidP="00A364FD">
            <w:pPr>
              <w:tabs>
                <w:tab w:val="left" w:pos="316"/>
              </w:tabs>
              <w:jc w:val="center"/>
              <w:rPr>
                <w:color w:val="000000" w:themeColor="text1"/>
              </w:rPr>
            </w:pPr>
          </w:p>
        </w:tc>
      </w:tr>
      <w:tr w:rsidR="00A364FD" w:rsidRPr="0023611C" w14:paraId="173B4E52" w14:textId="7D6E0A63" w:rsidTr="000E3253">
        <w:trPr>
          <w:trHeight w:val="1407"/>
        </w:trPr>
        <w:tc>
          <w:tcPr>
            <w:tcW w:w="709" w:type="dxa"/>
            <w:shd w:val="clear" w:color="auto" w:fill="FFFFFF" w:themeFill="background1"/>
          </w:tcPr>
          <w:p w14:paraId="79D46C22" w14:textId="77777777" w:rsidR="00A364FD" w:rsidRPr="00C9585E" w:rsidRDefault="00A364FD" w:rsidP="00A364FD">
            <w:pPr>
              <w:outlineLvl w:val="4"/>
              <w:rPr>
                <w:color w:val="000000" w:themeColor="text1"/>
                <w:kern w:val="0"/>
              </w:rPr>
            </w:pPr>
            <w:r w:rsidRPr="00C9585E">
              <w:rPr>
                <w:color w:val="000000" w:themeColor="text1"/>
                <w:kern w:val="0"/>
              </w:rPr>
              <w:lastRenderedPageBreak/>
              <w:t xml:space="preserve">1.2 </w:t>
            </w:r>
          </w:p>
        </w:tc>
        <w:tc>
          <w:tcPr>
            <w:tcW w:w="1559" w:type="dxa"/>
          </w:tcPr>
          <w:p w14:paraId="654546C4" w14:textId="77777777" w:rsidR="00A364FD" w:rsidRPr="00C9585E" w:rsidRDefault="00A364FD" w:rsidP="00A364FD">
            <w:pPr>
              <w:outlineLvl w:val="4"/>
              <w:rPr>
                <w:color w:val="000000" w:themeColor="text1"/>
                <w:kern w:val="0"/>
              </w:rPr>
            </w:pPr>
            <w:r w:rsidRPr="00C9585E">
              <w:rPr>
                <w:color w:val="000000" w:themeColor="text1"/>
                <w:kern w:val="0"/>
              </w:rPr>
              <w:t>Aukšto lygio dezinfekcijos priemonė lankstiesiems endoskopams</w:t>
            </w:r>
          </w:p>
          <w:p w14:paraId="2DB8B521" w14:textId="77777777" w:rsidR="00A364FD" w:rsidRPr="00C9585E" w:rsidRDefault="00A364FD" w:rsidP="00A364FD">
            <w:pPr>
              <w:outlineLvl w:val="4"/>
              <w:rPr>
                <w:color w:val="000000" w:themeColor="text1"/>
              </w:rPr>
            </w:pPr>
          </w:p>
        </w:tc>
        <w:tc>
          <w:tcPr>
            <w:tcW w:w="4678" w:type="dxa"/>
          </w:tcPr>
          <w:p w14:paraId="22098A5B" w14:textId="087511B0" w:rsidR="00A364FD" w:rsidRPr="00C9585E" w:rsidRDefault="00A364FD" w:rsidP="00A364FD">
            <w:pPr>
              <w:numPr>
                <w:ilvl w:val="0"/>
                <w:numId w:val="4"/>
              </w:numPr>
              <w:tabs>
                <w:tab w:val="clear" w:pos="720"/>
                <w:tab w:val="num" w:pos="282"/>
              </w:tabs>
              <w:ind w:left="0" w:firstLine="0"/>
              <w:jc w:val="both"/>
              <w:rPr>
                <w:kern w:val="0"/>
              </w:rPr>
            </w:pPr>
            <w:r w:rsidRPr="00C9585E">
              <w:rPr>
                <w:kern w:val="0"/>
              </w:rPr>
              <w:t xml:space="preserve">Veiklioji medžiaga – </w:t>
            </w:r>
            <w:proofErr w:type="spellStart"/>
            <w:r w:rsidRPr="00C9585E">
              <w:rPr>
                <w:kern w:val="0"/>
              </w:rPr>
              <w:t>peracto</w:t>
            </w:r>
            <w:proofErr w:type="spellEnd"/>
            <w:r w:rsidRPr="00C9585E">
              <w:rPr>
                <w:kern w:val="0"/>
              </w:rPr>
              <w:t xml:space="preserve"> rūgštis, pasigaminanti </w:t>
            </w:r>
            <w:proofErr w:type="spellStart"/>
            <w:r w:rsidRPr="00C9585E">
              <w:rPr>
                <w:kern w:val="0"/>
              </w:rPr>
              <w:t>ex</w:t>
            </w:r>
            <w:proofErr w:type="spellEnd"/>
            <w:r w:rsidRPr="00C9585E">
              <w:rPr>
                <w:kern w:val="0"/>
              </w:rPr>
              <w:t xml:space="preserve"> </w:t>
            </w:r>
            <w:proofErr w:type="spellStart"/>
            <w:r w:rsidRPr="00C9585E">
              <w:rPr>
                <w:kern w:val="0"/>
              </w:rPr>
              <w:t>tempore</w:t>
            </w:r>
            <w:proofErr w:type="spellEnd"/>
            <w:r w:rsidRPr="00C9585E">
              <w:rPr>
                <w:kern w:val="0"/>
              </w:rPr>
              <w:t xml:space="preserve"> sumaišius rūgšties generatorių su aktyvatoriumi, 900 – 1200 </w:t>
            </w:r>
            <w:proofErr w:type="spellStart"/>
            <w:r w:rsidRPr="00C9585E">
              <w:rPr>
                <w:kern w:val="0"/>
              </w:rPr>
              <w:t>ppm</w:t>
            </w:r>
            <w:proofErr w:type="spellEnd"/>
            <w:r w:rsidRPr="00C9585E">
              <w:rPr>
                <w:kern w:val="0"/>
              </w:rPr>
              <w:t>.;</w:t>
            </w:r>
          </w:p>
          <w:p w14:paraId="630D96F4" w14:textId="77CC0A45" w:rsidR="00A364FD" w:rsidRPr="00C9585E" w:rsidRDefault="00A364FD" w:rsidP="00A364FD">
            <w:pPr>
              <w:numPr>
                <w:ilvl w:val="0"/>
                <w:numId w:val="4"/>
              </w:numPr>
              <w:tabs>
                <w:tab w:val="clear" w:pos="720"/>
                <w:tab w:val="num" w:pos="282"/>
              </w:tabs>
              <w:ind w:left="0" w:firstLine="0"/>
              <w:jc w:val="both"/>
              <w:rPr>
                <w:kern w:val="0"/>
              </w:rPr>
            </w:pPr>
            <w:r w:rsidRPr="00C9585E">
              <w:t xml:space="preserve">Pasižyminti baktericidiniu </w:t>
            </w:r>
            <w:proofErr w:type="spellStart"/>
            <w:r w:rsidRPr="00C9585E">
              <w:t>sut</w:t>
            </w:r>
            <w:proofErr w:type="spellEnd"/>
            <w:r w:rsidRPr="00C9585E">
              <w:t xml:space="preserve">. su EN 14561 ir EN 13727, </w:t>
            </w:r>
            <w:proofErr w:type="spellStart"/>
            <w:r w:rsidRPr="00C9585E">
              <w:t>tuberkuliocidiniu</w:t>
            </w:r>
            <w:proofErr w:type="spellEnd"/>
            <w:r w:rsidRPr="00C9585E">
              <w:t xml:space="preserve">/ </w:t>
            </w:r>
            <w:proofErr w:type="spellStart"/>
            <w:r w:rsidRPr="00C9585E">
              <w:t>mikobaktericidiniu</w:t>
            </w:r>
            <w:proofErr w:type="spellEnd"/>
            <w:r w:rsidRPr="00C9585E">
              <w:t xml:space="preserve"> </w:t>
            </w:r>
            <w:proofErr w:type="spellStart"/>
            <w:r w:rsidRPr="00C9585E">
              <w:t>sut</w:t>
            </w:r>
            <w:proofErr w:type="spellEnd"/>
            <w:r w:rsidRPr="00C9585E">
              <w:t xml:space="preserve">. su EN 14563 ir EN 14348,  </w:t>
            </w:r>
            <w:proofErr w:type="spellStart"/>
            <w:r w:rsidRPr="00C9585E">
              <w:t>fungicidiniu</w:t>
            </w:r>
            <w:proofErr w:type="spellEnd"/>
            <w:r w:rsidRPr="00C9585E">
              <w:t xml:space="preserve"> ir </w:t>
            </w:r>
            <w:proofErr w:type="spellStart"/>
            <w:r w:rsidRPr="00C9585E">
              <w:t>mielocidiniu</w:t>
            </w:r>
            <w:proofErr w:type="spellEnd"/>
            <w:r w:rsidRPr="00C9585E">
              <w:t xml:space="preserve"> </w:t>
            </w:r>
            <w:proofErr w:type="spellStart"/>
            <w:r w:rsidRPr="00C9585E">
              <w:t>sut</w:t>
            </w:r>
            <w:proofErr w:type="spellEnd"/>
            <w:r w:rsidRPr="00C9585E">
              <w:t xml:space="preserve">. su EN 14562 ir EN 13624,  </w:t>
            </w:r>
            <w:proofErr w:type="spellStart"/>
            <w:r w:rsidRPr="00C9585E">
              <w:t>virucidiniu</w:t>
            </w:r>
            <w:proofErr w:type="spellEnd"/>
            <w:r w:rsidRPr="00C9585E">
              <w:t xml:space="preserve"> </w:t>
            </w:r>
            <w:proofErr w:type="spellStart"/>
            <w:r w:rsidRPr="00C9585E">
              <w:t>sut</w:t>
            </w:r>
            <w:proofErr w:type="spellEnd"/>
            <w:r w:rsidRPr="00C9585E">
              <w:t xml:space="preserve">. EN 14476 ir EN 17111, </w:t>
            </w:r>
            <w:proofErr w:type="spellStart"/>
            <w:r w:rsidRPr="00C9585E">
              <w:t>sporicidiniu</w:t>
            </w:r>
            <w:proofErr w:type="spellEnd"/>
            <w:r w:rsidRPr="00C9585E">
              <w:t xml:space="preserve"> </w:t>
            </w:r>
            <w:proofErr w:type="spellStart"/>
            <w:r w:rsidRPr="00C9585E">
              <w:t>sut</w:t>
            </w:r>
            <w:proofErr w:type="spellEnd"/>
            <w:r w:rsidRPr="00C9585E">
              <w:t xml:space="preserve">. su EN17126, </w:t>
            </w:r>
            <w:proofErr w:type="spellStart"/>
            <w:r w:rsidRPr="00C9585E">
              <w:t>sporicidiniu</w:t>
            </w:r>
            <w:proofErr w:type="spellEnd"/>
            <w:r w:rsidRPr="00C9585E">
              <w:t xml:space="preserve"> </w:t>
            </w:r>
            <w:proofErr w:type="spellStart"/>
            <w:r w:rsidRPr="00C9585E">
              <w:t>sut</w:t>
            </w:r>
            <w:proofErr w:type="spellEnd"/>
            <w:r w:rsidRPr="00C9585E">
              <w:t xml:space="preserve">. su EN17126 (Cl. </w:t>
            </w:r>
            <w:proofErr w:type="spellStart"/>
            <w:r w:rsidRPr="00C9585E">
              <w:t>Difficile</w:t>
            </w:r>
            <w:proofErr w:type="spellEnd"/>
            <w:r w:rsidRPr="00C9585E">
              <w:t>). Bendras ekspozicijos laikas ne ilgiau kaip 30 min.;</w:t>
            </w:r>
          </w:p>
          <w:p w14:paraId="1B64FCF0" w14:textId="77777777" w:rsidR="00A364FD" w:rsidRPr="00C9585E" w:rsidRDefault="00A364FD" w:rsidP="00A364FD">
            <w:pPr>
              <w:numPr>
                <w:ilvl w:val="0"/>
                <w:numId w:val="4"/>
              </w:numPr>
              <w:tabs>
                <w:tab w:val="clear" w:pos="720"/>
                <w:tab w:val="num" w:pos="282"/>
              </w:tabs>
              <w:ind w:left="0" w:firstLine="0"/>
              <w:jc w:val="both"/>
              <w:rPr>
                <w:kern w:val="0"/>
              </w:rPr>
            </w:pPr>
            <w:r w:rsidRPr="00C9585E">
              <w:rPr>
                <w:kern w:val="0"/>
              </w:rPr>
              <w:t>Darbinis tirpalas skaidrus;</w:t>
            </w:r>
          </w:p>
          <w:p w14:paraId="0C48450E" w14:textId="77777777" w:rsidR="00A364FD" w:rsidRPr="00C9585E" w:rsidRDefault="00A364FD" w:rsidP="00A364FD">
            <w:pPr>
              <w:numPr>
                <w:ilvl w:val="0"/>
                <w:numId w:val="4"/>
              </w:numPr>
              <w:tabs>
                <w:tab w:val="clear" w:pos="720"/>
                <w:tab w:val="num" w:pos="282"/>
              </w:tabs>
              <w:ind w:left="0" w:firstLine="0"/>
              <w:jc w:val="both"/>
              <w:rPr>
                <w:kern w:val="0"/>
              </w:rPr>
            </w:pPr>
            <w:r w:rsidRPr="00C9585E">
              <w:rPr>
                <w:kern w:val="0"/>
              </w:rPr>
              <w:t xml:space="preserve">Darbinio tirpalo efektyvumas, ypač jei buvo užterštumas arba aukštesnė patalpos temperatūra vertinamas kartu tiekiamomis gamintojo </w:t>
            </w:r>
            <w:proofErr w:type="spellStart"/>
            <w:r w:rsidRPr="00C9585E">
              <w:rPr>
                <w:kern w:val="0"/>
              </w:rPr>
              <w:t>testinėmis</w:t>
            </w:r>
            <w:proofErr w:type="spellEnd"/>
            <w:r w:rsidRPr="00C9585E">
              <w:rPr>
                <w:kern w:val="0"/>
              </w:rPr>
              <w:t xml:space="preserve"> juostelėmis – ne daugiau kaip 50 vnt.;</w:t>
            </w:r>
          </w:p>
          <w:p w14:paraId="4B8DD099" w14:textId="77777777" w:rsidR="00A364FD" w:rsidRPr="00C9585E" w:rsidRDefault="00A364FD" w:rsidP="00A364FD">
            <w:pPr>
              <w:numPr>
                <w:ilvl w:val="0"/>
                <w:numId w:val="4"/>
              </w:numPr>
              <w:tabs>
                <w:tab w:val="clear" w:pos="720"/>
                <w:tab w:val="num" w:pos="282"/>
              </w:tabs>
              <w:ind w:left="0" w:firstLine="0"/>
              <w:jc w:val="both"/>
              <w:rPr>
                <w:kern w:val="0"/>
              </w:rPr>
            </w:pPr>
            <w:r w:rsidRPr="00C9585E">
              <w:rPr>
                <w:kern w:val="0"/>
              </w:rPr>
              <w:t>Skirta dezinfekuoti instrumentus, endoskopus ir kitus jautrius šilumai plastmasės, gumos gaminius bei instrumentus, kietus endoskopus (kurių negalima sterilizuoti aukštoje temperatūroje);</w:t>
            </w:r>
          </w:p>
          <w:p w14:paraId="1A88655C" w14:textId="3D2DF9BB" w:rsidR="00A364FD" w:rsidRPr="00C9585E" w:rsidRDefault="00A364FD" w:rsidP="00A364FD">
            <w:pPr>
              <w:numPr>
                <w:ilvl w:val="0"/>
                <w:numId w:val="4"/>
              </w:numPr>
              <w:tabs>
                <w:tab w:val="clear" w:pos="720"/>
                <w:tab w:val="num" w:pos="282"/>
              </w:tabs>
              <w:ind w:left="0" w:firstLine="0"/>
              <w:jc w:val="both"/>
              <w:rPr>
                <w:kern w:val="0"/>
              </w:rPr>
            </w:pPr>
            <w:r w:rsidRPr="00C9585E">
              <w:rPr>
                <w:kern w:val="0"/>
              </w:rPr>
              <w:t xml:space="preserve">Sertifikuota </w:t>
            </w:r>
            <w:proofErr w:type="spellStart"/>
            <w:r w:rsidRPr="00C9585E">
              <w:rPr>
                <w:kern w:val="0"/>
              </w:rPr>
              <w:t>sut</w:t>
            </w:r>
            <w:proofErr w:type="spellEnd"/>
            <w:r w:rsidRPr="00C9585E">
              <w:rPr>
                <w:kern w:val="0"/>
              </w:rPr>
              <w:t>. su MDR 2017/745 EB;</w:t>
            </w:r>
          </w:p>
          <w:p w14:paraId="7DA543D9" w14:textId="77777777" w:rsidR="00A364FD" w:rsidRPr="00C9585E" w:rsidRDefault="00A364FD" w:rsidP="00A364FD">
            <w:pPr>
              <w:numPr>
                <w:ilvl w:val="0"/>
                <w:numId w:val="4"/>
              </w:numPr>
              <w:tabs>
                <w:tab w:val="clear" w:pos="720"/>
                <w:tab w:val="num" w:pos="282"/>
              </w:tabs>
              <w:ind w:left="0" w:firstLine="0"/>
              <w:jc w:val="both"/>
              <w:rPr>
                <w:kern w:val="0"/>
              </w:rPr>
            </w:pPr>
            <w:r w:rsidRPr="00C9585E">
              <w:rPr>
                <w:kern w:val="0"/>
              </w:rPr>
              <w:t>Darbinis tirpalas greitai paruošiamas – aktyvavus iš karto praskiedus;</w:t>
            </w:r>
          </w:p>
          <w:p w14:paraId="4828DC55" w14:textId="50257D63" w:rsidR="00A364FD" w:rsidRPr="00C9585E" w:rsidRDefault="00A364FD" w:rsidP="00A364FD">
            <w:pPr>
              <w:numPr>
                <w:ilvl w:val="0"/>
                <w:numId w:val="4"/>
              </w:numPr>
              <w:tabs>
                <w:tab w:val="clear" w:pos="720"/>
                <w:tab w:val="num" w:pos="282"/>
              </w:tabs>
              <w:ind w:left="0" w:firstLine="0"/>
              <w:jc w:val="both"/>
              <w:rPr>
                <w:kern w:val="0"/>
              </w:rPr>
            </w:pPr>
            <w:r w:rsidRPr="00C9585E">
              <w:rPr>
                <w:kern w:val="0"/>
              </w:rPr>
              <w:t>Pakuotėje du buteliukai (rūgšties generatorius ir aktyvatorius), skirti bendram 5 (penkių) litrų darbinio tirpalo paruošimui;</w:t>
            </w:r>
          </w:p>
          <w:p w14:paraId="6299967F" w14:textId="25E895FC" w:rsidR="00A364FD" w:rsidRPr="00C9585E" w:rsidRDefault="00A364FD" w:rsidP="00A364FD">
            <w:pPr>
              <w:numPr>
                <w:ilvl w:val="0"/>
                <w:numId w:val="4"/>
              </w:numPr>
              <w:tabs>
                <w:tab w:val="clear" w:pos="720"/>
                <w:tab w:val="num" w:pos="282"/>
              </w:tabs>
              <w:ind w:left="0" w:firstLine="0"/>
              <w:jc w:val="both"/>
              <w:rPr>
                <w:color w:val="000000" w:themeColor="text1"/>
                <w:kern w:val="0"/>
              </w:rPr>
            </w:pPr>
            <w:proofErr w:type="spellStart"/>
            <w:r w:rsidRPr="00C9585E">
              <w:rPr>
                <w:kern w:val="0"/>
              </w:rPr>
              <w:t>Testinės</w:t>
            </w:r>
            <w:proofErr w:type="spellEnd"/>
            <w:r w:rsidRPr="00C9585E">
              <w:rPr>
                <w:kern w:val="0"/>
              </w:rPr>
              <w:t xml:space="preserve"> juostelės tirpalo efektyvumui vertinti – ne daugiau kaip 50 vnt.</w:t>
            </w:r>
          </w:p>
        </w:tc>
        <w:tc>
          <w:tcPr>
            <w:tcW w:w="992" w:type="dxa"/>
          </w:tcPr>
          <w:p w14:paraId="392F7C60" w14:textId="77777777" w:rsidR="00A364FD" w:rsidRPr="00C9585E" w:rsidRDefault="00A364FD" w:rsidP="00A364FD">
            <w:pPr>
              <w:jc w:val="center"/>
              <w:rPr>
                <w:color w:val="000000" w:themeColor="text1"/>
                <w:kern w:val="0"/>
              </w:rPr>
            </w:pPr>
            <w:proofErr w:type="spellStart"/>
            <w:r w:rsidRPr="00C9585E">
              <w:rPr>
                <w:color w:val="000000" w:themeColor="text1"/>
              </w:rPr>
              <w:t>fl</w:t>
            </w:r>
            <w:proofErr w:type="spellEnd"/>
          </w:p>
        </w:tc>
        <w:tc>
          <w:tcPr>
            <w:tcW w:w="1560" w:type="dxa"/>
          </w:tcPr>
          <w:p w14:paraId="7B964871" w14:textId="2DFA7129" w:rsidR="00A364FD" w:rsidRPr="00C9585E" w:rsidRDefault="00A364FD" w:rsidP="00A364FD">
            <w:pPr>
              <w:jc w:val="center"/>
              <w:rPr>
                <w:color w:val="000000" w:themeColor="text1"/>
              </w:rPr>
            </w:pPr>
            <w:r w:rsidRPr="00C9585E">
              <w:t>250</w:t>
            </w:r>
          </w:p>
        </w:tc>
        <w:tc>
          <w:tcPr>
            <w:tcW w:w="1275" w:type="dxa"/>
          </w:tcPr>
          <w:p w14:paraId="68A4E2C7" w14:textId="53DA5FB3" w:rsidR="00A364FD" w:rsidRPr="00C9585E" w:rsidRDefault="00A364FD" w:rsidP="00A364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12113C71" w14:textId="058F61BA" w:rsidR="00A364FD" w:rsidRPr="00C9585E" w:rsidRDefault="00A364FD" w:rsidP="00A364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0" w:type="dxa"/>
          </w:tcPr>
          <w:p w14:paraId="01917B18" w14:textId="77777777" w:rsidR="00A364FD" w:rsidRPr="00C9585E" w:rsidRDefault="00A364FD" w:rsidP="00A364FD">
            <w:pPr>
              <w:jc w:val="center"/>
              <w:rPr>
                <w:color w:val="000000" w:themeColor="text1"/>
              </w:rPr>
            </w:pPr>
          </w:p>
        </w:tc>
      </w:tr>
      <w:tr w:rsidR="00A364FD" w:rsidRPr="0023611C" w14:paraId="3F582804" w14:textId="70844397" w:rsidTr="000E3253">
        <w:trPr>
          <w:trHeight w:val="4526"/>
        </w:trPr>
        <w:tc>
          <w:tcPr>
            <w:tcW w:w="709" w:type="dxa"/>
          </w:tcPr>
          <w:p w14:paraId="59386339" w14:textId="77777777" w:rsidR="00A364FD" w:rsidRPr="00C9585E" w:rsidRDefault="00A364FD" w:rsidP="00A364FD">
            <w:pPr>
              <w:rPr>
                <w:rFonts w:eastAsia="Calibri"/>
                <w:color w:val="000000" w:themeColor="text1"/>
                <w:kern w:val="0"/>
              </w:rPr>
            </w:pPr>
            <w:r w:rsidRPr="00C9585E">
              <w:rPr>
                <w:rFonts w:eastAsia="Calibri"/>
                <w:color w:val="000000" w:themeColor="text1"/>
                <w:kern w:val="0"/>
              </w:rPr>
              <w:lastRenderedPageBreak/>
              <w:t>1.3</w:t>
            </w:r>
          </w:p>
        </w:tc>
        <w:tc>
          <w:tcPr>
            <w:tcW w:w="1559" w:type="dxa"/>
          </w:tcPr>
          <w:p w14:paraId="63436DD4" w14:textId="77777777" w:rsidR="00A364FD" w:rsidRPr="00C9585E" w:rsidRDefault="00A364FD" w:rsidP="00A364FD">
            <w:pPr>
              <w:rPr>
                <w:rFonts w:eastAsia="Calibri"/>
                <w:color w:val="000000" w:themeColor="text1"/>
                <w:kern w:val="0"/>
              </w:rPr>
            </w:pPr>
            <w:r w:rsidRPr="00C9585E">
              <w:rPr>
                <w:rFonts w:eastAsia="Calibri"/>
                <w:color w:val="000000" w:themeColor="text1"/>
                <w:kern w:val="0"/>
              </w:rPr>
              <w:t xml:space="preserve">Dezinfekcinė medžiaga instrumentų valymui ir dezinfekcijai </w:t>
            </w:r>
          </w:p>
          <w:p w14:paraId="2CD93BFA" w14:textId="77777777" w:rsidR="00A364FD" w:rsidRPr="00C9585E" w:rsidRDefault="00A364FD" w:rsidP="00A364FD">
            <w:pPr>
              <w:jc w:val="center"/>
              <w:rPr>
                <w:rFonts w:eastAsia="Calibri"/>
                <w:color w:val="000000" w:themeColor="text1"/>
                <w:kern w:val="0"/>
              </w:rPr>
            </w:pPr>
          </w:p>
          <w:p w14:paraId="24DEB71F" w14:textId="77777777" w:rsidR="00A364FD" w:rsidRPr="00C9585E" w:rsidRDefault="00A364FD" w:rsidP="00A364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78" w:type="dxa"/>
          </w:tcPr>
          <w:p w14:paraId="0F23D6D0" w14:textId="77777777" w:rsidR="00A364FD" w:rsidRPr="00C9585E" w:rsidRDefault="00A364FD" w:rsidP="00A364FD">
            <w:pPr>
              <w:numPr>
                <w:ilvl w:val="0"/>
                <w:numId w:val="3"/>
              </w:numPr>
              <w:tabs>
                <w:tab w:val="left" w:pos="282"/>
              </w:tabs>
              <w:ind w:left="0" w:hanging="2"/>
              <w:contextualSpacing/>
              <w:jc w:val="both"/>
              <w:rPr>
                <w:rFonts w:eastAsia="Calibri"/>
                <w:color w:val="000000" w:themeColor="text1"/>
                <w:kern w:val="0"/>
              </w:rPr>
            </w:pPr>
            <w:r w:rsidRPr="00C9585E">
              <w:rPr>
                <w:rFonts w:eastAsia="Calibri"/>
                <w:color w:val="000000" w:themeColor="text1"/>
                <w:kern w:val="0"/>
              </w:rPr>
              <w:t xml:space="preserve">Veikliosios ir pagalbinės medžiagos: ketvirtiniai amonio junginiai ir enzimų kompleksas (proteazės, </w:t>
            </w:r>
            <w:proofErr w:type="spellStart"/>
            <w:r w:rsidRPr="00C9585E">
              <w:rPr>
                <w:rFonts w:eastAsia="Calibri"/>
                <w:color w:val="000000" w:themeColor="text1"/>
                <w:kern w:val="0"/>
              </w:rPr>
              <w:t>amilazės</w:t>
            </w:r>
            <w:proofErr w:type="spellEnd"/>
            <w:r w:rsidRPr="00C9585E">
              <w:rPr>
                <w:rFonts w:eastAsia="Calibri"/>
                <w:color w:val="000000" w:themeColor="text1"/>
                <w:kern w:val="0"/>
              </w:rPr>
              <w:t xml:space="preserve"> ir </w:t>
            </w:r>
            <w:proofErr w:type="spellStart"/>
            <w:r w:rsidRPr="00C9585E">
              <w:rPr>
                <w:rFonts w:eastAsia="Calibri"/>
                <w:color w:val="000000" w:themeColor="text1"/>
                <w:kern w:val="0"/>
              </w:rPr>
              <w:t>mananazės</w:t>
            </w:r>
            <w:proofErr w:type="spellEnd"/>
            <w:r w:rsidRPr="00C9585E">
              <w:rPr>
                <w:rFonts w:eastAsia="Calibri"/>
                <w:color w:val="000000" w:themeColor="text1"/>
                <w:kern w:val="0"/>
              </w:rPr>
              <w:t xml:space="preserve">, korozijos inhibitoriai, </w:t>
            </w:r>
            <w:proofErr w:type="spellStart"/>
            <w:r w:rsidRPr="00C9585E">
              <w:rPr>
                <w:rFonts w:eastAsia="Calibri"/>
                <w:color w:val="000000" w:themeColor="text1"/>
                <w:kern w:val="0"/>
              </w:rPr>
              <w:t>nejoninės</w:t>
            </w:r>
            <w:proofErr w:type="spellEnd"/>
            <w:r w:rsidRPr="00C9585E">
              <w:rPr>
                <w:rFonts w:eastAsia="Calibri"/>
                <w:color w:val="000000" w:themeColor="text1"/>
                <w:kern w:val="0"/>
              </w:rPr>
              <w:t xml:space="preserve"> paviršiaus aktyvios medžiagos, chalatai arba lygiavertės medžiagos;</w:t>
            </w:r>
          </w:p>
          <w:p w14:paraId="6CF4A607" w14:textId="77777777" w:rsidR="00A364FD" w:rsidRPr="00C9585E" w:rsidRDefault="00A364FD" w:rsidP="00A364FD">
            <w:pPr>
              <w:numPr>
                <w:ilvl w:val="0"/>
                <w:numId w:val="3"/>
              </w:numPr>
              <w:tabs>
                <w:tab w:val="left" w:pos="282"/>
              </w:tabs>
              <w:ind w:left="0" w:hanging="2"/>
              <w:contextualSpacing/>
              <w:jc w:val="both"/>
              <w:rPr>
                <w:rFonts w:eastAsia="Calibri"/>
                <w:color w:val="000000" w:themeColor="text1"/>
                <w:kern w:val="0"/>
              </w:rPr>
            </w:pPr>
            <w:r w:rsidRPr="00C9585E">
              <w:rPr>
                <w:color w:val="000000" w:themeColor="text1"/>
              </w:rPr>
              <w:t xml:space="preserve">Veikia (užterštomis sąlygomis) bakterijas (atitinka EN 13727, EN 14561), </w:t>
            </w:r>
            <w:proofErr w:type="spellStart"/>
            <w:r w:rsidRPr="00C9585E">
              <w:rPr>
                <w:color w:val="000000" w:themeColor="text1"/>
              </w:rPr>
              <w:t>mikobakterijas</w:t>
            </w:r>
            <w:proofErr w:type="spellEnd"/>
            <w:r w:rsidRPr="00C9585E">
              <w:rPr>
                <w:color w:val="000000" w:themeColor="text1"/>
              </w:rPr>
              <w:t xml:space="preserve"> (atitinka EN14348 ir EN14563), mielinius grybelius (atitinka EN 13624 ir EN14562), virusus (atitinka EN14476 ir 17111). Vertinamas bendras ekspozicijos laikas 1 % koncentracijoje iki 30 min.;</w:t>
            </w:r>
          </w:p>
          <w:p w14:paraId="00924ACA" w14:textId="77777777" w:rsidR="00A364FD" w:rsidRPr="00C9585E" w:rsidRDefault="00A364FD" w:rsidP="00A364FD">
            <w:pPr>
              <w:numPr>
                <w:ilvl w:val="0"/>
                <w:numId w:val="3"/>
              </w:numPr>
              <w:tabs>
                <w:tab w:val="left" w:pos="325"/>
              </w:tabs>
              <w:ind w:left="0" w:firstLine="0"/>
              <w:contextualSpacing/>
              <w:jc w:val="both"/>
              <w:rPr>
                <w:rFonts w:eastAsia="Calibri"/>
                <w:color w:val="000000" w:themeColor="text1"/>
                <w:kern w:val="0"/>
              </w:rPr>
            </w:pPr>
            <w:r w:rsidRPr="00C9585E">
              <w:rPr>
                <w:rFonts w:eastAsia="Calibri"/>
                <w:color w:val="000000" w:themeColor="text1"/>
                <w:kern w:val="0"/>
              </w:rPr>
              <w:t>Skirta medicininių instrumentų dezinfekcijai prieš sterilizaciją;</w:t>
            </w:r>
          </w:p>
          <w:p w14:paraId="074BDEC2" w14:textId="77777777" w:rsidR="00A364FD" w:rsidRPr="00C9585E" w:rsidRDefault="00A364FD" w:rsidP="00A364FD">
            <w:pPr>
              <w:numPr>
                <w:ilvl w:val="0"/>
                <w:numId w:val="3"/>
              </w:numPr>
              <w:tabs>
                <w:tab w:val="left" w:pos="391"/>
              </w:tabs>
              <w:ind w:left="0" w:firstLine="0"/>
              <w:contextualSpacing/>
              <w:jc w:val="both"/>
              <w:rPr>
                <w:rFonts w:eastAsia="Calibri"/>
                <w:color w:val="000000" w:themeColor="text1"/>
                <w:kern w:val="0"/>
              </w:rPr>
            </w:pPr>
            <w:r w:rsidRPr="00C9585E">
              <w:rPr>
                <w:rFonts w:eastAsia="Calibri"/>
                <w:color w:val="000000" w:themeColor="text1"/>
                <w:kern w:val="0"/>
              </w:rPr>
              <w:t>Priemonės pavidalas – skystas koncentratas;</w:t>
            </w:r>
          </w:p>
          <w:p w14:paraId="04AD74E0" w14:textId="77777777" w:rsidR="00A364FD" w:rsidRPr="00C9585E" w:rsidRDefault="00A364FD" w:rsidP="00A364FD">
            <w:pPr>
              <w:numPr>
                <w:ilvl w:val="0"/>
                <w:numId w:val="3"/>
              </w:numPr>
              <w:tabs>
                <w:tab w:val="left" w:pos="301"/>
              </w:tabs>
              <w:ind w:left="0" w:firstLine="0"/>
              <w:contextualSpacing/>
              <w:jc w:val="both"/>
              <w:rPr>
                <w:rFonts w:eastAsia="Calibri"/>
                <w:color w:val="000000" w:themeColor="text1"/>
                <w:kern w:val="0"/>
              </w:rPr>
            </w:pPr>
            <w:r w:rsidRPr="00C9585E">
              <w:rPr>
                <w:rFonts w:eastAsia="Calibri"/>
                <w:color w:val="000000" w:themeColor="text1"/>
                <w:kern w:val="0"/>
              </w:rPr>
              <w:t>Paruoštą darbinį tirpalą uždarose talpose galima laikyti iki 7-ių parų;</w:t>
            </w:r>
          </w:p>
          <w:p w14:paraId="0D695D6D" w14:textId="77777777" w:rsidR="00A364FD" w:rsidRPr="00C9585E" w:rsidRDefault="00A364FD" w:rsidP="00A364FD">
            <w:pPr>
              <w:numPr>
                <w:ilvl w:val="0"/>
                <w:numId w:val="3"/>
              </w:numPr>
              <w:tabs>
                <w:tab w:val="left" w:pos="325"/>
              </w:tabs>
              <w:ind w:left="0" w:firstLine="0"/>
              <w:contextualSpacing/>
              <w:jc w:val="both"/>
              <w:rPr>
                <w:rFonts w:eastAsia="Calibri"/>
                <w:color w:val="000000" w:themeColor="text1"/>
                <w:kern w:val="0"/>
              </w:rPr>
            </w:pPr>
            <w:r w:rsidRPr="00C9585E">
              <w:rPr>
                <w:rFonts w:eastAsia="Calibri"/>
                <w:color w:val="000000" w:themeColor="text1"/>
                <w:kern w:val="0"/>
              </w:rPr>
              <w:t xml:space="preserve">Fasuotė: </w:t>
            </w:r>
            <w:r w:rsidRPr="00C9585E">
              <w:rPr>
                <w:rFonts w:eastAsia="Calibri"/>
                <w:b/>
                <w:bCs/>
                <w:color w:val="000000" w:themeColor="text1"/>
                <w:kern w:val="0"/>
              </w:rPr>
              <w:t>1 (vienas) litras</w:t>
            </w:r>
            <w:r w:rsidRPr="00C9585E">
              <w:rPr>
                <w:rFonts w:eastAsia="Calibri"/>
                <w:color w:val="000000" w:themeColor="text1"/>
                <w:kern w:val="0"/>
              </w:rPr>
              <w:t xml:space="preserve"> (su dozatoriumi);</w:t>
            </w:r>
          </w:p>
          <w:p w14:paraId="1E31E897" w14:textId="77777777" w:rsidR="00A364FD" w:rsidRPr="00C9585E" w:rsidRDefault="00A364FD" w:rsidP="00A364FD">
            <w:pPr>
              <w:numPr>
                <w:ilvl w:val="0"/>
                <w:numId w:val="3"/>
              </w:numPr>
              <w:tabs>
                <w:tab w:val="left" w:pos="325"/>
              </w:tabs>
              <w:ind w:left="0" w:firstLine="0"/>
              <w:contextualSpacing/>
              <w:jc w:val="both"/>
              <w:rPr>
                <w:rFonts w:eastAsia="Calibri"/>
                <w:color w:val="000000" w:themeColor="text1"/>
                <w:kern w:val="0"/>
              </w:rPr>
            </w:pPr>
            <w:r w:rsidRPr="00C9585E">
              <w:rPr>
                <w:rFonts w:eastAsia="Calibri"/>
                <w:color w:val="000000" w:themeColor="text1"/>
                <w:kern w:val="0"/>
              </w:rPr>
              <w:t>pH vertės: koncentrato – 7,80 – 7,85, darbinių tirpalų (0,5 %) – ne daugiau kaip 8,10;</w:t>
            </w:r>
          </w:p>
          <w:p w14:paraId="7BB4BDB5" w14:textId="0618B54A" w:rsidR="00A364FD" w:rsidRPr="00C9585E" w:rsidRDefault="00A364FD" w:rsidP="00A364FD">
            <w:pPr>
              <w:numPr>
                <w:ilvl w:val="0"/>
                <w:numId w:val="3"/>
              </w:numPr>
              <w:tabs>
                <w:tab w:val="left" w:pos="301"/>
              </w:tabs>
              <w:ind w:left="0" w:firstLine="0"/>
              <w:contextualSpacing/>
              <w:rPr>
                <w:rFonts w:eastAsia="Calibri"/>
                <w:color w:val="000000" w:themeColor="text1"/>
                <w:kern w:val="0"/>
              </w:rPr>
            </w:pPr>
            <w:r w:rsidRPr="00C9585E">
              <w:rPr>
                <w:rFonts w:eastAsia="Calibri"/>
                <w:color w:val="000000" w:themeColor="text1"/>
                <w:kern w:val="0"/>
              </w:rPr>
              <w:t>Medicininės paskirties produktas.</w:t>
            </w:r>
          </w:p>
        </w:tc>
        <w:tc>
          <w:tcPr>
            <w:tcW w:w="992" w:type="dxa"/>
          </w:tcPr>
          <w:p w14:paraId="5FDED0EF" w14:textId="77777777" w:rsidR="00A364FD" w:rsidRPr="00C9585E" w:rsidRDefault="00A364FD" w:rsidP="00A364FD">
            <w:pPr>
              <w:tabs>
                <w:tab w:val="left" w:pos="282"/>
              </w:tabs>
              <w:ind w:left="-2"/>
              <w:contextualSpacing/>
              <w:jc w:val="center"/>
              <w:rPr>
                <w:rFonts w:eastAsia="Calibri"/>
                <w:color w:val="000000" w:themeColor="text1"/>
                <w:kern w:val="0"/>
              </w:rPr>
            </w:pPr>
            <w:r w:rsidRPr="00C9585E">
              <w:rPr>
                <w:color w:val="000000" w:themeColor="text1"/>
              </w:rPr>
              <w:t>l</w:t>
            </w:r>
          </w:p>
        </w:tc>
        <w:tc>
          <w:tcPr>
            <w:tcW w:w="1560" w:type="dxa"/>
          </w:tcPr>
          <w:p w14:paraId="089479C1" w14:textId="2207C0B3" w:rsidR="00A364FD" w:rsidRPr="00C9585E" w:rsidRDefault="00013692" w:rsidP="00A364FD">
            <w:pPr>
              <w:tabs>
                <w:tab w:val="left" w:pos="282"/>
              </w:tabs>
              <w:ind w:left="-2"/>
              <w:contextualSpacing/>
              <w:jc w:val="center"/>
              <w:rPr>
                <w:color w:val="000000" w:themeColor="text1"/>
              </w:rPr>
            </w:pPr>
            <w:r w:rsidRPr="00C9585E">
              <w:rPr>
                <w:color w:val="000000" w:themeColor="text1"/>
              </w:rPr>
              <w:t>50</w:t>
            </w:r>
          </w:p>
        </w:tc>
        <w:tc>
          <w:tcPr>
            <w:tcW w:w="1275" w:type="dxa"/>
          </w:tcPr>
          <w:p w14:paraId="7F294EBD" w14:textId="2B481D30" w:rsidR="00A364FD" w:rsidRPr="00C9585E" w:rsidRDefault="00A364FD" w:rsidP="00A364FD">
            <w:pPr>
              <w:tabs>
                <w:tab w:val="left" w:pos="282"/>
              </w:tabs>
              <w:ind w:left="-2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30BA6FAB" w14:textId="6658FE86" w:rsidR="00A364FD" w:rsidRPr="00C9585E" w:rsidRDefault="00A364FD" w:rsidP="00A364FD">
            <w:pPr>
              <w:tabs>
                <w:tab w:val="left" w:pos="282"/>
              </w:tabs>
              <w:ind w:left="-2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550" w:type="dxa"/>
          </w:tcPr>
          <w:p w14:paraId="1D21F2D1" w14:textId="77777777" w:rsidR="00A364FD" w:rsidRPr="00C9585E" w:rsidRDefault="00A364FD" w:rsidP="00A364FD">
            <w:pPr>
              <w:tabs>
                <w:tab w:val="left" w:pos="282"/>
              </w:tabs>
              <w:ind w:left="-2"/>
              <w:contextualSpacing/>
              <w:jc w:val="center"/>
              <w:rPr>
                <w:color w:val="000000" w:themeColor="text1"/>
              </w:rPr>
            </w:pPr>
          </w:p>
        </w:tc>
      </w:tr>
      <w:tr w:rsidR="00A364FD" w:rsidRPr="0023611C" w14:paraId="1252EB2B" w14:textId="21684798" w:rsidTr="000E3253">
        <w:tc>
          <w:tcPr>
            <w:tcW w:w="709" w:type="dxa"/>
          </w:tcPr>
          <w:p w14:paraId="3403F54D" w14:textId="77777777" w:rsidR="00A364FD" w:rsidRPr="00C9585E" w:rsidRDefault="00A364FD" w:rsidP="00A364FD">
            <w:pPr>
              <w:rPr>
                <w:rFonts w:eastAsia="Calibri"/>
                <w:color w:val="000000" w:themeColor="text1"/>
                <w:kern w:val="0"/>
              </w:rPr>
            </w:pPr>
            <w:r w:rsidRPr="00C9585E">
              <w:rPr>
                <w:rFonts w:eastAsia="Calibri"/>
                <w:color w:val="000000" w:themeColor="text1"/>
                <w:kern w:val="0"/>
              </w:rPr>
              <w:t>1.4.</w:t>
            </w:r>
          </w:p>
        </w:tc>
        <w:tc>
          <w:tcPr>
            <w:tcW w:w="1559" w:type="dxa"/>
          </w:tcPr>
          <w:p w14:paraId="16E64844" w14:textId="77777777" w:rsidR="00A364FD" w:rsidRPr="00C9585E" w:rsidRDefault="00A364FD" w:rsidP="00A364FD">
            <w:pPr>
              <w:rPr>
                <w:rFonts w:eastAsia="Calibri"/>
                <w:color w:val="000000" w:themeColor="text1"/>
                <w:kern w:val="0"/>
              </w:rPr>
            </w:pPr>
            <w:r w:rsidRPr="00C9585E">
              <w:rPr>
                <w:rFonts w:eastAsia="Calibri"/>
                <w:color w:val="000000" w:themeColor="text1"/>
                <w:kern w:val="0"/>
              </w:rPr>
              <w:t>Dezinfekcinė medžiaga instrumentų valymui ir dezinfekcijai</w:t>
            </w:r>
          </w:p>
        </w:tc>
        <w:tc>
          <w:tcPr>
            <w:tcW w:w="4678" w:type="dxa"/>
          </w:tcPr>
          <w:p w14:paraId="1B6F2283" w14:textId="77777777" w:rsidR="00A364FD" w:rsidRPr="00C9585E" w:rsidRDefault="00A364FD" w:rsidP="00A364FD">
            <w:pPr>
              <w:contextualSpacing/>
              <w:jc w:val="both"/>
              <w:rPr>
                <w:rFonts w:eastAsia="Calibri"/>
                <w:color w:val="000000" w:themeColor="text1"/>
                <w:kern w:val="0"/>
              </w:rPr>
            </w:pPr>
            <w:r w:rsidRPr="00C9585E">
              <w:rPr>
                <w:rFonts w:eastAsia="Calibri"/>
                <w:color w:val="000000" w:themeColor="text1"/>
                <w:kern w:val="0"/>
              </w:rPr>
              <w:t xml:space="preserve">1. Veikliosios ir pagalbinės medžiagos: ketvirtiniai amonio junginiai ir enzimų kompleksas (proteazės, </w:t>
            </w:r>
            <w:proofErr w:type="spellStart"/>
            <w:r w:rsidRPr="00C9585E">
              <w:rPr>
                <w:rFonts w:eastAsia="Calibri"/>
                <w:color w:val="000000" w:themeColor="text1"/>
                <w:kern w:val="0"/>
              </w:rPr>
              <w:t>amilazės</w:t>
            </w:r>
            <w:proofErr w:type="spellEnd"/>
            <w:r w:rsidRPr="00C9585E">
              <w:rPr>
                <w:rFonts w:eastAsia="Calibri"/>
                <w:color w:val="000000" w:themeColor="text1"/>
                <w:kern w:val="0"/>
              </w:rPr>
              <w:t xml:space="preserve"> ir </w:t>
            </w:r>
            <w:proofErr w:type="spellStart"/>
            <w:r w:rsidRPr="00C9585E">
              <w:rPr>
                <w:rFonts w:eastAsia="Calibri"/>
                <w:color w:val="000000" w:themeColor="text1"/>
                <w:kern w:val="0"/>
              </w:rPr>
              <w:t>mananazės</w:t>
            </w:r>
            <w:proofErr w:type="spellEnd"/>
            <w:r w:rsidRPr="00C9585E">
              <w:rPr>
                <w:rFonts w:eastAsia="Calibri"/>
                <w:color w:val="000000" w:themeColor="text1"/>
                <w:kern w:val="0"/>
              </w:rPr>
              <w:t xml:space="preserve">), korozijos inhibitoriai, </w:t>
            </w:r>
            <w:proofErr w:type="spellStart"/>
            <w:r w:rsidRPr="00C9585E">
              <w:rPr>
                <w:rFonts w:eastAsia="Calibri"/>
                <w:color w:val="000000" w:themeColor="text1"/>
                <w:kern w:val="0"/>
              </w:rPr>
              <w:t>nejoninės</w:t>
            </w:r>
            <w:proofErr w:type="spellEnd"/>
            <w:r w:rsidRPr="00C9585E">
              <w:rPr>
                <w:rFonts w:eastAsia="Calibri"/>
                <w:color w:val="000000" w:themeColor="text1"/>
                <w:kern w:val="0"/>
              </w:rPr>
              <w:t xml:space="preserve"> paviršiaus aktyvios medžiagos, chalatai; </w:t>
            </w:r>
          </w:p>
          <w:p w14:paraId="118BABD9" w14:textId="77777777" w:rsidR="00A364FD" w:rsidRPr="00C9585E" w:rsidRDefault="00A364FD" w:rsidP="00A364FD">
            <w:pPr>
              <w:contextualSpacing/>
              <w:jc w:val="both"/>
              <w:rPr>
                <w:rFonts w:eastAsia="Calibri"/>
                <w:color w:val="000000" w:themeColor="text1"/>
                <w:kern w:val="0"/>
              </w:rPr>
            </w:pPr>
            <w:r w:rsidRPr="00C9585E">
              <w:rPr>
                <w:rFonts w:eastAsia="Calibri"/>
                <w:color w:val="000000" w:themeColor="text1"/>
                <w:kern w:val="0"/>
              </w:rPr>
              <w:t xml:space="preserve">2. </w:t>
            </w:r>
            <w:r w:rsidRPr="00C9585E">
              <w:rPr>
                <w:color w:val="000000" w:themeColor="text1"/>
              </w:rPr>
              <w:t xml:space="preserve">Veikia (užterštomis sąlygomis) bakterijas (atitinka EN 13727, EN 14561), </w:t>
            </w:r>
            <w:proofErr w:type="spellStart"/>
            <w:r w:rsidRPr="00C9585E">
              <w:rPr>
                <w:color w:val="000000" w:themeColor="text1"/>
              </w:rPr>
              <w:t>mikobakterijas</w:t>
            </w:r>
            <w:proofErr w:type="spellEnd"/>
            <w:r w:rsidRPr="00C9585E">
              <w:rPr>
                <w:color w:val="000000" w:themeColor="text1"/>
              </w:rPr>
              <w:t xml:space="preserve"> (atitinka EN14348 ir EN14563), mielinius grybelius (atitinka EN 13624 ir EN14562), virusus (atitinka EN14476 </w:t>
            </w:r>
            <w:r w:rsidRPr="00C9585E">
              <w:rPr>
                <w:color w:val="000000" w:themeColor="text1"/>
              </w:rPr>
              <w:lastRenderedPageBreak/>
              <w:t>ir 17111). Vertinamas bendras ekspozicijos laikas 1 % koncentracijoje iki 30 min</w:t>
            </w:r>
            <w:r w:rsidRPr="00C9585E">
              <w:rPr>
                <w:rFonts w:eastAsia="Calibri"/>
                <w:color w:val="000000" w:themeColor="text1"/>
                <w:kern w:val="0"/>
              </w:rPr>
              <w:t>.;</w:t>
            </w:r>
          </w:p>
          <w:p w14:paraId="364C5669" w14:textId="77777777" w:rsidR="00A364FD" w:rsidRPr="00C9585E" w:rsidRDefault="00A364FD" w:rsidP="00A364FD">
            <w:pPr>
              <w:contextualSpacing/>
              <w:jc w:val="both"/>
              <w:rPr>
                <w:rFonts w:eastAsia="Calibri"/>
                <w:color w:val="000000" w:themeColor="text1"/>
                <w:kern w:val="0"/>
              </w:rPr>
            </w:pPr>
            <w:r w:rsidRPr="00C9585E">
              <w:rPr>
                <w:rFonts w:eastAsia="Calibri"/>
                <w:color w:val="000000" w:themeColor="text1"/>
                <w:kern w:val="0"/>
              </w:rPr>
              <w:t xml:space="preserve">3. Skirta medicininių instrumentų dezinfekcijai prieš sterilizaciją; </w:t>
            </w:r>
          </w:p>
          <w:p w14:paraId="299BC4ED" w14:textId="77777777" w:rsidR="00A364FD" w:rsidRPr="00C9585E" w:rsidRDefault="00A364FD" w:rsidP="00A364FD">
            <w:pPr>
              <w:contextualSpacing/>
              <w:rPr>
                <w:rFonts w:eastAsia="Calibri"/>
                <w:color w:val="000000" w:themeColor="text1"/>
                <w:kern w:val="0"/>
              </w:rPr>
            </w:pPr>
            <w:r w:rsidRPr="00C9585E">
              <w:rPr>
                <w:rFonts w:eastAsia="Calibri"/>
                <w:color w:val="000000" w:themeColor="text1"/>
                <w:kern w:val="0"/>
              </w:rPr>
              <w:t>4. Priemonės pavidalas – skystas koncentratas;</w:t>
            </w:r>
          </w:p>
          <w:p w14:paraId="57DE7636" w14:textId="77777777" w:rsidR="00A364FD" w:rsidRPr="00C9585E" w:rsidRDefault="00A364FD" w:rsidP="00A364FD">
            <w:pPr>
              <w:contextualSpacing/>
              <w:jc w:val="both"/>
              <w:rPr>
                <w:rFonts w:eastAsia="Calibri"/>
                <w:color w:val="000000" w:themeColor="text1"/>
                <w:kern w:val="0"/>
              </w:rPr>
            </w:pPr>
            <w:r w:rsidRPr="00C9585E">
              <w:rPr>
                <w:rFonts w:eastAsia="Calibri"/>
                <w:color w:val="000000" w:themeColor="text1"/>
                <w:kern w:val="0"/>
              </w:rPr>
              <w:t>5. Paruoštą darbinį tirpalą uždarose talpose galima laikyti iki 7-ių parų.</w:t>
            </w:r>
          </w:p>
          <w:p w14:paraId="0C69E5B7" w14:textId="77777777" w:rsidR="00A364FD" w:rsidRPr="00C9585E" w:rsidRDefault="00A364FD" w:rsidP="00A364FD">
            <w:pPr>
              <w:contextualSpacing/>
              <w:jc w:val="both"/>
              <w:rPr>
                <w:rFonts w:eastAsia="Calibri"/>
                <w:color w:val="000000" w:themeColor="text1"/>
                <w:kern w:val="0"/>
              </w:rPr>
            </w:pPr>
            <w:r w:rsidRPr="00C9585E">
              <w:rPr>
                <w:rFonts w:eastAsia="Calibri"/>
                <w:color w:val="000000" w:themeColor="text1"/>
                <w:kern w:val="0"/>
              </w:rPr>
              <w:t xml:space="preserve">6. Fasuotė: </w:t>
            </w:r>
            <w:r w:rsidRPr="00C9585E">
              <w:rPr>
                <w:rFonts w:eastAsia="Calibri"/>
                <w:b/>
                <w:bCs/>
                <w:color w:val="000000" w:themeColor="text1"/>
                <w:kern w:val="0"/>
              </w:rPr>
              <w:t>5 (penki) litrai</w:t>
            </w:r>
            <w:r w:rsidRPr="00C9585E">
              <w:rPr>
                <w:rFonts w:eastAsia="Calibri"/>
                <w:color w:val="000000" w:themeColor="text1"/>
                <w:kern w:val="0"/>
              </w:rPr>
              <w:t xml:space="preserve"> (su dozatoriumi);</w:t>
            </w:r>
          </w:p>
          <w:p w14:paraId="559E46C4" w14:textId="77777777" w:rsidR="00A364FD" w:rsidRPr="00C9585E" w:rsidRDefault="00A364FD" w:rsidP="00A364FD">
            <w:pPr>
              <w:contextualSpacing/>
              <w:jc w:val="both"/>
              <w:rPr>
                <w:rFonts w:eastAsia="Calibri"/>
                <w:color w:val="000000" w:themeColor="text1"/>
                <w:kern w:val="0"/>
              </w:rPr>
            </w:pPr>
            <w:r w:rsidRPr="00C9585E">
              <w:rPr>
                <w:rFonts w:eastAsia="Calibri"/>
                <w:color w:val="000000" w:themeColor="text1"/>
                <w:kern w:val="0"/>
              </w:rPr>
              <w:t>7. pH vertės: koncentrato – 7,80</w:t>
            </w:r>
            <w:r w:rsidRPr="00C9585E">
              <w:rPr>
                <w:color w:val="000000" w:themeColor="text1"/>
              </w:rPr>
              <w:t xml:space="preserve"> – </w:t>
            </w:r>
            <w:r w:rsidRPr="00C9585E">
              <w:rPr>
                <w:rFonts w:eastAsia="Calibri"/>
                <w:color w:val="000000" w:themeColor="text1"/>
                <w:kern w:val="0"/>
              </w:rPr>
              <w:t>7,85, darbinio tirpalo (0,5 %) – ne daugiau kaip 8,10;</w:t>
            </w:r>
          </w:p>
          <w:p w14:paraId="340DAA44" w14:textId="2187C64C" w:rsidR="00A364FD" w:rsidRPr="00C9585E" w:rsidRDefault="00A364FD" w:rsidP="00A364FD">
            <w:pPr>
              <w:contextualSpacing/>
              <w:jc w:val="both"/>
              <w:rPr>
                <w:rFonts w:eastAsia="Calibri"/>
                <w:color w:val="000000" w:themeColor="text1"/>
                <w:kern w:val="0"/>
              </w:rPr>
            </w:pPr>
            <w:r w:rsidRPr="00C9585E">
              <w:rPr>
                <w:rFonts w:eastAsia="Calibri"/>
                <w:color w:val="000000" w:themeColor="text1"/>
                <w:kern w:val="0"/>
              </w:rPr>
              <w:t>8. Medicininės paskirties produktas.</w:t>
            </w:r>
          </w:p>
        </w:tc>
        <w:tc>
          <w:tcPr>
            <w:tcW w:w="992" w:type="dxa"/>
          </w:tcPr>
          <w:p w14:paraId="0B49BD1C" w14:textId="77777777" w:rsidR="00A364FD" w:rsidRPr="00C9585E" w:rsidRDefault="00A364FD" w:rsidP="00A364FD">
            <w:pPr>
              <w:contextualSpacing/>
              <w:jc w:val="center"/>
              <w:rPr>
                <w:rFonts w:eastAsia="Calibri"/>
                <w:color w:val="000000" w:themeColor="text1"/>
                <w:kern w:val="0"/>
              </w:rPr>
            </w:pPr>
            <w:r w:rsidRPr="00C9585E">
              <w:rPr>
                <w:color w:val="000000" w:themeColor="text1"/>
              </w:rPr>
              <w:lastRenderedPageBreak/>
              <w:t>l</w:t>
            </w:r>
          </w:p>
        </w:tc>
        <w:tc>
          <w:tcPr>
            <w:tcW w:w="1560" w:type="dxa"/>
          </w:tcPr>
          <w:p w14:paraId="13401D0B" w14:textId="0A3DB19F" w:rsidR="00A364FD" w:rsidRPr="00C9585E" w:rsidRDefault="00013692" w:rsidP="00A364FD">
            <w:pPr>
              <w:contextualSpacing/>
              <w:jc w:val="center"/>
              <w:rPr>
                <w:color w:val="000000" w:themeColor="text1"/>
              </w:rPr>
            </w:pPr>
            <w:r w:rsidRPr="00C9585E">
              <w:rPr>
                <w:color w:val="000000" w:themeColor="text1"/>
              </w:rPr>
              <w:t>50</w:t>
            </w:r>
          </w:p>
        </w:tc>
        <w:tc>
          <w:tcPr>
            <w:tcW w:w="1275" w:type="dxa"/>
          </w:tcPr>
          <w:p w14:paraId="6023054C" w14:textId="0FE9B136" w:rsidR="00A364FD" w:rsidRPr="00C9585E" w:rsidRDefault="00A364FD" w:rsidP="00A364FD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374F6665" w14:textId="0AF7D13F" w:rsidR="00A364FD" w:rsidRPr="00C9585E" w:rsidRDefault="00A364FD" w:rsidP="00A364FD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550" w:type="dxa"/>
          </w:tcPr>
          <w:p w14:paraId="388F4852" w14:textId="77777777" w:rsidR="00A364FD" w:rsidRPr="00C9585E" w:rsidRDefault="00A364FD" w:rsidP="00A364FD">
            <w:pPr>
              <w:contextualSpacing/>
              <w:jc w:val="center"/>
              <w:rPr>
                <w:color w:val="000000" w:themeColor="text1"/>
              </w:rPr>
            </w:pPr>
          </w:p>
        </w:tc>
      </w:tr>
      <w:tr w:rsidR="008A484A" w:rsidRPr="0023611C" w14:paraId="2EFFB3A6" w14:textId="3BCB8D54" w:rsidTr="00861C47">
        <w:trPr>
          <w:trHeight w:val="666"/>
        </w:trPr>
        <w:tc>
          <w:tcPr>
            <w:tcW w:w="14883" w:type="dxa"/>
            <w:gridSpan w:val="8"/>
            <w:vAlign w:val="center"/>
          </w:tcPr>
          <w:p w14:paraId="0AF99102" w14:textId="622DD44E" w:rsidR="008A484A" w:rsidRPr="00C9585E" w:rsidRDefault="008A484A" w:rsidP="00A364FD">
            <w:pPr>
              <w:jc w:val="center"/>
              <w:rPr>
                <w:b/>
                <w:bCs/>
                <w:caps/>
                <w:color w:val="000000" w:themeColor="text1"/>
              </w:rPr>
            </w:pPr>
            <w:r w:rsidRPr="00C9585E">
              <w:rPr>
                <w:b/>
                <w:bCs/>
                <w:caps/>
                <w:color w:val="000000" w:themeColor="text1"/>
              </w:rPr>
              <w:t>II DALIS. Priemonės skirtos termolabilių medicininių instrumentų dezinfekcijai  automatinėse endoskopų plovimo mašinose „Olympus“</w:t>
            </w:r>
          </w:p>
        </w:tc>
      </w:tr>
      <w:tr w:rsidR="00A364FD" w:rsidRPr="0023611C" w14:paraId="14A896DB" w14:textId="437BD07A" w:rsidTr="000E3253">
        <w:tc>
          <w:tcPr>
            <w:tcW w:w="709" w:type="dxa"/>
          </w:tcPr>
          <w:p w14:paraId="229BC57E" w14:textId="77777777" w:rsidR="00A364FD" w:rsidRPr="00C9585E" w:rsidRDefault="00A364FD" w:rsidP="00A364FD">
            <w:pPr>
              <w:rPr>
                <w:caps/>
                <w:color w:val="000000" w:themeColor="text1"/>
              </w:rPr>
            </w:pPr>
            <w:r w:rsidRPr="00C9585E">
              <w:rPr>
                <w:caps/>
                <w:color w:val="000000" w:themeColor="text1"/>
              </w:rPr>
              <w:t>2.1.</w:t>
            </w:r>
          </w:p>
        </w:tc>
        <w:tc>
          <w:tcPr>
            <w:tcW w:w="1559" w:type="dxa"/>
          </w:tcPr>
          <w:p w14:paraId="4CF4329D" w14:textId="77777777" w:rsidR="00A364FD" w:rsidRPr="00C9585E" w:rsidRDefault="00A364FD" w:rsidP="00A364FD">
            <w:pPr>
              <w:rPr>
                <w:b/>
                <w:bCs/>
                <w:caps/>
                <w:color w:val="000000" w:themeColor="text1"/>
              </w:rPr>
            </w:pPr>
            <w:r w:rsidRPr="00C9585E">
              <w:rPr>
                <w:color w:val="000000" w:themeColor="text1"/>
              </w:rPr>
              <w:t>Dezinfekcijos priemonė, tinkanti OLYMPUS endoskopų plovimo dezinfekavimo mašinoms</w:t>
            </w:r>
          </w:p>
        </w:tc>
        <w:tc>
          <w:tcPr>
            <w:tcW w:w="4678" w:type="dxa"/>
            <w:vAlign w:val="center"/>
          </w:tcPr>
          <w:p w14:paraId="4F468195" w14:textId="77777777" w:rsidR="00A364FD" w:rsidRPr="00C9585E" w:rsidRDefault="00A364FD" w:rsidP="00A364FD">
            <w:pPr>
              <w:jc w:val="both"/>
              <w:rPr>
                <w:color w:val="000000" w:themeColor="text1"/>
              </w:rPr>
            </w:pPr>
            <w:r w:rsidRPr="00C9585E">
              <w:rPr>
                <w:color w:val="000000" w:themeColor="text1"/>
              </w:rPr>
              <w:t xml:space="preserve">1. Veikliosios medžiagos: vandenilio peroksido tirpalas 25 – 30 %, acto rūgštis 5 – 10 %, </w:t>
            </w:r>
            <w:proofErr w:type="spellStart"/>
            <w:r w:rsidRPr="00C9585E">
              <w:rPr>
                <w:color w:val="000000" w:themeColor="text1"/>
              </w:rPr>
              <w:t>peracto</w:t>
            </w:r>
            <w:proofErr w:type="spellEnd"/>
            <w:r w:rsidRPr="00C9585E">
              <w:rPr>
                <w:color w:val="000000" w:themeColor="text1"/>
              </w:rPr>
              <w:t xml:space="preserve"> rūgštis 2,5 – 5 %;</w:t>
            </w:r>
          </w:p>
          <w:p w14:paraId="5EE61515" w14:textId="77777777" w:rsidR="00A364FD" w:rsidRPr="00C9585E" w:rsidRDefault="00A364FD" w:rsidP="00A364FD">
            <w:pPr>
              <w:jc w:val="both"/>
              <w:rPr>
                <w:color w:val="000000" w:themeColor="text1"/>
              </w:rPr>
            </w:pPr>
            <w:r w:rsidRPr="00C9585E">
              <w:rPr>
                <w:color w:val="000000" w:themeColor="text1"/>
              </w:rPr>
              <w:t>2. Dozuojama siurblio pagalba: dozavimas 1,2 – 1,4 % (12 – 14 ml / l);</w:t>
            </w:r>
          </w:p>
          <w:p w14:paraId="3BC3AC4F" w14:textId="77777777" w:rsidR="00A364FD" w:rsidRPr="00C9585E" w:rsidRDefault="00A364FD" w:rsidP="00A364FD">
            <w:pPr>
              <w:jc w:val="both"/>
              <w:rPr>
                <w:color w:val="000000" w:themeColor="text1"/>
              </w:rPr>
            </w:pPr>
            <w:r w:rsidRPr="00C9585E">
              <w:rPr>
                <w:color w:val="000000" w:themeColor="text1"/>
              </w:rPr>
              <w:t xml:space="preserve">3. </w:t>
            </w:r>
            <w:r w:rsidRPr="00C9585E">
              <w:rPr>
                <w:color w:val="000000" w:themeColor="text1"/>
                <w:shd w:val="clear" w:color="auto" w:fill="FFFFFF" w:themeFill="background1"/>
              </w:rPr>
              <w:t>Flakono</w:t>
            </w:r>
            <w:r w:rsidRPr="00C9585E">
              <w:rPr>
                <w:color w:val="000000" w:themeColor="text1"/>
              </w:rPr>
              <w:t xml:space="preserve"> talpa – 2,8 l;</w:t>
            </w:r>
          </w:p>
          <w:p w14:paraId="5CB618D5" w14:textId="77777777" w:rsidR="00A364FD" w:rsidRPr="00C9585E" w:rsidRDefault="00A364FD" w:rsidP="00A364FD">
            <w:pPr>
              <w:jc w:val="both"/>
              <w:rPr>
                <w:color w:val="000000" w:themeColor="text1"/>
              </w:rPr>
            </w:pPr>
            <w:r w:rsidRPr="00C9585E">
              <w:rPr>
                <w:color w:val="000000" w:themeColor="text1"/>
              </w:rPr>
              <w:t>4. Temperatūra 35 °C;</w:t>
            </w:r>
          </w:p>
          <w:p w14:paraId="50E37DD1" w14:textId="77777777" w:rsidR="00A364FD" w:rsidRPr="00C9585E" w:rsidRDefault="00A364FD" w:rsidP="00A364FD">
            <w:pPr>
              <w:jc w:val="both"/>
              <w:rPr>
                <w:color w:val="000000" w:themeColor="text1"/>
              </w:rPr>
            </w:pPr>
            <w:r w:rsidRPr="00C9585E">
              <w:rPr>
                <w:color w:val="000000" w:themeColor="text1"/>
              </w:rPr>
              <w:t>5. Kontakto trukmė: ne daugiau kaip 5 min;</w:t>
            </w:r>
          </w:p>
          <w:p w14:paraId="425E9DFB" w14:textId="77777777" w:rsidR="00A364FD" w:rsidRPr="00C9585E" w:rsidRDefault="00A364FD" w:rsidP="00A364FD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C9585E">
              <w:rPr>
                <w:color w:val="000000" w:themeColor="text1"/>
              </w:rPr>
              <w:t xml:space="preserve">6. Siūloma priemonė turi būti įrašyta tarp </w:t>
            </w:r>
            <w:proofErr w:type="spellStart"/>
            <w:r w:rsidRPr="00C9585E">
              <w:rPr>
                <w:color w:val="000000" w:themeColor="text1"/>
              </w:rPr>
              <w:t>Olympus</w:t>
            </w:r>
            <w:proofErr w:type="spellEnd"/>
            <w:r w:rsidRPr="00C9585E">
              <w:rPr>
                <w:color w:val="000000" w:themeColor="text1"/>
              </w:rPr>
              <w:t xml:space="preserve"> endoskopų gamintojų rekomenduojamų naudoti priemonių. Pateikti tai patvirtinančius dokumentus.</w:t>
            </w:r>
          </w:p>
          <w:p w14:paraId="42DF84F8" w14:textId="77777777" w:rsidR="00A364FD" w:rsidRPr="00C9585E" w:rsidRDefault="00A364FD" w:rsidP="00A364FD">
            <w:pPr>
              <w:suppressAutoHyphens/>
              <w:autoSpaceDN w:val="0"/>
              <w:textAlignment w:val="baseline"/>
              <w:rPr>
                <w:color w:val="000000" w:themeColor="text1"/>
              </w:rPr>
            </w:pPr>
            <w:r w:rsidRPr="00C9585E">
              <w:rPr>
                <w:color w:val="000000" w:themeColor="text1"/>
              </w:rPr>
              <w:t>7. Aprašymas ir naudotojo instrukcija originalo ir lietuvių kalba;</w:t>
            </w:r>
          </w:p>
          <w:p w14:paraId="13FCEF52" w14:textId="77777777" w:rsidR="00A364FD" w:rsidRPr="00C9585E" w:rsidRDefault="00A364FD" w:rsidP="00A364FD">
            <w:pPr>
              <w:rPr>
                <w:b/>
                <w:bCs/>
                <w:caps/>
                <w:color w:val="000000" w:themeColor="text1"/>
              </w:rPr>
            </w:pPr>
            <w:r w:rsidRPr="00C9585E">
              <w:rPr>
                <w:color w:val="000000" w:themeColor="text1"/>
              </w:rPr>
              <w:t xml:space="preserve">8. Pakuotėje yra 3 </w:t>
            </w:r>
            <w:r w:rsidRPr="00C9585E">
              <w:rPr>
                <w:color w:val="000000" w:themeColor="text1"/>
                <w:shd w:val="clear" w:color="auto" w:fill="FFFFFF" w:themeFill="background1"/>
              </w:rPr>
              <w:t>flakonai</w:t>
            </w:r>
            <w:r w:rsidRPr="00C9585E">
              <w:rPr>
                <w:color w:val="000000" w:themeColor="text1"/>
              </w:rPr>
              <w:t>, viso 8,4 l.</w:t>
            </w:r>
          </w:p>
        </w:tc>
        <w:tc>
          <w:tcPr>
            <w:tcW w:w="992" w:type="dxa"/>
          </w:tcPr>
          <w:p w14:paraId="6975CC5E" w14:textId="77777777" w:rsidR="00A364FD" w:rsidRPr="00C9585E" w:rsidRDefault="00A364FD" w:rsidP="00A364FD">
            <w:pPr>
              <w:jc w:val="center"/>
              <w:rPr>
                <w:color w:val="000000" w:themeColor="text1"/>
              </w:rPr>
            </w:pPr>
            <w:proofErr w:type="spellStart"/>
            <w:r w:rsidRPr="00C9585E">
              <w:rPr>
                <w:color w:val="000000" w:themeColor="text1"/>
              </w:rPr>
              <w:t>fl</w:t>
            </w:r>
            <w:proofErr w:type="spellEnd"/>
          </w:p>
        </w:tc>
        <w:tc>
          <w:tcPr>
            <w:tcW w:w="1560" w:type="dxa"/>
          </w:tcPr>
          <w:p w14:paraId="2DF96A2D" w14:textId="52148850" w:rsidR="00A364FD" w:rsidRPr="00C9585E" w:rsidRDefault="00D3448B" w:rsidP="00A364FD">
            <w:pPr>
              <w:jc w:val="center"/>
              <w:rPr>
                <w:color w:val="000000" w:themeColor="text1"/>
              </w:rPr>
            </w:pPr>
            <w:r w:rsidRPr="00C9585E">
              <w:rPr>
                <w:color w:val="000000" w:themeColor="text1"/>
              </w:rPr>
              <w:t>195</w:t>
            </w:r>
          </w:p>
        </w:tc>
        <w:tc>
          <w:tcPr>
            <w:tcW w:w="1275" w:type="dxa"/>
          </w:tcPr>
          <w:p w14:paraId="74A7ADEC" w14:textId="73AC244C" w:rsidR="00A364FD" w:rsidRPr="00C9585E" w:rsidRDefault="00A364FD" w:rsidP="00A364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6909A8B7" w14:textId="6DD08C6A" w:rsidR="00A364FD" w:rsidRPr="00C9585E" w:rsidRDefault="00A364FD" w:rsidP="00A364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0" w:type="dxa"/>
          </w:tcPr>
          <w:p w14:paraId="7FF9C410" w14:textId="77777777" w:rsidR="00A364FD" w:rsidRPr="00C9585E" w:rsidRDefault="00A364FD" w:rsidP="00A364FD">
            <w:pPr>
              <w:jc w:val="center"/>
              <w:rPr>
                <w:color w:val="000000" w:themeColor="text1"/>
              </w:rPr>
            </w:pPr>
          </w:p>
        </w:tc>
      </w:tr>
      <w:tr w:rsidR="00A364FD" w:rsidRPr="0023611C" w14:paraId="52A27974" w14:textId="414A7EBC" w:rsidTr="000E3253">
        <w:tc>
          <w:tcPr>
            <w:tcW w:w="709" w:type="dxa"/>
          </w:tcPr>
          <w:p w14:paraId="22B01EFC" w14:textId="77777777" w:rsidR="00A364FD" w:rsidRPr="00C9585E" w:rsidRDefault="00A364FD" w:rsidP="00A364FD">
            <w:pPr>
              <w:rPr>
                <w:caps/>
                <w:color w:val="000000" w:themeColor="text1"/>
              </w:rPr>
            </w:pPr>
            <w:r w:rsidRPr="00C9585E">
              <w:rPr>
                <w:caps/>
                <w:color w:val="000000" w:themeColor="text1"/>
              </w:rPr>
              <w:t>2.2.</w:t>
            </w:r>
          </w:p>
        </w:tc>
        <w:tc>
          <w:tcPr>
            <w:tcW w:w="1559" w:type="dxa"/>
          </w:tcPr>
          <w:p w14:paraId="59A171B4" w14:textId="77777777" w:rsidR="00A364FD" w:rsidRPr="00C9585E" w:rsidRDefault="00A364FD" w:rsidP="00A364FD">
            <w:pPr>
              <w:rPr>
                <w:b/>
                <w:bCs/>
                <w:caps/>
                <w:color w:val="000000" w:themeColor="text1"/>
              </w:rPr>
            </w:pPr>
            <w:r w:rsidRPr="00C9585E">
              <w:rPr>
                <w:color w:val="000000" w:themeColor="text1"/>
              </w:rPr>
              <w:t xml:space="preserve">Aktyvatorius, tinkantis OLYMPUS endoskopų plovimo </w:t>
            </w:r>
            <w:r w:rsidRPr="00C9585E">
              <w:rPr>
                <w:color w:val="000000" w:themeColor="text1"/>
              </w:rPr>
              <w:lastRenderedPageBreak/>
              <w:t>dezinfekavimo mašinoms</w:t>
            </w:r>
          </w:p>
        </w:tc>
        <w:tc>
          <w:tcPr>
            <w:tcW w:w="4678" w:type="dxa"/>
            <w:vAlign w:val="center"/>
          </w:tcPr>
          <w:p w14:paraId="2193DD29" w14:textId="77777777" w:rsidR="00A364FD" w:rsidRPr="00C9585E" w:rsidRDefault="00A364FD" w:rsidP="00A364FD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C9585E">
              <w:rPr>
                <w:color w:val="000000" w:themeColor="text1"/>
              </w:rPr>
              <w:lastRenderedPageBreak/>
              <w:t>1. Veiklioji medžiaga: Natrio hidroksidas 2,5 – 5 %;</w:t>
            </w:r>
          </w:p>
          <w:p w14:paraId="40982E68" w14:textId="77777777" w:rsidR="00A364FD" w:rsidRPr="00C9585E" w:rsidRDefault="00A364FD" w:rsidP="00A364FD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C9585E">
              <w:rPr>
                <w:color w:val="000000" w:themeColor="text1"/>
              </w:rPr>
              <w:t>2. Dozuojama siurblio pagalba: dozavimas 1,2 – 1,4 % (12 – 14 ml / l);</w:t>
            </w:r>
          </w:p>
          <w:p w14:paraId="293934AF" w14:textId="77777777" w:rsidR="00A364FD" w:rsidRPr="00C9585E" w:rsidRDefault="00A364FD" w:rsidP="00A364FD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C9585E">
              <w:rPr>
                <w:color w:val="000000" w:themeColor="text1"/>
              </w:rPr>
              <w:t xml:space="preserve">3. </w:t>
            </w:r>
            <w:r w:rsidRPr="00C9585E">
              <w:rPr>
                <w:color w:val="000000" w:themeColor="text1"/>
                <w:shd w:val="clear" w:color="auto" w:fill="FFFFFF" w:themeFill="background1"/>
              </w:rPr>
              <w:t>Flakono</w:t>
            </w:r>
            <w:r w:rsidRPr="00C9585E">
              <w:rPr>
                <w:color w:val="000000" w:themeColor="text1"/>
              </w:rPr>
              <w:t xml:space="preserve"> talpa – 5 l;</w:t>
            </w:r>
          </w:p>
          <w:p w14:paraId="12A6DC71" w14:textId="77777777" w:rsidR="00A364FD" w:rsidRPr="00C9585E" w:rsidRDefault="00A364FD" w:rsidP="00A364FD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C9585E">
              <w:rPr>
                <w:color w:val="000000" w:themeColor="text1"/>
              </w:rPr>
              <w:lastRenderedPageBreak/>
              <w:t>4. Temperatūra 35 °C;</w:t>
            </w:r>
          </w:p>
          <w:p w14:paraId="26639DBD" w14:textId="77777777" w:rsidR="00A364FD" w:rsidRPr="00C9585E" w:rsidRDefault="00A364FD" w:rsidP="00A364FD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C9585E">
              <w:rPr>
                <w:color w:val="000000" w:themeColor="text1"/>
              </w:rPr>
              <w:t>5. Kontakto trukmė: ne daugiau kaip 5 min;</w:t>
            </w:r>
          </w:p>
          <w:p w14:paraId="56A72876" w14:textId="77777777" w:rsidR="00A364FD" w:rsidRPr="00C9585E" w:rsidRDefault="00A364FD" w:rsidP="00A364FD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C9585E">
              <w:rPr>
                <w:color w:val="000000" w:themeColor="text1"/>
              </w:rPr>
              <w:t xml:space="preserve">6. Siūloma priemonė turi būti įrašyta </w:t>
            </w:r>
            <w:proofErr w:type="spellStart"/>
            <w:r w:rsidRPr="00C9585E">
              <w:rPr>
                <w:color w:val="000000" w:themeColor="text1"/>
              </w:rPr>
              <w:t>įrašyta</w:t>
            </w:r>
            <w:proofErr w:type="spellEnd"/>
            <w:r w:rsidRPr="00C9585E">
              <w:rPr>
                <w:color w:val="000000" w:themeColor="text1"/>
              </w:rPr>
              <w:t xml:space="preserve"> tarp </w:t>
            </w:r>
            <w:proofErr w:type="spellStart"/>
            <w:r w:rsidRPr="00C9585E">
              <w:rPr>
                <w:color w:val="000000" w:themeColor="text1"/>
              </w:rPr>
              <w:t>Olympus</w:t>
            </w:r>
            <w:proofErr w:type="spellEnd"/>
            <w:r w:rsidRPr="00C9585E">
              <w:rPr>
                <w:color w:val="000000" w:themeColor="text1"/>
              </w:rPr>
              <w:t xml:space="preserve"> endoskopų gamintojų rekomenduojamų naudoti priemonių. Pateikti tai patvirtinančius dokumentus;</w:t>
            </w:r>
          </w:p>
          <w:p w14:paraId="65C817AC" w14:textId="77777777" w:rsidR="00A364FD" w:rsidRPr="00C9585E" w:rsidRDefault="00A364FD" w:rsidP="00A364FD">
            <w:pPr>
              <w:shd w:val="clear" w:color="auto" w:fill="FFFFFF" w:themeFill="background1"/>
              <w:suppressAutoHyphens/>
              <w:autoSpaceDN w:val="0"/>
              <w:jc w:val="both"/>
              <w:textAlignment w:val="baseline"/>
              <w:rPr>
                <w:color w:val="000000" w:themeColor="text1"/>
              </w:rPr>
            </w:pPr>
            <w:r w:rsidRPr="00C9585E">
              <w:rPr>
                <w:color w:val="000000" w:themeColor="text1"/>
              </w:rPr>
              <w:t>7. Aprašymas ir naudotojo instrukcija originalo ir lietuvių kalba;</w:t>
            </w:r>
          </w:p>
          <w:p w14:paraId="48411566" w14:textId="77777777" w:rsidR="00A364FD" w:rsidRPr="00C9585E" w:rsidRDefault="00A364FD" w:rsidP="00A364FD">
            <w:pPr>
              <w:shd w:val="clear" w:color="auto" w:fill="FFFFFF" w:themeFill="background1"/>
              <w:jc w:val="both"/>
              <w:rPr>
                <w:b/>
                <w:bCs/>
                <w:caps/>
                <w:color w:val="000000" w:themeColor="text1"/>
              </w:rPr>
            </w:pPr>
            <w:r w:rsidRPr="00C9585E">
              <w:rPr>
                <w:color w:val="000000" w:themeColor="text1"/>
              </w:rPr>
              <w:t xml:space="preserve">8. Pakuotėje yra 3 </w:t>
            </w:r>
            <w:r w:rsidRPr="00C9585E">
              <w:rPr>
                <w:color w:val="000000" w:themeColor="text1"/>
                <w:shd w:val="clear" w:color="auto" w:fill="FFFFFF" w:themeFill="background1"/>
              </w:rPr>
              <w:t>flakonai</w:t>
            </w:r>
            <w:r w:rsidRPr="00C9585E">
              <w:rPr>
                <w:color w:val="000000" w:themeColor="text1"/>
              </w:rPr>
              <w:t>, viso 15 l.</w:t>
            </w:r>
          </w:p>
        </w:tc>
        <w:tc>
          <w:tcPr>
            <w:tcW w:w="992" w:type="dxa"/>
          </w:tcPr>
          <w:p w14:paraId="03DEC3D3" w14:textId="77777777" w:rsidR="00A364FD" w:rsidRPr="00C9585E" w:rsidRDefault="00A364FD" w:rsidP="00A364FD">
            <w:pPr>
              <w:jc w:val="center"/>
              <w:rPr>
                <w:color w:val="000000" w:themeColor="text1"/>
              </w:rPr>
            </w:pPr>
            <w:proofErr w:type="spellStart"/>
            <w:r w:rsidRPr="00C9585E">
              <w:rPr>
                <w:color w:val="000000" w:themeColor="text1"/>
              </w:rPr>
              <w:lastRenderedPageBreak/>
              <w:t>fl</w:t>
            </w:r>
            <w:proofErr w:type="spellEnd"/>
          </w:p>
        </w:tc>
        <w:tc>
          <w:tcPr>
            <w:tcW w:w="1560" w:type="dxa"/>
          </w:tcPr>
          <w:p w14:paraId="330F41C8" w14:textId="069DEBD9" w:rsidR="00A364FD" w:rsidRPr="00C9585E" w:rsidRDefault="008A484A" w:rsidP="00A364FD">
            <w:pPr>
              <w:jc w:val="center"/>
              <w:rPr>
                <w:color w:val="000000" w:themeColor="text1"/>
              </w:rPr>
            </w:pPr>
            <w:r w:rsidRPr="00C9585E">
              <w:rPr>
                <w:color w:val="000000" w:themeColor="text1"/>
              </w:rPr>
              <w:t>120</w:t>
            </w:r>
          </w:p>
        </w:tc>
        <w:tc>
          <w:tcPr>
            <w:tcW w:w="1275" w:type="dxa"/>
          </w:tcPr>
          <w:p w14:paraId="419882B9" w14:textId="0E782AD1" w:rsidR="00A364FD" w:rsidRPr="00C9585E" w:rsidRDefault="00A364FD" w:rsidP="00A364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7FE8CE5E" w14:textId="6DF7417E" w:rsidR="00A364FD" w:rsidRPr="00C9585E" w:rsidRDefault="00A364FD" w:rsidP="00A364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0" w:type="dxa"/>
          </w:tcPr>
          <w:p w14:paraId="61ECBC40" w14:textId="77777777" w:rsidR="00A364FD" w:rsidRPr="00C9585E" w:rsidRDefault="00A364FD" w:rsidP="00A364FD">
            <w:pPr>
              <w:jc w:val="center"/>
              <w:rPr>
                <w:color w:val="000000" w:themeColor="text1"/>
              </w:rPr>
            </w:pPr>
          </w:p>
        </w:tc>
      </w:tr>
      <w:tr w:rsidR="00A364FD" w:rsidRPr="0023611C" w14:paraId="086DA700" w14:textId="68EF254C" w:rsidTr="000E3253">
        <w:tc>
          <w:tcPr>
            <w:tcW w:w="709" w:type="dxa"/>
          </w:tcPr>
          <w:p w14:paraId="3E1A3D45" w14:textId="77777777" w:rsidR="00A364FD" w:rsidRPr="00C9585E" w:rsidRDefault="00A364FD" w:rsidP="00A364FD">
            <w:pPr>
              <w:rPr>
                <w:caps/>
                <w:color w:val="000000" w:themeColor="text1"/>
              </w:rPr>
            </w:pPr>
            <w:r w:rsidRPr="00C9585E">
              <w:rPr>
                <w:caps/>
                <w:color w:val="000000" w:themeColor="text1"/>
              </w:rPr>
              <w:t>2.3.</w:t>
            </w:r>
          </w:p>
        </w:tc>
        <w:tc>
          <w:tcPr>
            <w:tcW w:w="1559" w:type="dxa"/>
          </w:tcPr>
          <w:p w14:paraId="0FAD49A6" w14:textId="77777777" w:rsidR="00A364FD" w:rsidRPr="00C9585E" w:rsidRDefault="00A364FD" w:rsidP="00A364FD">
            <w:pPr>
              <w:rPr>
                <w:b/>
                <w:bCs/>
                <w:caps/>
                <w:color w:val="000000" w:themeColor="text1"/>
              </w:rPr>
            </w:pPr>
            <w:r w:rsidRPr="00C9585E">
              <w:rPr>
                <w:color w:val="000000" w:themeColor="text1"/>
              </w:rPr>
              <w:t>Ploviklis, tinkantis OLYMPUS endoskopų plovimo dezinfekavimo mašinoms</w:t>
            </w:r>
          </w:p>
        </w:tc>
        <w:tc>
          <w:tcPr>
            <w:tcW w:w="4678" w:type="dxa"/>
            <w:vAlign w:val="center"/>
          </w:tcPr>
          <w:p w14:paraId="05EF2705" w14:textId="77777777" w:rsidR="00A364FD" w:rsidRPr="00C9585E" w:rsidRDefault="00A364FD" w:rsidP="00A364FD">
            <w:pPr>
              <w:jc w:val="both"/>
              <w:rPr>
                <w:color w:val="000000" w:themeColor="text1"/>
              </w:rPr>
            </w:pPr>
            <w:r w:rsidRPr="00C9585E">
              <w:rPr>
                <w:color w:val="000000" w:themeColor="text1"/>
              </w:rPr>
              <w:t xml:space="preserve">1. Veikliosios  medžiagos:  riebiųjų alkoholių </w:t>
            </w:r>
            <w:proofErr w:type="spellStart"/>
            <w:r w:rsidRPr="00C9585E">
              <w:rPr>
                <w:color w:val="000000" w:themeColor="text1"/>
              </w:rPr>
              <w:t>etoksilatai</w:t>
            </w:r>
            <w:proofErr w:type="spellEnd"/>
            <w:r w:rsidRPr="00C9585E">
              <w:rPr>
                <w:color w:val="000000" w:themeColor="text1"/>
              </w:rPr>
              <w:t xml:space="preserve"> 5 – 10 %, </w:t>
            </w:r>
            <w:proofErr w:type="spellStart"/>
            <w:r w:rsidRPr="00C9585E">
              <w:rPr>
                <w:color w:val="000000" w:themeColor="text1"/>
              </w:rPr>
              <w:t>etanolaminai</w:t>
            </w:r>
            <w:proofErr w:type="spellEnd"/>
            <w:r w:rsidRPr="00C9585E">
              <w:rPr>
                <w:color w:val="000000" w:themeColor="text1"/>
              </w:rPr>
              <w:t xml:space="preserve"> 5-10%, </w:t>
            </w:r>
            <w:proofErr w:type="spellStart"/>
            <w:r w:rsidRPr="00C9585E">
              <w:rPr>
                <w:color w:val="000000" w:themeColor="text1"/>
              </w:rPr>
              <w:t>propilenglikoliai</w:t>
            </w:r>
            <w:proofErr w:type="spellEnd"/>
            <w:r w:rsidRPr="00C9585E">
              <w:rPr>
                <w:color w:val="000000" w:themeColor="text1"/>
              </w:rPr>
              <w:t xml:space="preserve"> 2,5 – 5 %, natrio </w:t>
            </w:r>
            <w:proofErr w:type="spellStart"/>
            <w:r w:rsidRPr="00C9585E">
              <w:rPr>
                <w:color w:val="000000" w:themeColor="text1"/>
              </w:rPr>
              <w:t>kumensulfonatas</w:t>
            </w:r>
            <w:proofErr w:type="spellEnd"/>
            <w:r w:rsidRPr="00C9585E">
              <w:rPr>
                <w:color w:val="000000" w:themeColor="text1"/>
              </w:rPr>
              <w:t xml:space="preserve"> 3 – 5 %;</w:t>
            </w:r>
          </w:p>
          <w:p w14:paraId="42B8A9C2" w14:textId="77777777" w:rsidR="00A364FD" w:rsidRPr="00C9585E" w:rsidRDefault="00A364FD" w:rsidP="00A364FD">
            <w:pPr>
              <w:jc w:val="both"/>
              <w:rPr>
                <w:color w:val="000000" w:themeColor="text1"/>
              </w:rPr>
            </w:pPr>
            <w:r w:rsidRPr="00C9585E">
              <w:rPr>
                <w:color w:val="000000" w:themeColor="text1"/>
              </w:rPr>
              <w:t>2. Dozuojama siurblio pagalba: dozavimas 0,6 – 0,7 % (6 - 7 ml / l);</w:t>
            </w:r>
          </w:p>
          <w:p w14:paraId="41554122" w14:textId="77777777" w:rsidR="00A364FD" w:rsidRPr="00C9585E" w:rsidRDefault="00A364FD" w:rsidP="00A364FD">
            <w:pPr>
              <w:jc w:val="both"/>
              <w:rPr>
                <w:color w:val="000000" w:themeColor="text1"/>
              </w:rPr>
            </w:pPr>
            <w:r w:rsidRPr="00C9585E">
              <w:rPr>
                <w:color w:val="000000" w:themeColor="text1"/>
              </w:rPr>
              <w:t xml:space="preserve">3. </w:t>
            </w:r>
            <w:r w:rsidRPr="00C9585E">
              <w:rPr>
                <w:color w:val="000000" w:themeColor="text1"/>
                <w:shd w:val="clear" w:color="auto" w:fill="FFFFFF" w:themeFill="background1"/>
              </w:rPr>
              <w:t>Flakono</w:t>
            </w:r>
            <w:r w:rsidRPr="00C9585E">
              <w:rPr>
                <w:color w:val="000000" w:themeColor="text1"/>
              </w:rPr>
              <w:t xml:space="preserve"> talpa – 5 l;</w:t>
            </w:r>
          </w:p>
          <w:p w14:paraId="7EB07E07" w14:textId="77777777" w:rsidR="00A364FD" w:rsidRPr="00C9585E" w:rsidRDefault="00A364FD" w:rsidP="00A364FD">
            <w:pPr>
              <w:jc w:val="both"/>
              <w:rPr>
                <w:color w:val="000000" w:themeColor="text1"/>
              </w:rPr>
            </w:pPr>
            <w:r w:rsidRPr="00C9585E">
              <w:rPr>
                <w:color w:val="000000" w:themeColor="text1"/>
              </w:rPr>
              <w:t>4. Temperatūra 35 °C;</w:t>
            </w:r>
          </w:p>
          <w:p w14:paraId="53DFDA16" w14:textId="77777777" w:rsidR="00A364FD" w:rsidRPr="00C9585E" w:rsidRDefault="00A364FD" w:rsidP="00A364FD">
            <w:pPr>
              <w:jc w:val="both"/>
              <w:rPr>
                <w:color w:val="000000" w:themeColor="text1"/>
              </w:rPr>
            </w:pPr>
            <w:r w:rsidRPr="00C9585E">
              <w:rPr>
                <w:color w:val="000000" w:themeColor="text1"/>
              </w:rPr>
              <w:t>5. Kontakto trukmė: ne daugiau kaip 3 min;</w:t>
            </w:r>
          </w:p>
          <w:p w14:paraId="4DBE6E76" w14:textId="77777777" w:rsidR="00A364FD" w:rsidRPr="00C9585E" w:rsidRDefault="00A364FD" w:rsidP="00A364FD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C9585E">
              <w:rPr>
                <w:color w:val="000000" w:themeColor="text1"/>
              </w:rPr>
              <w:t xml:space="preserve">6. Siūloma priemonė turi būti įrašyta tarp </w:t>
            </w:r>
            <w:proofErr w:type="spellStart"/>
            <w:r w:rsidRPr="00C9585E">
              <w:rPr>
                <w:color w:val="000000" w:themeColor="text1"/>
              </w:rPr>
              <w:t>Olympus</w:t>
            </w:r>
            <w:proofErr w:type="spellEnd"/>
            <w:r w:rsidRPr="00C9585E">
              <w:rPr>
                <w:color w:val="000000" w:themeColor="text1"/>
              </w:rPr>
              <w:t xml:space="preserve"> endoskopų gamintojų rekomenduojamų naudoti priemonių. Pateikti tai patvirtinančius dokumentus;</w:t>
            </w:r>
          </w:p>
          <w:p w14:paraId="1DA070FF" w14:textId="77777777" w:rsidR="00A364FD" w:rsidRPr="00C9585E" w:rsidRDefault="00A364FD" w:rsidP="00A364FD">
            <w:pPr>
              <w:suppressAutoHyphens/>
              <w:autoSpaceDN w:val="0"/>
              <w:jc w:val="both"/>
              <w:textAlignment w:val="baseline"/>
              <w:rPr>
                <w:color w:val="000000" w:themeColor="text1"/>
              </w:rPr>
            </w:pPr>
            <w:r w:rsidRPr="00C9585E">
              <w:rPr>
                <w:color w:val="000000" w:themeColor="text1"/>
              </w:rPr>
              <w:t>7. Aprašymas ir naudotojo instrukcija originalo ir lietuvių kalba;</w:t>
            </w:r>
          </w:p>
          <w:p w14:paraId="2F1BAF18" w14:textId="77777777" w:rsidR="00A364FD" w:rsidRPr="00C9585E" w:rsidRDefault="00A364FD" w:rsidP="00A364FD">
            <w:pPr>
              <w:jc w:val="both"/>
              <w:rPr>
                <w:b/>
                <w:bCs/>
                <w:caps/>
                <w:color w:val="000000" w:themeColor="text1"/>
              </w:rPr>
            </w:pPr>
            <w:r w:rsidRPr="00C9585E">
              <w:rPr>
                <w:color w:val="000000" w:themeColor="text1"/>
              </w:rPr>
              <w:t xml:space="preserve">8. Pakuotėje yra 3 </w:t>
            </w:r>
            <w:r w:rsidRPr="00C9585E">
              <w:rPr>
                <w:color w:val="000000" w:themeColor="text1"/>
                <w:shd w:val="clear" w:color="auto" w:fill="FFFFFF" w:themeFill="background1"/>
              </w:rPr>
              <w:t>flakonai</w:t>
            </w:r>
            <w:r w:rsidRPr="00C9585E">
              <w:rPr>
                <w:color w:val="000000" w:themeColor="text1"/>
              </w:rPr>
              <w:t>, viso 15 l.</w:t>
            </w:r>
          </w:p>
        </w:tc>
        <w:tc>
          <w:tcPr>
            <w:tcW w:w="992" w:type="dxa"/>
          </w:tcPr>
          <w:p w14:paraId="5418F7FF" w14:textId="77777777" w:rsidR="00A364FD" w:rsidRPr="00C9585E" w:rsidRDefault="00A364FD" w:rsidP="00A364FD">
            <w:pPr>
              <w:jc w:val="center"/>
              <w:rPr>
                <w:color w:val="000000" w:themeColor="text1"/>
              </w:rPr>
            </w:pPr>
            <w:proofErr w:type="spellStart"/>
            <w:r w:rsidRPr="00C9585E">
              <w:rPr>
                <w:color w:val="000000" w:themeColor="text1"/>
              </w:rPr>
              <w:t>fl</w:t>
            </w:r>
            <w:proofErr w:type="spellEnd"/>
          </w:p>
        </w:tc>
        <w:tc>
          <w:tcPr>
            <w:tcW w:w="1560" w:type="dxa"/>
          </w:tcPr>
          <w:p w14:paraId="4CCEB1DB" w14:textId="393D88F4" w:rsidR="00A364FD" w:rsidRPr="00C9585E" w:rsidRDefault="008A484A" w:rsidP="00A364FD">
            <w:pPr>
              <w:jc w:val="center"/>
              <w:rPr>
                <w:color w:val="000000" w:themeColor="text1"/>
              </w:rPr>
            </w:pPr>
            <w:r w:rsidRPr="00C9585E">
              <w:rPr>
                <w:color w:val="000000" w:themeColor="text1"/>
              </w:rPr>
              <w:t>105</w:t>
            </w:r>
          </w:p>
        </w:tc>
        <w:tc>
          <w:tcPr>
            <w:tcW w:w="1275" w:type="dxa"/>
          </w:tcPr>
          <w:p w14:paraId="23E0EF74" w14:textId="7BCB998D" w:rsidR="00A364FD" w:rsidRPr="00C9585E" w:rsidRDefault="00A364FD" w:rsidP="00A364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223ED5B9" w14:textId="34971A83" w:rsidR="00A364FD" w:rsidRPr="00C9585E" w:rsidRDefault="00A364FD" w:rsidP="00A364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0" w:type="dxa"/>
          </w:tcPr>
          <w:p w14:paraId="3976B20C" w14:textId="77777777" w:rsidR="00A364FD" w:rsidRPr="00C9585E" w:rsidRDefault="00A364FD" w:rsidP="00A364FD">
            <w:pPr>
              <w:jc w:val="center"/>
              <w:rPr>
                <w:color w:val="000000" w:themeColor="text1"/>
              </w:rPr>
            </w:pPr>
          </w:p>
        </w:tc>
      </w:tr>
    </w:tbl>
    <w:p w14:paraId="71AC53FC" w14:textId="77777777" w:rsidR="004C24AD" w:rsidRPr="0023611C" w:rsidRDefault="004C24AD" w:rsidP="001C2996">
      <w:pPr>
        <w:rPr>
          <w:color w:val="000000" w:themeColor="text1"/>
          <w:sz w:val="22"/>
          <w:szCs w:val="22"/>
        </w:rPr>
      </w:pPr>
    </w:p>
    <w:sectPr w:rsidR="004C24AD" w:rsidRPr="0023611C" w:rsidSect="004C24AD">
      <w:headerReference w:type="default" r:id="rId10"/>
      <w:pgSz w:w="16838" w:h="11906" w:orient="landscape"/>
      <w:pgMar w:top="1134" w:right="567" w:bottom="1134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49BE0" w14:textId="77777777" w:rsidR="00EC5ACF" w:rsidRDefault="00EC5ACF" w:rsidP="00F441E2">
      <w:r>
        <w:separator/>
      </w:r>
    </w:p>
  </w:endnote>
  <w:endnote w:type="continuationSeparator" w:id="0">
    <w:p w14:paraId="6F8719D5" w14:textId="77777777" w:rsidR="00EC5ACF" w:rsidRDefault="00EC5ACF" w:rsidP="00F441E2">
      <w:r>
        <w:continuationSeparator/>
      </w:r>
    </w:p>
  </w:endnote>
  <w:endnote w:type="continuationNotice" w:id="1">
    <w:p w14:paraId="1B4E40E9" w14:textId="77777777" w:rsidR="00EC5ACF" w:rsidRDefault="00EC5A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3E908" w14:textId="77777777" w:rsidR="00EC5ACF" w:rsidRDefault="00EC5ACF" w:rsidP="00F441E2">
      <w:r>
        <w:separator/>
      </w:r>
    </w:p>
  </w:footnote>
  <w:footnote w:type="continuationSeparator" w:id="0">
    <w:p w14:paraId="6E6FFF4B" w14:textId="77777777" w:rsidR="00EC5ACF" w:rsidRDefault="00EC5ACF" w:rsidP="00F441E2">
      <w:r>
        <w:continuationSeparator/>
      </w:r>
    </w:p>
  </w:footnote>
  <w:footnote w:type="continuationNotice" w:id="1">
    <w:p w14:paraId="2FD96839" w14:textId="77777777" w:rsidR="00EC5ACF" w:rsidRDefault="00EC5A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53334" w14:textId="77777777" w:rsidR="00F441E2" w:rsidRDefault="00F441E2">
    <w:pPr>
      <w:pStyle w:val="Antrats"/>
    </w:pPr>
  </w:p>
  <w:p w14:paraId="3DC9FDF3" w14:textId="77777777" w:rsidR="00F441E2" w:rsidRDefault="00F441E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05B0A"/>
    <w:multiLevelType w:val="multilevel"/>
    <w:tmpl w:val="95E2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243F00"/>
    <w:multiLevelType w:val="hybridMultilevel"/>
    <w:tmpl w:val="A31609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C7D61"/>
    <w:multiLevelType w:val="multilevel"/>
    <w:tmpl w:val="02FC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DA08E0"/>
    <w:multiLevelType w:val="hybridMultilevel"/>
    <w:tmpl w:val="A4D299B6"/>
    <w:lvl w:ilvl="0" w:tplc="4D308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5561F"/>
    <w:multiLevelType w:val="multilevel"/>
    <w:tmpl w:val="470C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343BC5"/>
    <w:multiLevelType w:val="multilevel"/>
    <w:tmpl w:val="95568F3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74EF8"/>
    <w:multiLevelType w:val="hybridMultilevel"/>
    <w:tmpl w:val="CB8AF8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0736A"/>
    <w:multiLevelType w:val="multilevel"/>
    <w:tmpl w:val="F95A9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7D64E9"/>
    <w:multiLevelType w:val="hybridMultilevel"/>
    <w:tmpl w:val="A4D299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F31F1"/>
    <w:multiLevelType w:val="multilevel"/>
    <w:tmpl w:val="71F2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6622C4"/>
    <w:multiLevelType w:val="multilevel"/>
    <w:tmpl w:val="D3920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130782">
    <w:abstractNumId w:val="5"/>
  </w:num>
  <w:num w:numId="2" w16cid:durableId="40715752">
    <w:abstractNumId w:val="3"/>
  </w:num>
  <w:num w:numId="3" w16cid:durableId="1164786746">
    <w:abstractNumId w:val="1"/>
  </w:num>
  <w:num w:numId="4" w16cid:durableId="1905606473">
    <w:abstractNumId w:val="8"/>
  </w:num>
  <w:num w:numId="5" w16cid:durableId="2075078040">
    <w:abstractNumId w:val="2"/>
  </w:num>
  <w:num w:numId="6" w16cid:durableId="222721391">
    <w:abstractNumId w:val="4"/>
  </w:num>
  <w:num w:numId="7" w16cid:durableId="2072192253">
    <w:abstractNumId w:val="9"/>
  </w:num>
  <w:num w:numId="8" w16cid:durableId="27413636">
    <w:abstractNumId w:val="0"/>
  </w:num>
  <w:num w:numId="9" w16cid:durableId="1780834488">
    <w:abstractNumId w:val="7"/>
  </w:num>
  <w:num w:numId="10" w16cid:durableId="1430540211">
    <w:abstractNumId w:val="10"/>
  </w:num>
  <w:num w:numId="11" w16cid:durableId="21313206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0E8"/>
    <w:rsid w:val="00011163"/>
    <w:rsid w:val="000129D4"/>
    <w:rsid w:val="00013692"/>
    <w:rsid w:val="000151E9"/>
    <w:rsid w:val="000216A7"/>
    <w:rsid w:val="00024514"/>
    <w:rsid w:val="000403CE"/>
    <w:rsid w:val="0005593D"/>
    <w:rsid w:val="00097F4B"/>
    <w:rsid w:val="000A3CCC"/>
    <w:rsid w:val="000A7AE5"/>
    <w:rsid w:val="000C134D"/>
    <w:rsid w:val="000C7844"/>
    <w:rsid w:val="000D21DB"/>
    <w:rsid w:val="000D424F"/>
    <w:rsid w:val="000D5B73"/>
    <w:rsid w:val="000E3253"/>
    <w:rsid w:val="000F1C3E"/>
    <w:rsid w:val="000F3F34"/>
    <w:rsid w:val="000F4A95"/>
    <w:rsid w:val="000F58AA"/>
    <w:rsid w:val="00106444"/>
    <w:rsid w:val="0010683A"/>
    <w:rsid w:val="001106C8"/>
    <w:rsid w:val="001348C1"/>
    <w:rsid w:val="00150F74"/>
    <w:rsid w:val="00164897"/>
    <w:rsid w:val="00172862"/>
    <w:rsid w:val="00186A38"/>
    <w:rsid w:val="0019242E"/>
    <w:rsid w:val="001954D0"/>
    <w:rsid w:val="0019664F"/>
    <w:rsid w:val="001A02C1"/>
    <w:rsid w:val="001A1583"/>
    <w:rsid w:val="001A7EA1"/>
    <w:rsid w:val="001C2996"/>
    <w:rsid w:val="001C2FCB"/>
    <w:rsid w:val="001D17B0"/>
    <w:rsid w:val="001D1891"/>
    <w:rsid w:val="001D3F9E"/>
    <w:rsid w:val="001E5BF2"/>
    <w:rsid w:val="001F3EAC"/>
    <w:rsid w:val="00201937"/>
    <w:rsid w:val="002222A8"/>
    <w:rsid w:val="00224093"/>
    <w:rsid w:val="002255BB"/>
    <w:rsid w:val="0023611C"/>
    <w:rsid w:val="00236BAB"/>
    <w:rsid w:val="002445E2"/>
    <w:rsid w:val="002520E8"/>
    <w:rsid w:val="00252EF5"/>
    <w:rsid w:val="002553DA"/>
    <w:rsid w:val="0026326A"/>
    <w:rsid w:val="0027368B"/>
    <w:rsid w:val="00281F2C"/>
    <w:rsid w:val="0028317C"/>
    <w:rsid w:val="00285C7D"/>
    <w:rsid w:val="002941DC"/>
    <w:rsid w:val="002A5353"/>
    <w:rsid w:val="002B462B"/>
    <w:rsid w:val="002C4B0E"/>
    <w:rsid w:val="002D266B"/>
    <w:rsid w:val="002E2085"/>
    <w:rsid w:val="002E2F44"/>
    <w:rsid w:val="002E52D1"/>
    <w:rsid w:val="002E6DEE"/>
    <w:rsid w:val="002F0464"/>
    <w:rsid w:val="002F3F7F"/>
    <w:rsid w:val="003009F7"/>
    <w:rsid w:val="00302A94"/>
    <w:rsid w:val="003031E9"/>
    <w:rsid w:val="0030470E"/>
    <w:rsid w:val="003066FD"/>
    <w:rsid w:val="00306DBD"/>
    <w:rsid w:val="00313A0C"/>
    <w:rsid w:val="00314AFD"/>
    <w:rsid w:val="0032220C"/>
    <w:rsid w:val="00330873"/>
    <w:rsid w:val="003359F7"/>
    <w:rsid w:val="00336CF9"/>
    <w:rsid w:val="0034285C"/>
    <w:rsid w:val="00352A67"/>
    <w:rsid w:val="00353685"/>
    <w:rsid w:val="00354E03"/>
    <w:rsid w:val="00356EEA"/>
    <w:rsid w:val="00363336"/>
    <w:rsid w:val="00364C97"/>
    <w:rsid w:val="00366C64"/>
    <w:rsid w:val="003703D4"/>
    <w:rsid w:val="0037455D"/>
    <w:rsid w:val="003837A6"/>
    <w:rsid w:val="00386C60"/>
    <w:rsid w:val="00386F92"/>
    <w:rsid w:val="00394890"/>
    <w:rsid w:val="00395CA4"/>
    <w:rsid w:val="00396E55"/>
    <w:rsid w:val="00397B7E"/>
    <w:rsid w:val="003A540A"/>
    <w:rsid w:val="003A64CD"/>
    <w:rsid w:val="003B1624"/>
    <w:rsid w:val="003B69C7"/>
    <w:rsid w:val="003D040D"/>
    <w:rsid w:val="003D15BE"/>
    <w:rsid w:val="003D31E5"/>
    <w:rsid w:val="003E7D2D"/>
    <w:rsid w:val="003F1A9C"/>
    <w:rsid w:val="003F326A"/>
    <w:rsid w:val="003F5E09"/>
    <w:rsid w:val="003F6172"/>
    <w:rsid w:val="00402219"/>
    <w:rsid w:val="00405810"/>
    <w:rsid w:val="00414DE7"/>
    <w:rsid w:val="00415F4F"/>
    <w:rsid w:val="00421131"/>
    <w:rsid w:val="00423A1A"/>
    <w:rsid w:val="00430B3C"/>
    <w:rsid w:val="00435A81"/>
    <w:rsid w:val="00445AF0"/>
    <w:rsid w:val="00451D84"/>
    <w:rsid w:val="00453B31"/>
    <w:rsid w:val="00454F00"/>
    <w:rsid w:val="004650B0"/>
    <w:rsid w:val="00476624"/>
    <w:rsid w:val="00482A61"/>
    <w:rsid w:val="0048336F"/>
    <w:rsid w:val="0048453B"/>
    <w:rsid w:val="004866C7"/>
    <w:rsid w:val="004915F2"/>
    <w:rsid w:val="004B792E"/>
    <w:rsid w:val="004C24AD"/>
    <w:rsid w:val="004C27AC"/>
    <w:rsid w:val="004C75D1"/>
    <w:rsid w:val="004D0854"/>
    <w:rsid w:val="004D6FEF"/>
    <w:rsid w:val="004E434E"/>
    <w:rsid w:val="0051515E"/>
    <w:rsid w:val="005202BF"/>
    <w:rsid w:val="00524650"/>
    <w:rsid w:val="00531DDA"/>
    <w:rsid w:val="00552086"/>
    <w:rsid w:val="00557FBF"/>
    <w:rsid w:val="00573414"/>
    <w:rsid w:val="00574FD3"/>
    <w:rsid w:val="00583061"/>
    <w:rsid w:val="005844AF"/>
    <w:rsid w:val="00587DC0"/>
    <w:rsid w:val="00592E14"/>
    <w:rsid w:val="005965AD"/>
    <w:rsid w:val="00597F43"/>
    <w:rsid w:val="005A56A2"/>
    <w:rsid w:val="005A7174"/>
    <w:rsid w:val="005B5AB6"/>
    <w:rsid w:val="005B6797"/>
    <w:rsid w:val="005B7176"/>
    <w:rsid w:val="005D2F16"/>
    <w:rsid w:val="005E0DB8"/>
    <w:rsid w:val="005E1018"/>
    <w:rsid w:val="005E482A"/>
    <w:rsid w:val="005E6DCE"/>
    <w:rsid w:val="005F2A4E"/>
    <w:rsid w:val="005F3DB1"/>
    <w:rsid w:val="005F4A0C"/>
    <w:rsid w:val="005F6026"/>
    <w:rsid w:val="00606FAE"/>
    <w:rsid w:val="00626B03"/>
    <w:rsid w:val="00632FE2"/>
    <w:rsid w:val="00634676"/>
    <w:rsid w:val="00640B40"/>
    <w:rsid w:val="00641061"/>
    <w:rsid w:val="00642027"/>
    <w:rsid w:val="00646C31"/>
    <w:rsid w:val="00652421"/>
    <w:rsid w:val="006527D6"/>
    <w:rsid w:val="00653789"/>
    <w:rsid w:val="00664765"/>
    <w:rsid w:val="00667957"/>
    <w:rsid w:val="0067153A"/>
    <w:rsid w:val="006738D6"/>
    <w:rsid w:val="00681185"/>
    <w:rsid w:val="00681AB2"/>
    <w:rsid w:val="00693895"/>
    <w:rsid w:val="00696191"/>
    <w:rsid w:val="006C5FEB"/>
    <w:rsid w:val="006C6CC8"/>
    <w:rsid w:val="006D612B"/>
    <w:rsid w:val="006E2D51"/>
    <w:rsid w:val="006E2D9D"/>
    <w:rsid w:val="006F61C8"/>
    <w:rsid w:val="006F7061"/>
    <w:rsid w:val="00701C86"/>
    <w:rsid w:val="00713823"/>
    <w:rsid w:val="007151E0"/>
    <w:rsid w:val="007153F7"/>
    <w:rsid w:val="00716367"/>
    <w:rsid w:val="00727DFF"/>
    <w:rsid w:val="00736945"/>
    <w:rsid w:val="00740D3C"/>
    <w:rsid w:val="00757631"/>
    <w:rsid w:val="00766EA5"/>
    <w:rsid w:val="00777F78"/>
    <w:rsid w:val="00782145"/>
    <w:rsid w:val="00785C71"/>
    <w:rsid w:val="007876A7"/>
    <w:rsid w:val="0079613A"/>
    <w:rsid w:val="007A010A"/>
    <w:rsid w:val="007A03E1"/>
    <w:rsid w:val="007B0929"/>
    <w:rsid w:val="007C03B7"/>
    <w:rsid w:val="007C1FE9"/>
    <w:rsid w:val="007C3B75"/>
    <w:rsid w:val="007D04F4"/>
    <w:rsid w:val="007D3F58"/>
    <w:rsid w:val="007D5295"/>
    <w:rsid w:val="007F1C00"/>
    <w:rsid w:val="007F5362"/>
    <w:rsid w:val="007F60D0"/>
    <w:rsid w:val="007F740C"/>
    <w:rsid w:val="00802B9A"/>
    <w:rsid w:val="008065F3"/>
    <w:rsid w:val="0081560E"/>
    <w:rsid w:val="00826914"/>
    <w:rsid w:val="0083070F"/>
    <w:rsid w:val="008355F6"/>
    <w:rsid w:val="0085488A"/>
    <w:rsid w:val="00873A84"/>
    <w:rsid w:val="00873DC0"/>
    <w:rsid w:val="008747B7"/>
    <w:rsid w:val="00874C70"/>
    <w:rsid w:val="00876712"/>
    <w:rsid w:val="00882ECD"/>
    <w:rsid w:val="0088333C"/>
    <w:rsid w:val="0088514D"/>
    <w:rsid w:val="008A388B"/>
    <w:rsid w:val="008A484A"/>
    <w:rsid w:val="008A48EF"/>
    <w:rsid w:val="008B0E67"/>
    <w:rsid w:val="008B4D83"/>
    <w:rsid w:val="008C135C"/>
    <w:rsid w:val="008D69E0"/>
    <w:rsid w:val="008E1100"/>
    <w:rsid w:val="00910EF9"/>
    <w:rsid w:val="0091224E"/>
    <w:rsid w:val="009157BB"/>
    <w:rsid w:val="00916179"/>
    <w:rsid w:val="00920965"/>
    <w:rsid w:val="009229C9"/>
    <w:rsid w:val="0092415C"/>
    <w:rsid w:val="009338CC"/>
    <w:rsid w:val="00933EFA"/>
    <w:rsid w:val="00950980"/>
    <w:rsid w:val="00960136"/>
    <w:rsid w:val="00975426"/>
    <w:rsid w:val="00976F16"/>
    <w:rsid w:val="00982569"/>
    <w:rsid w:val="009844CA"/>
    <w:rsid w:val="009904E1"/>
    <w:rsid w:val="009910D4"/>
    <w:rsid w:val="009A6996"/>
    <w:rsid w:val="009B05CC"/>
    <w:rsid w:val="009B2CA4"/>
    <w:rsid w:val="009B2D2F"/>
    <w:rsid w:val="009C1549"/>
    <w:rsid w:val="009C500A"/>
    <w:rsid w:val="009C64A7"/>
    <w:rsid w:val="009D3E5E"/>
    <w:rsid w:val="009E4BED"/>
    <w:rsid w:val="009F42CE"/>
    <w:rsid w:val="009F5BCD"/>
    <w:rsid w:val="00A048BA"/>
    <w:rsid w:val="00A0754D"/>
    <w:rsid w:val="00A07DA7"/>
    <w:rsid w:val="00A14808"/>
    <w:rsid w:val="00A217CE"/>
    <w:rsid w:val="00A24FDF"/>
    <w:rsid w:val="00A31C84"/>
    <w:rsid w:val="00A364FD"/>
    <w:rsid w:val="00A37BE0"/>
    <w:rsid w:val="00A40FD6"/>
    <w:rsid w:val="00A41AA1"/>
    <w:rsid w:val="00A4347D"/>
    <w:rsid w:val="00A5304B"/>
    <w:rsid w:val="00A53E04"/>
    <w:rsid w:val="00A547B7"/>
    <w:rsid w:val="00A552A3"/>
    <w:rsid w:val="00A8199F"/>
    <w:rsid w:val="00A84153"/>
    <w:rsid w:val="00A85916"/>
    <w:rsid w:val="00A90F20"/>
    <w:rsid w:val="00A926DA"/>
    <w:rsid w:val="00A94BEA"/>
    <w:rsid w:val="00A94D8F"/>
    <w:rsid w:val="00A94F5A"/>
    <w:rsid w:val="00A94F92"/>
    <w:rsid w:val="00AA307D"/>
    <w:rsid w:val="00AB661F"/>
    <w:rsid w:val="00AC2773"/>
    <w:rsid w:val="00AD6231"/>
    <w:rsid w:val="00AE5C40"/>
    <w:rsid w:val="00AE6424"/>
    <w:rsid w:val="00AF7079"/>
    <w:rsid w:val="00AF7D00"/>
    <w:rsid w:val="00B13CB1"/>
    <w:rsid w:val="00B33642"/>
    <w:rsid w:val="00B40D0F"/>
    <w:rsid w:val="00B52EFA"/>
    <w:rsid w:val="00B5325C"/>
    <w:rsid w:val="00B60100"/>
    <w:rsid w:val="00B64C68"/>
    <w:rsid w:val="00B66939"/>
    <w:rsid w:val="00B759C8"/>
    <w:rsid w:val="00B90AB1"/>
    <w:rsid w:val="00B90DE6"/>
    <w:rsid w:val="00B91E8C"/>
    <w:rsid w:val="00B92A51"/>
    <w:rsid w:val="00B974E4"/>
    <w:rsid w:val="00BA163F"/>
    <w:rsid w:val="00BA5D42"/>
    <w:rsid w:val="00BB2C06"/>
    <w:rsid w:val="00BB4DE0"/>
    <w:rsid w:val="00BC14A1"/>
    <w:rsid w:val="00BC7692"/>
    <w:rsid w:val="00BD0D79"/>
    <w:rsid w:val="00BE46E7"/>
    <w:rsid w:val="00BE79E5"/>
    <w:rsid w:val="00BF46F5"/>
    <w:rsid w:val="00BF7CDD"/>
    <w:rsid w:val="00C02F18"/>
    <w:rsid w:val="00C042CC"/>
    <w:rsid w:val="00C1275E"/>
    <w:rsid w:val="00C24576"/>
    <w:rsid w:val="00C253CF"/>
    <w:rsid w:val="00C27F28"/>
    <w:rsid w:val="00C40070"/>
    <w:rsid w:val="00C43DB0"/>
    <w:rsid w:val="00C535CA"/>
    <w:rsid w:val="00C5383A"/>
    <w:rsid w:val="00C644AD"/>
    <w:rsid w:val="00C65DF2"/>
    <w:rsid w:val="00C751C3"/>
    <w:rsid w:val="00C753F6"/>
    <w:rsid w:val="00C7722E"/>
    <w:rsid w:val="00C82A79"/>
    <w:rsid w:val="00C91264"/>
    <w:rsid w:val="00C9585E"/>
    <w:rsid w:val="00CA4DB6"/>
    <w:rsid w:val="00CB40DF"/>
    <w:rsid w:val="00CB5032"/>
    <w:rsid w:val="00CC1B7D"/>
    <w:rsid w:val="00CC2D03"/>
    <w:rsid w:val="00CD016D"/>
    <w:rsid w:val="00CD10B9"/>
    <w:rsid w:val="00CE2830"/>
    <w:rsid w:val="00CF0C17"/>
    <w:rsid w:val="00CF4239"/>
    <w:rsid w:val="00CF78BB"/>
    <w:rsid w:val="00D04CFE"/>
    <w:rsid w:val="00D05F18"/>
    <w:rsid w:val="00D17E8A"/>
    <w:rsid w:val="00D22897"/>
    <w:rsid w:val="00D32C1B"/>
    <w:rsid w:val="00D3448B"/>
    <w:rsid w:val="00D435F6"/>
    <w:rsid w:val="00D7045B"/>
    <w:rsid w:val="00D72A88"/>
    <w:rsid w:val="00D76FEA"/>
    <w:rsid w:val="00D80111"/>
    <w:rsid w:val="00D8248C"/>
    <w:rsid w:val="00D9159C"/>
    <w:rsid w:val="00D94530"/>
    <w:rsid w:val="00DA5303"/>
    <w:rsid w:val="00DD141C"/>
    <w:rsid w:val="00DD6950"/>
    <w:rsid w:val="00E04713"/>
    <w:rsid w:val="00E31280"/>
    <w:rsid w:val="00E3657D"/>
    <w:rsid w:val="00E400EB"/>
    <w:rsid w:val="00E4039E"/>
    <w:rsid w:val="00E4086A"/>
    <w:rsid w:val="00E53CB1"/>
    <w:rsid w:val="00E53F0A"/>
    <w:rsid w:val="00E54788"/>
    <w:rsid w:val="00E54918"/>
    <w:rsid w:val="00E5585C"/>
    <w:rsid w:val="00E636A1"/>
    <w:rsid w:val="00E67F8D"/>
    <w:rsid w:val="00E734E2"/>
    <w:rsid w:val="00E73BEE"/>
    <w:rsid w:val="00E76F8A"/>
    <w:rsid w:val="00E80328"/>
    <w:rsid w:val="00E870EE"/>
    <w:rsid w:val="00E87DFF"/>
    <w:rsid w:val="00E974C2"/>
    <w:rsid w:val="00EA0CF2"/>
    <w:rsid w:val="00EA1533"/>
    <w:rsid w:val="00EA2C9E"/>
    <w:rsid w:val="00EB16D3"/>
    <w:rsid w:val="00EB6CFA"/>
    <w:rsid w:val="00EC03AE"/>
    <w:rsid w:val="00EC4590"/>
    <w:rsid w:val="00EC4FB2"/>
    <w:rsid w:val="00EC5ACF"/>
    <w:rsid w:val="00EC5CA7"/>
    <w:rsid w:val="00ED15E6"/>
    <w:rsid w:val="00EE791A"/>
    <w:rsid w:val="00EF6562"/>
    <w:rsid w:val="00F036B6"/>
    <w:rsid w:val="00F0708B"/>
    <w:rsid w:val="00F15EDA"/>
    <w:rsid w:val="00F16F5C"/>
    <w:rsid w:val="00F23514"/>
    <w:rsid w:val="00F26618"/>
    <w:rsid w:val="00F32A30"/>
    <w:rsid w:val="00F37905"/>
    <w:rsid w:val="00F41DB6"/>
    <w:rsid w:val="00F441E2"/>
    <w:rsid w:val="00F53C0A"/>
    <w:rsid w:val="00F6099A"/>
    <w:rsid w:val="00F619C7"/>
    <w:rsid w:val="00F671C3"/>
    <w:rsid w:val="00F74C06"/>
    <w:rsid w:val="00F81E3D"/>
    <w:rsid w:val="00F848DB"/>
    <w:rsid w:val="00F927C6"/>
    <w:rsid w:val="00FA4186"/>
    <w:rsid w:val="00FB2511"/>
    <w:rsid w:val="00FB735C"/>
    <w:rsid w:val="00FB7485"/>
    <w:rsid w:val="00FC2316"/>
    <w:rsid w:val="00FC273D"/>
    <w:rsid w:val="00FC3AF2"/>
    <w:rsid w:val="00FC4843"/>
    <w:rsid w:val="00FD0837"/>
    <w:rsid w:val="00FD4050"/>
    <w:rsid w:val="00FD5BF0"/>
    <w:rsid w:val="00FE0F05"/>
    <w:rsid w:val="00FE1094"/>
    <w:rsid w:val="00FE708B"/>
    <w:rsid w:val="00FF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99F35"/>
  <w15:chartTrackingRefBased/>
  <w15:docId w15:val="{2B7F05A6-F5AF-4552-A87E-74375B41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3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52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52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2520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52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520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520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520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520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520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520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520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2520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520E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520E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520E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520E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520E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520E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520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52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52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52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52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520E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520E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520E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520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520E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520E8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F441E2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441E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41E2"/>
    <w:rPr>
      <w:kern w:val="2"/>
    </w:rPr>
  </w:style>
  <w:style w:type="paragraph" w:styleId="Porat">
    <w:name w:val="footer"/>
    <w:basedOn w:val="prastasis"/>
    <w:link w:val="PoratDiagrama"/>
    <w:uiPriority w:val="99"/>
    <w:unhideWhenUsed/>
    <w:rsid w:val="00F441E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41E2"/>
    <w:rPr>
      <w:kern w:val="2"/>
    </w:rPr>
  </w:style>
  <w:style w:type="paragraph" w:styleId="prastasiniatinklio">
    <w:name w:val="Normal (Web)"/>
    <w:basedOn w:val="prastasis"/>
    <w:uiPriority w:val="99"/>
    <w:unhideWhenUsed/>
    <w:rsid w:val="002255BB"/>
    <w:pPr>
      <w:spacing w:before="100" w:beforeAutospacing="1" w:after="100" w:afterAutospacing="1"/>
    </w:pPr>
  </w:style>
  <w:style w:type="character" w:styleId="Grietas">
    <w:name w:val="Strong"/>
    <w:basedOn w:val="Numatytasispastraiposriftas"/>
    <w:uiPriority w:val="22"/>
    <w:qFormat/>
    <w:rsid w:val="002255BB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E6D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E6DC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E6DCE"/>
    <w:rPr>
      <w:kern w:val="2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E6D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E6DCE"/>
    <w:rPr>
      <w:b/>
      <w:bCs/>
      <w:kern w:val="2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6FE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6FEF"/>
    <w:rPr>
      <w:rFonts w:ascii="Segoe UI" w:hAnsi="Segoe UI" w:cs="Segoe UI"/>
      <w:kern w:val="2"/>
      <w:sz w:val="18"/>
      <w:szCs w:val="18"/>
    </w:rPr>
  </w:style>
  <w:style w:type="paragraph" w:styleId="Pataisymai">
    <w:name w:val="Revision"/>
    <w:hidden/>
    <w:uiPriority w:val="99"/>
    <w:semiHidden/>
    <w:rsid w:val="0027368B"/>
    <w:pPr>
      <w:spacing w:after="0" w:line="240" w:lineRule="auto"/>
    </w:pPr>
    <w:rPr>
      <w:kern w:val="2"/>
    </w:rPr>
  </w:style>
  <w:style w:type="character" w:styleId="Emfaz">
    <w:name w:val="Emphasis"/>
    <w:basedOn w:val="Numatytasispastraiposriftas"/>
    <w:uiPriority w:val="20"/>
    <w:qFormat/>
    <w:rsid w:val="005830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6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5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9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6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69A97C7B1C8224CB6C729A466C2E99F" ma:contentTypeVersion="5" ma:contentTypeDescription="Kurkite naują dokumentą." ma:contentTypeScope="" ma:versionID="54ff90ba72b64c064955a76aa78c701c">
  <xsd:schema xmlns:xsd="http://www.w3.org/2001/XMLSchema" xmlns:xs="http://www.w3.org/2001/XMLSchema" xmlns:p="http://schemas.microsoft.com/office/2006/metadata/properties" xmlns:ns3="35b00832-0df7-496d-8b20-48d3041db0b3" targetNamespace="http://schemas.microsoft.com/office/2006/metadata/properties" ma:root="true" ma:fieldsID="e31a53656541b5e9b357a1eba399e531" ns3:_="">
    <xsd:import namespace="35b00832-0df7-496d-8b20-48d3041db0b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00832-0df7-496d-8b20-48d3041db0b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A3B045-7467-414E-B788-9D3180A56B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2F0234-DC79-4791-9AC5-5CECB2C4D3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C7F635-FA5A-4D22-B8ED-961874C72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00832-0df7-496d-8b20-48d3041db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3863</Words>
  <Characters>2202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Gridziuškienė</dc:creator>
  <cp:keywords/>
  <dc:description/>
  <cp:lastModifiedBy>Elžbieta Taločkaitė</cp:lastModifiedBy>
  <cp:revision>69</cp:revision>
  <dcterms:created xsi:type="dcterms:W3CDTF">2025-04-17T09:44:00Z</dcterms:created>
  <dcterms:modified xsi:type="dcterms:W3CDTF">2025-04-22T12:11:00Z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0x010100369A97C7B1C8224CB6C729A466C2E99F</vt:lpwstr>
  </property>
</Properties>
</file>