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8E75F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4"/>
              <w:szCs w:val="24"/>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5E741A" w:rsidRDefault="006935B4"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PATVIRTINTA</w:t>
          </w:r>
        </w:p>
        <w:p w14:paraId="4AB08FB9" w14:textId="77777777" w:rsidR="006935B4" w:rsidRPr="005E741A" w:rsidRDefault="006935B4"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Viešųjų pirkimų komisijos</w:t>
          </w:r>
        </w:p>
        <w:p w14:paraId="2B84068B" w14:textId="1FC9E713" w:rsidR="006935B4" w:rsidRPr="005E741A" w:rsidRDefault="00576469"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202</w:t>
          </w:r>
          <w:r w:rsidR="002B61F3" w:rsidRPr="005E741A">
            <w:rPr>
              <w:rFonts w:ascii="Times New Roman" w:eastAsia="Times New Roman" w:hAnsi="Times New Roman" w:cs="Times New Roman"/>
              <w:noProof/>
              <w:sz w:val="20"/>
              <w:szCs w:val="20"/>
            </w:rPr>
            <w:t>5</w:t>
          </w:r>
          <w:r w:rsidR="000F5BE7" w:rsidRPr="005E741A">
            <w:rPr>
              <w:rFonts w:ascii="Times New Roman" w:eastAsia="Times New Roman" w:hAnsi="Times New Roman" w:cs="Times New Roman"/>
              <w:noProof/>
              <w:sz w:val="20"/>
              <w:szCs w:val="20"/>
            </w:rPr>
            <w:t>-</w:t>
          </w:r>
          <w:r w:rsidR="002B61F3" w:rsidRPr="005E741A">
            <w:rPr>
              <w:rFonts w:ascii="Times New Roman" w:eastAsia="Times New Roman" w:hAnsi="Times New Roman" w:cs="Times New Roman"/>
              <w:noProof/>
              <w:sz w:val="20"/>
              <w:szCs w:val="20"/>
            </w:rPr>
            <w:t>0</w:t>
          </w:r>
          <w:r w:rsidR="000A26DA" w:rsidRPr="005E741A">
            <w:rPr>
              <w:rFonts w:ascii="Times New Roman" w:eastAsia="Times New Roman" w:hAnsi="Times New Roman" w:cs="Times New Roman"/>
              <w:noProof/>
              <w:sz w:val="20"/>
              <w:szCs w:val="20"/>
            </w:rPr>
            <w:t>4</w:t>
          </w:r>
          <w:r w:rsidR="000F5BE7" w:rsidRPr="005E741A">
            <w:rPr>
              <w:rFonts w:ascii="Times New Roman" w:eastAsia="Times New Roman" w:hAnsi="Times New Roman" w:cs="Times New Roman"/>
              <w:noProof/>
              <w:sz w:val="20"/>
              <w:szCs w:val="20"/>
            </w:rPr>
            <w:t>-</w:t>
          </w:r>
          <w:r w:rsidR="000A26DA" w:rsidRPr="005E741A">
            <w:rPr>
              <w:rFonts w:ascii="Times New Roman" w:eastAsia="Times New Roman" w:hAnsi="Times New Roman" w:cs="Times New Roman"/>
              <w:noProof/>
              <w:sz w:val="20"/>
              <w:szCs w:val="20"/>
            </w:rPr>
            <w:t>25</w:t>
          </w:r>
          <w:r w:rsidR="006935B4" w:rsidRPr="005E741A">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29A366F2" w:rsidR="00D526C8" w:rsidRPr="008E75F0" w:rsidRDefault="005B0ED9"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8E75F0" w:rsidRPr="008E75F0">
            <w:rPr>
              <w:rFonts w:ascii="Times New Roman" w:hAnsi="Times New Roman" w:cs="Times New Roman"/>
              <w:b/>
              <w:bCs/>
              <w:sz w:val="24"/>
              <w:szCs w:val="24"/>
            </w:rPr>
            <w:t>DIAGNOSTINIAI REAGENTAI, PRIEMONĖS  IR EKSPLOATACINĖS MEDŽIAGOS ŠLAPIMO TYRIMŲ ATLIKIMUI AUTOMATIZUOTU  IR PUSIAU AUTOMATIZUOTU BŪDU SU ANALIZATORIAIS PANAUDAI“</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2355D789"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B76C48">
                  <w:rPr>
                    <w:noProof/>
                    <w:webHidden/>
                  </w:rPr>
                  <w:t>19</w:t>
                </w:r>
                <w:r w:rsidRPr="008A5BA5">
                  <w:rPr>
                    <w:noProof/>
                    <w:webHidden/>
                  </w:rPr>
                  <w:fldChar w:fldCharType="end"/>
                </w:r>
              </w:hyperlink>
            </w:p>
            <w:p w14:paraId="0D5329FA" w14:textId="17FA3CF0" w:rsidR="00C43719" w:rsidRDefault="00C43719" w:rsidP="00002A3D">
              <w:pPr>
                <w:pStyle w:val="Turinys2"/>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3179187A" w14:textId="7483C0D3" w:rsidR="00FF2E2A" w:rsidRDefault="00FF2E2A" w:rsidP="00FF2E2A">
              <w:pPr>
                <w:pStyle w:val="Turinys2"/>
              </w:pPr>
              <w:hyperlink w:anchor="_Toc159231070" w:history="1">
                <w:r w:rsidRPr="008A5BA5">
                  <w:rPr>
                    <w:rStyle w:val="Hipersaitas"/>
                    <w:rFonts w:ascii="Times New Roman" w:hAnsi="Times New Roman" w:cs="Times New Roman"/>
                    <w:noProof/>
                    <w:sz w:val="22"/>
                    <w:szCs w:val="22"/>
                  </w:rPr>
                  <w:t>Pirkimo sąlygų 1</w:t>
                </w:r>
                <w:r>
                  <w:rPr>
                    <w:rStyle w:val="Hipersaitas"/>
                    <w:rFonts w:ascii="Times New Roman" w:hAnsi="Times New Roman" w:cs="Times New Roman"/>
                    <w:noProof/>
                    <w:sz w:val="22"/>
                    <w:szCs w:val="22"/>
                  </w:rPr>
                  <w:t>1</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Pr>
                    <w:rStyle w:val="Hipersaitas"/>
                    <w:rFonts w:ascii="Times New Roman" w:hAnsi="Times New Roman" w:cs="Times New Roman"/>
                    <w:noProof/>
                    <w:sz w:val="22"/>
                    <w:szCs w:val="22"/>
                  </w:rPr>
                  <w:t>Įrangos panaudos s</w:t>
                </w:r>
                <w:r w:rsidRPr="008A5BA5">
                  <w:rPr>
                    <w:rStyle w:val="Hipersaitas"/>
                    <w:rFonts w:ascii="Times New Roman" w:hAnsi="Times New Roman" w:cs="Times New Roman"/>
                    <w:noProof/>
                    <w:sz w:val="22"/>
                    <w:szCs w:val="22"/>
                  </w:rPr>
                  <w:t>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79172463" w14:textId="65763864" w:rsidR="008E75F0" w:rsidRPr="00384C79" w:rsidRDefault="00384C79" w:rsidP="00384C79">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2413C02D" w14:textId="0E0BE32E"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714F9036" w14:textId="7EC92982" w:rsidR="00D41B09"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D41B09" w:rsidRPr="00D41B09">
        <w:rPr>
          <w:rFonts w:ascii="Times New Roman" w:hAnsi="Times New Roman" w:cs="Times New Roman"/>
          <w:bCs/>
          <w:sz w:val="22"/>
          <w:szCs w:val="22"/>
        </w:rPr>
        <w:t>diagnostinius reagentus, priemones ir eksploatacines medžiagas šlapimo tyrimų atlikimui automatizuotu ir pusiau automatizuotu būdu su analizatoriais panaudai</w:t>
      </w:r>
      <w:r w:rsidRPr="00D41B09">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p>
    <w:p w14:paraId="08ED0769" w14:textId="445CAFA4" w:rsidR="00177551" w:rsidRPr="00177551" w:rsidRDefault="0017755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77551">
        <w:rPr>
          <w:rFonts w:ascii="Times New Roman" w:hAnsi="Times New Roman" w:cs="Times New Roman"/>
          <w:sz w:val="22"/>
          <w:szCs w:val="22"/>
        </w:rPr>
        <w:t>Pirkimo objektas į smulkesnes dalis neskaidomas, nes s</w:t>
      </w:r>
      <w:r w:rsidRPr="00177551">
        <w:rPr>
          <w:rFonts w:ascii="Times New Roman" w:eastAsia="TimesNewRomanPSMT" w:hAnsi="Times New Roman" w:cs="Times New Roman"/>
          <w:sz w:val="22"/>
          <w:szCs w:val="22"/>
        </w:rPr>
        <w:t xml:space="preserve">kaidant </w:t>
      </w:r>
      <w:r w:rsidR="00384C79">
        <w:rPr>
          <w:rFonts w:ascii="Times New Roman" w:eastAsia="TimesNewRomanPSMT" w:hAnsi="Times New Roman" w:cs="Times New Roman"/>
          <w:sz w:val="22"/>
          <w:szCs w:val="22"/>
        </w:rPr>
        <w:t xml:space="preserve">tampa </w:t>
      </w:r>
      <w:r w:rsidRPr="00177551">
        <w:rPr>
          <w:rFonts w:ascii="Times New Roman" w:eastAsia="TimesNewRomanPSMT" w:hAnsi="Times New Roman" w:cs="Times New Roman"/>
          <w:sz w:val="22"/>
          <w:szCs w:val="22"/>
        </w:rPr>
        <w:t>per brangus vykdymas: Priemonės turi būti</w:t>
      </w:r>
      <w:r w:rsidR="00384C79">
        <w:rPr>
          <w:rFonts w:ascii="Times New Roman" w:eastAsia="TimesNewRomanPSMT" w:hAnsi="Times New Roman" w:cs="Times New Roman"/>
          <w:sz w:val="22"/>
          <w:szCs w:val="22"/>
        </w:rPr>
        <w:t xml:space="preserve"> </w:t>
      </w:r>
      <w:r w:rsidRPr="00177551">
        <w:rPr>
          <w:rFonts w:ascii="Times New Roman" w:eastAsia="TimesNewRomanPSMT" w:hAnsi="Times New Roman" w:cs="Times New Roman"/>
          <w:sz w:val="22"/>
          <w:szCs w:val="22"/>
        </w:rPr>
        <w:t xml:space="preserve">vieno gamintojo ir vieno tiekėjo, kad būtų galima racionaliai panaudoti reagentus, </w:t>
      </w:r>
      <w:proofErr w:type="spellStart"/>
      <w:r w:rsidRPr="00177551">
        <w:rPr>
          <w:rFonts w:ascii="Times New Roman" w:eastAsia="TimesNewRomanPSMT" w:hAnsi="Times New Roman" w:cs="Times New Roman"/>
          <w:sz w:val="22"/>
          <w:szCs w:val="22"/>
        </w:rPr>
        <w:t>eksplotacines</w:t>
      </w:r>
      <w:proofErr w:type="spellEnd"/>
      <w:r w:rsidRPr="00177551">
        <w:rPr>
          <w:rFonts w:ascii="Times New Roman" w:eastAsia="TimesNewRomanPSMT" w:hAnsi="Times New Roman" w:cs="Times New Roman"/>
          <w:sz w:val="22"/>
          <w:szCs w:val="22"/>
        </w:rPr>
        <w:t xml:space="preserve"> medžiagas</w:t>
      </w:r>
      <w:r w:rsidR="00384C79">
        <w:rPr>
          <w:rFonts w:ascii="Times New Roman" w:eastAsia="TimesNewRomanPSMT" w:hAnsi="Times New Roman" w:cs="Times New Roman"/>
          <w:sz w:val="22"/>
          <w:szCs w:val="22"/>
        </w:rPr>
        <w:t>.</w:t>
      </w:r>
    </w:p>
    <w:p w14:paraId="56DC82B4" w14:textId="1E0B19B1" w:rsidR="00151333" w:rsidRPr="00192F15" w:rsidRDefault="002B61F3"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Reikalavimai pirkimo objektui nustatyti specialiųjų pirkimo sąlygų 5 priede – Pasiūlym</w:t>
      </w:r>
      <w:r w:rsidR="00384C79">
        <w:rPr>
          <w:rFonts w:ascii="Times New Roman" w:hAnsi="Times New Roman" w:cs="Times New Roman"/>
          <w:sz w:val="22"/>
          <w:szCs w:val="22"/>
        </w:rPr>
        <w:t>e ir 6 priede</w:t>
      </w:r>
      <w:r w:rsidR="00AC7225">
        <w:rPr>
          <w:rFonts w:ascii="Times New Roman" w:hAnsi="Times New Roman" w:cs="Times New Roman"/>
          <w:sz w:val="22"/>
          <w:szCs w:val="22"/>
        </w:rPr>
        <w:t xml:space="preserve"> </w:t>
      </w:r>
      <w:r w:rsidR="00384C79">
        <w:rPr>
          <w:rFonts w:ascii="Times New Roman" w:hAnsi="Times New Roman" w:cs="Times New Roman"/>
          <w:sz w:val="22"/>
          <w:szCs w:val="22"/>
        </w:rPr>
        <w:t xml:space="preserve">- </w:t>
      </w:r>
      <w:r w:rsidR="00AC7225">
        <w:rPr>
          <w:rFonts w:ascii="Times New Roman" w:hAnsi="Times New Roman" w:cs="Times New Roman"/>
          <w:sz w:val="22"/>
          <w:szCs w:val="22"/>
        </w:rPr>
        <w:t>Technin</w:t>
      </w:r>
      <w:r w:rsidR="00384C79">
        <w:rPr>
          <w:rFonts w:ascii="Times New Roman" w:hAnsi="Times New Roman" w:cs="Times New Roman"/>
          <w:sz w:val="22"/>
          <w:szCs w:val="22"/>
        </w:rPr>
        <w:t>ės</w:t>
      </w:r>
      <w:r w:rsidR="00AC7225">
        <w:rPr>
          <w:rFonts w:ascii="Times New Roman" w:hAnsi="Times New Roman" w:cs="Times New Roman"/>
          <w:sz w:val="22"/>
          <w:szCs w:val="22"/>
        </w:rPr>
        <w:t xml:space="preserve"> specifikacij</w:t>
      </w:r>
      <w:r w:rsidR="00384C79">
        <w:rPr>
          <w:rFonts w:ascii="Times New Roman" w:hAnsi="Times New Roman" w:cs="Times New Roman"/>
          <w:sz w:val="22"/>
          <w:szCs w:val="22"/>
        </w:rPr>
        <w:t>os</w:t>
      </w:r>
      <w:r w:rsidR="00AC7225">
        <w:rPr>
          <w:rFonts w:ascii="Times New Roman" w:hAnsi="Times New Roman" w:cs="Times New Roman"/>
          <w:sz w:val="22"/>
          <w:szCs w:val="22"/>
        </w:rPr>
        <w:t xml:space="preserve"> </w:t>
      </w:r>
      <w:r w:rsidRPr="00C7434D">
        <w:rPr>
          <w:rFonts w:ascii="Times New Roman" w:hAnsi="Times New Roman" w:cs="Times New Roman"/>
          <w:sz w:val="22"/>
          <w:szCs w:val="22"/>
        </w:rPr>
        <w:t>formoje</w:t>
      </w:r>
      <w:r w:rsidR="00AD01A4">
        <w:rPr>
          <w:rFonts w:ascii="Times New Roman" w:hAnsi="Times New Roman" w:cs="Times New Roman"/>
          <w:sz w:val="22"/>
          <w:szCs w:val="22"/>
        </w:rPr>
        <w:t>.</w:t>
      </w:r>
    </w:p>
    <w:p w14:paraId="743811EB" w14:textId="2DF6C1A8" w:rsidR="00D7214C" w:rsidRPr="00346079" w:rsidRDefault="00453256"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w:t>
      </w:r>
      <w:r w:rsidR="00346079" w:rsidRPr="00346079">
        <w:rPr>
          <w:rFonts w:ascii="Times New Roman" w:hAnsi="Times New Roman" w:cs="Times New Roman"/>
          <w:sz w:val="22"/>
          <w:szCs w:val="22"/>
        </w:rPr>
        <w:t xml:space="preserve">vykdomi 36 mėnesius. Prekės </w:t>
      </w:r>
      <w:r w:rsidR="00346079" w:rsidRPr="00177551">
        <w:rPr>
          <w:rFonts w:ascii="Times New Roman" w:hAnsi="Times New Roman" w:cs="Times New Roman"/>
          <w:sz w:val="22"/>
          <w:szCs w:val="22"/>
        </w:rPr>
        <w:t>nuo užsakymo pateikiamos: planinis (paprastasis) būdas- per 5 (penkias) darbo dienas, skubus - per 3 (tris) darbo dienas.</w:t>
      </w:r>
    </w:p>
    <w:p w14:paraId="0CA81FB8" w14:textId="757EA7E5" w:rsidR="00325243" w:rsidRPr="00192F15" w:rsidRDefault="00E53E12"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lastRenderedPageBreak/>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767A67E0" w:rsidR="00FF12F1" w:rsidRPr="000419EE" w:rsidRDefault="000419EE" w:rsidP="000419EE">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T</w:t>
      </w:r>
      <w:r w:rsidR="003F0DA7" w:rsidRPr="00192F15">
        <w:rPr>
          <w:rFonts w:ascii="Times New Roman" w:hAnsi="Times New Roman" w:cs="Times New Roman"/>
          <w:sz w:val="22"/>
          <w:szCs w:val="22"/>
        </w:rPr>
        <w:t xml:space="preserve">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Pr="000419EE">
        <w:rPr>
          <w:rFonts w:ascii="Times New Roman" w:hAnsi="Times New Roman" w:cs="Times New Roman"/>
          <w:bCs/>
          <w:sz w:val="22"/>
          <w:szCs w:val="22"/>
        </w:rPr>
        <w:t>;</w:t>
      </w:r>
    </w:p>
    <w:p w14:paraId="5D3A114B" w14:textId="77777777" w:rsidR="000419EE" w:rsidRPr="000419EE" w:rsidRDefault="000419EE"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T</w:t>
      </w:r>
      <w:r w:rsidRPr="00192F15">
        <w:rPr>
          <w:rFonts w:ascii="Times New Roman" w:hAnsi="Times New Roman" w:cs="Times New Roman"/>
          <w:sz w:val="22"/>
          <w:szCs w:val="22"/>
        </w:rPr>
        <w:t xml:space="preserve">iekėjo </w:t>
      </w:r>
      <w:r>
        <w:rPr>
          <w:rFonts w:ascii="Times New Roman" w:hAnsi="Times New Roman" w:cs="Times New Roman"/>
          <w:sz w:val="22"/>
          <w:szCs w:val="22"/>
        </w:rPr>
        <w:t>užpildyta Techninė specifikacija, parengta</w:t>
      </w:r>
      <w:r w:rsidRPr="00192F15">
        <w:rPr>
          <w:rFonts w:ascii="Times New Roman" w:hAnsi="Times New Roman" w:cs="Times New Roman"/>
          <w:sz w:val="22"/>
          <w:szCs w:val="22"/>
        </w:rPr>
        <w:t xml:space="preserve"> pagal specialiųjų pirkimo sąlygų </w:t>
      </w:r>
      <w:r>
        <w:rPr>
          <w:rFonts w:ascii="Times New Roman" w:hAnsi="Times New Roman" w:cs="Times New Roman"/>
          <w:sz w:val="22"/>
          <w:szCs w:val="22"/>
          <w:shd w:val="clear" w:color="auto" w:fill="FFFFFF"/>
        </w:rPr>
        <w:t>6</w:t>
      </w:r>
      <w:r w:rsidRPr="00192F15">
        <w:rPr>
          <w:rFonts w:ascii="Times New Roman" w:hAnsi="Times New Roman" w:cs="Times New Roman"/>
          <w:sz w:val="22"/>
          <w:szCs w:val="22"/>
          <w:shd w:val="clear" w:color="auto" w:fill="FFFFFF"/>
        </w:rPr>
        <w:t xml:space="preserve"> </w:t>
      </w:r>
      <w:r w:rsidRPr="00192F15">
        <w:rPr>
          <w:rFonts w:ascii="Times New Roman" w:hAnsi="Times New Roman" w:cs="Times New Roman"/>
          <w:sz w:val="22"/>
          <w:szCs w:val="22"/>
        </w:rPr>
        <w:t>priede pateiktą formą</w:t>
      </w:r>
      <w:r>
        <w:rPr>
          <w:rFonts w:ascii="Times New Roman" w:hAnsi="Times New Roman" w:cs="Times New Roman"/>
          <w:sz w:val="22"/>
          <w:szCs w:val="22"/>
        </w:rPr>
        <w:t xml:space="preserve"> </w:t>
      </w:r>
      <w:r w:rsidRPr="000419EE">
        <w:rPr>
          <w:rFonts w:ascii="Times New Roman" w:hAnsi="Times New Roman" w:cs="Times New Roman"/>
          <w:sz w:val="22"/>
          <w:szCs w:val="22"/>
        </w:rPr>
        <w:t>(</w:t>
      </w:r>
      <w:r w:rsidRPr="000419EE">
        <w:rPr>
          <w:rFonts w:ascii="Times New Roman" w:hAnsi="Times New Roman" w:cs="Times New Roman"/>
          <w:sz w:val="22"/>
          <w:szCs w:val="22"/>
          <w:u w:val="single"/>
        </w:rPr>
        <w:t xml:space="preserve">Užpildytas dokumentas privalo būti pateiktas ne skenuota forma, bet </w:t>
      </w:r>
      <w:r w:rsidRPr="000419EE">
        <w:rPr>
          <w:rFonts w:ascii="Times New Roman" w:hAnsi="Times New Roman" w:cs="Times New Roman"/>
          <w:bCs/>
          <w:sz w:val="22"/>
          <w:szCs w:val="22"/>
          <w:u w:val="single"/>
        </w:rPr>
        <w:t>prisegant atskiru dokumentu Microsoft Excel)</w:t>
      </w:r>
      <w:r w:rsidRPr="000419EE">
        <w:rPr>
          <w:rFonts w:ascii="Times New Roman" w:hAnsi="Times New Roman" w:cs="Times New Roman"/>
          <w:bCs/>
          <w:sz w:val="22"/>
          <w:szCs w:val="22"/>
        </w:rPr>
        <w:t>;</w:t>
      </w:r>
    </w:p>
    <w:p w14:paraId="3459FD0B" w14:textId="1504338B"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29E321B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Tiekėjų, kurie nėra gamintojai, savideklaracijos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391B039C"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w:t>
      </w:r>
      <w:r w:rsidR="000419EE">
        <w:rPr>
          <w:rFonts w:ascii="Times New Roman" w:hAnsi="Times New Roman" w:cs="Times New Roman"/>
          <w:sz w:val="22"/>
          <w:szCs w:val="22"/>
        </w:rPr>
        <w:t>gali</w:t>
      </w:r>
      <w:r w:rsidRPr="00192F15">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w:t>
      </w:r>
      <w:r w:rsidRPr="00192F15">
        <w:rPr>
          <w:rFonts w:ascii="Times New Roman" w:hAnsi="Times New Roman" w:cs="Times New Roman"/>
          <w:sz w:val="22"/>
          <w:szCs w:val="22"/>
        </w:rPr>
        <w:lastRenderedPageBreak/>
        <w:t xml:space="preserve">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5"/>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0A3D5698"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 xml:space="preserve">Pirkimo sąlygų </w:t>
      </w:r>
      <w:r w:rsidR="000419EE">
        <w:rPr>
          <w:rFonts w:ascii="Times New Roman" w:eastAsia="Calibri" w:hAnsi="Times New Roman" w:cs="Times New Roman"/>
          <w:sz w:val="24"/>
          <w:szCs w:val="24"/>
        </w:rPr>
        <w:t>6</w:t>
      </w:r>
      <w:r w:rsidR="00B607EA" w:rsidRPr="00B607EA">
        <w:rPr>
          <w:rFonts w:ascii="Times New Roman" w:eastAsia="Calibri" w:hAnsi="Times New Roman" w:cs="Times New Roman"/>
          <w:sz w:val="24"/>
          <w:szCs w:val="24"/>
        </w:rPr>
        <w:t xml:space="preserve"> priede „</w:t>
      </w:r>
      <w:r w:rsidR="000419EE">
        <w:rPr>
          <w:rFonts w:ascii="Times New Roman" w:eastAsia="Calibri" w:hAnsi="Times New Roman" w:cs="Times New Roman"/>
          <w:sz w:val="24"/>
          <w:szCs w:val="24"/>
        </w:rPr>
        <w:t>Techninė specifikacija (pildymui)</w:t>
      </w:r>
      <w:r w:rsidR="00B607EA" w:rsidRPr="00B607EA">
        <w:rPr>
          <w:rFonts w:ascii="Times New Roman" w:eastAsia="Calibri" w:hAnsi="Times New Roman" w:cs="Times New Roman"/>
          <w:sz w:val="24"/>
          <w:szCs w:val="24"/>
        </w:rPr>
        <w:t>“</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5E741A" w:rsidRDefault="00FA78CB" w:rsidP="00A94290">
      <w:pPr>
        <w:spacing w:after="0" w:line="240" w:lineRule="auto"/>
        <w:jc w:val="center"/>
        <w:rPr>
          <w:rFonts w:ascii="Times New Roman" w:hAnsi="Times New Roman" w:cs="Times New Roman"/>
          <w:b/>
          <w:sz w:val="16"/>
          <w:szCs w:val="16"/>
        </w:rPr>
      </w:pPr>
    </w:p>
    <w:p w14:paraId="4ACD6E4E" w14:textId="77777777" w:rsidR="00FA78CB" w:rsidRDefault="00FA78CB" w:rsidP="00A94290">
      <w:pPr>
        <w:pStyle w:val="Paantrat"/>
        <w:spacing w:after="120" w:line="240" w:lineRule="auto"/>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C0937F3" w14:textId="77777777" w:rsidR="00A94290" w:rsidRPr="00DD4CBC" w:rsidRDefault="00A94290" w:rsidP="00A94290">
      <w:pPr>
        <w:pStyle w:val="Body2"/>
        <w:spacing w:after="0"/>
        <w:ind w:firstLine="567"/>
        <w:rPr>
          <w:rFonts w:cs="Times New Roman"/>
          <w:color w:val="auto"/>
          <w:sz w:val="22"/>
          <w:szCs w:val="22"/>
          <w:lang w:val="lt-LT"/>
        </w:rPr>
      </w:pPr>
      <w:r w:rsidRPr="00DD4CBC">
        <w:rPr>
          <w:rFonts w:cs="Times New Roman"/>
          <w:color w:val="auto"/>
          <w:sz w:val="22"/>
          <w:szCs w:val="22"/>
          <w:lang w:val="lt-LT"/>
        </w:rPr>
        <w:t>1.1. Perkančiosios organizacijos neatmesti pasiūlymai vertinami pagal kainos ir kokybės santykį (pasiūlymo techninės charakteristikos vertinamos kiekybiškai) šiame priede nurodyta tvarka.</w:t>
      </w:r>
    </w:p>
    <w:p w14:paraId="38B4438A" w14:textId="77777777" w:rsidR="00A94290" w:rsidRPr="00DD4CBC" w:rsidRDefault="00A94290" w:rsidP="00A94290">
      <w:pPr>
        <w:pStyle w:val="Body2"/>
        <w:spacing w:after="0"/>
        <w:ind w:firstLine="567"/>
        <w:rPr>
          <w:rFonts w:cs="Times New Roman"/>
          <w:color w:val="auto"/>
          <w:sz w:val="22"/>
          <w:szCs w:val="22"/>
          <w:lang w:val="lt-LT"/>
        </w:rPr>
      </w:pPr>
      <w:r w:rsidRPr="00DD4CBC">
        <w:rPr>
          <w:rFonts w:cs="Times New Roman"/>
          <w:color w:val="auto"/>
          <w:sz w:val="22"/>
          <w:szCs w:val="22"/>
          <w:lang w:val="lt-LT"/>
        </w:rPr>
        <w:t>1.2. Ekonomiškai naudingiausias pasiūlymas – tai pasiūlymas, kurio balų suma, apskaičiuota pagal toliau nustatytus pasiūlymų̨ vertinimo kriterijus ir sąlygas, yra didžiausia.</w:t>
      </w:r>
    </w:p>
    <w:p w14:paraId="768FCC16" w14:textId="77777777" w:rsidR="00A94290" w:rsidRPr="00A94290" w:rsidRDefault="00A94290" w:rsidP="00A94290">
      <w:pPr>
        <w:pStyle w:val="Body2"/>
        <w:spacing w:after="0"/>
        <w:rPr>
          <w:rFonts w:cs="Times New Roman"/>
          <w:color w:val="auto"/>
          <w:sz w:val="12"/>
          <w:szCs w:val="12"/>
          <w:lang w:val="lt-LT"/>
        </w:rPr>
      </w:pPr>
    </w:p>
    <w:p w14:paraId="059568B9" w14:textId="77777777" w:rsidR="00A94290" w:rsidRPr="00DD4CBC" w:rsidRDefault="00A94290" w:rsidP="00A94290">
      <w:pPr>
        <w:pStyle w:val="Heading"/>
        <w:rPr>
          <w:rFonts w:cs="Times New Roman"/>
          <w:color w:val="auto"/>
          <w:lang w:val="lt-LT"/>
        </w:rPr>
      </w:pPr>
      <w:r w:rsidRPr="00DD4CBC">
        <w:rPr>
          <w:rFonts w:cs="Times New Roman"/>
          <w:color w:val="auto"/>
          <w:lang w:val="lt-LT"/>
        </w:rPr>
        <w:t>2. PASIŪLYMŲ VERTINIMO KRITERIJAI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685"/>
        <w:gridCol w:w="1813"/>
      </w:tblGrid>
      <w:tr w:rsidR="00A94290" w:rsidRPr="00CA3B54" w14:paraId="08B727B5" w14:textId="77777777" w:rsidTr="00A94290">
        <w:trPr>
          <w:trHeight w:val="455"/>
        </w:trPr>
        <w:tc>
          <w:tcPr>
            <w:tcW w:w="562" w:type="dxa"/>
            <w:vMerge w:val="restart"/>
            <w:shd w:val="clear" w:color="auto" w:fill="auto"/>
            <w:noWrap/>
            <w:vAlign w:val="center"/>
            <w:hideMark/>
          </w:tcPr>
          <w:p w14:paraId="13B280F2" w14:textId="5100117C"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Eil. Nr.</w:t>
            </w:r>
          </w:p>
        </w:tc>
        <w:tc>
          <w:tcPr>
            <w:tcW w:w="7685" w:type="dxa"/>
            <w:vMerge w:val="restart"/>
            <w:shd w:val="clear" w:color="auto" w:fill="auto"/>
            <w:vAlign w:val="center"/>
            <w:hideMark/>
          </w:tcPr>
          <w:p w14:paraId="4209767E" w14:textId="77777777"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sidRPr="00CA3B54">
              <w:rPr>
                <w:rFonts w:ascii="Times New Roman" w:eastAsia="Times New Roman" w:hAnsi="Times New Roman" w:cs="Times New Roman"/>
                <w:b/>
                <w:bCs/>
                <w:color w:val="000000"/>
                <w:sz w:val="20"/>
                <w:szCs w:val="20"/>
              </w:rPr>
              <w:t>Vertininimo kriterijai ir parametrai</w:t>
            </w:r>
          </w:p>
        </w:tc>
        <w:tc>
          <w:tcPr>
            <w:tcW w:w="1813" w:type="dxa"/>
            <w:vMerge w:val="restart"/>
            <w:shd w:val="clear" w:color="auto" w:fill="auto"/>
            <w:vAlign w:val="center"/>
            <w:hideMark/>
          </w:tcPr>
          <w:p w14:paraId="00138A8E" w14:textId="75AF2DA7"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sidRPr="00D953BE">
              <w:rPr>
                <w:rFonts w:ascii="Times New Roman" w:hAnsi="Times New Roman" w:cs="Times New Roman"/>
                <w:b/>
                <w:color w:val="000000"/>
                <w:sz w:val="20"/>
                <w:szCs w:val="20"/>
              </w:rPr>
              <w:t>Lyginamasis svoris ekonominio naudingumo įvertinime</w:t>
            </w:r>
          </w:p>
        </w:tc>
      </w:tr>
      <w:tr w:rsidR="000A26DA" w:rsidRPr="00CA3B54" w14:paraId="4361D981" w14:textId="77777777" w:rsidTr="00A94290">
        <w:trPr>
          <w:trHeight w:val="455"/>
        </w:trPr>
        <w:tc>
          <w:tcPr>
            <w:tcW w:w="562" w:type="dxa"/>
            <w:vMerge/>
            <w:vAlign w:val="center"/>
            <w:hideMark/>
          </w:tcPr>
          <w:p w14:paraId="757AEE1E"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c>
          <w:tcPr>
            <w:tcW w:w="7685" w:type="dxa"/>
            <w:vMerge/>
            <w:vAlign w:val="center"/>
            <w:hideMark/>
          </w:tcPr>
          <w:p w14:paraId="080DF892"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c>
          <w:tcPr>
            <w:tcW w:w="1813" w:type="dxa"/>
            <w:vMerge/>
            <w:vAlign w:val="center"/>
            <w:hideMark/>
          </w:tcPr>
          <w:p w14:paraId="1B05AA45"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r>
      <w:tr w:rsidR="000A26DA" w:rsidRPr="00CA3B54" w14:paraId="5609C403" w14:textId="77777777" w:rsidTr="00A94290">
        <w:trPr>
          <w:trHeight w:val="20"/>
        </w:trPr>
        <w:tc>
          <w:tcPr>
            <w:tcW w:w="562" w:type="dxa"/>
            <w:shd w:val="clear" w:color="auto" w:fill="auto"/>
            <w:noWrap/>
            <w:vAlign w:val="bottom"/>
            <w:hideMark/>
          </w:tcPr>
          <w:p w14:paraId="1BE20BCC" w14:textId="77777777" w:rsidR="00CA3B54" w:rsidRPr="00CA3B54" w:rsidRDefault="00CA3B54" w:rsidP="000A26DA">
            <w:pPr>
              <w:spacing w:after="0" w:line="240" w:lineRule="auto"/>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1.</w:t>
            </w:r>
          </w:p>
        </w:tc>
        <w:tc>
          <w:tcPr>
            <w:tcW w:w="7685" w:type="dxa"/>
            <w:shd w:val="clear" w:color="auto" w:fill="auto"/>
            <w:noWrap/>
            <w:vAlign w:val="bottom"/>
            <w:hideMark/>
          </w:tcPr>
          <w:p w14:paraId="49EB5418" w14:textId="154CD22F" w:rsidR="00CA3B54" w:rsidRPr="00CA3B54" w:rsidRDefault="00CA3B54" w:rsidP="000A26DA">
            <w:pPr>
              <w:spacing w:after="0" w:line="240" w:lineRule="auto"/>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Pasiūlymo kaina (</w:t>
            </w:r>
            <w:r w:rsidR="00A94290">
              <w:rPr>
                <w:rFonts w:ascii="Times New Roman" w:eastAsia="Times New Roman" w:hAnsi="Times New Roman" w:cs="Times New Roman"/>
                <w:b/>
                <w:bCs/>
                <w:color w:val="000000"/>
                <w:sz w:val="22"/>
                <w:szCs w:val="22"/>
              </w:rPr>
              <w:t>K</w:t>
            </w:r>
            <w:r w:rsidRPr="00CA3B54">
              <w:rPr>
                <w:rFonts w:ascii="Times New Roman" w:eastAsia="Times New Roman" w:hAnsi="Times New Roman" w:cs="Times New Roman"/>
                <w:b/>
                <w:bCs/>
                <w:color w:val="000000"/>
                <w:sz w:val="22"/>
                <w:szCs w:val="22"/>
              </w:rPr>
              <w:t xml:space="preserve">)     </w:t>
            </w:r>
          </w:p>
        </w:tc>
        <w:tc>
          <w:tcPr>
            <w:tcW w:w="1813" w:type="dxa"/>
            <w:shd w:val="clear" w:color="auto" w:fill="auto"/>
            <w:noWrap/>
            <w:vAlign w:val="center"/>
            <w:hideMark/>
          </w:tcPr>
          <w:p w14:paraId="64060564" w14:textId="035E4FAA" w:rsidR="00CA3B54" w:rsidRPr="00CA3B54"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70 %</w:t>
            </w:r>
          </w:p>
        </w:tc>
      </w:tr>
      <w:tr w:rsidR="000A26DA" w:rsidRPr="00CA3B54" w14:paraId="3B3BFAF1" w14:textId="77777777" w:rsidTr="00A94290">
        <w:trPr>
          <w:trHeight w:val="20"/>
        </w:trPr>
        <w:tc>
          <w:tcPr>
            <w:tcW w:w="562" w:type="dxa"/>
            <w:shd w:val="clear" w:color="auto" w:fill="auto"/>
            <w:noWrap/>
            <w:vAlign w:val="bottom"/>
            <w:hideMark/>
          </w:tcPr>
          <w:p w14:paraId="4FB19C80" w14:textId="77777777" w:rsidR="00CA3B54" w:rsidRPr="00CA3B54" w:rsidRDefault="00CA3B54" w:rsidP="000A26DA">
            <w:pPr>
              <w:spacing w:after="0" w:line="240" w:lineRule="auto"/>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2.</w:t>
            </w:r>
          </w:p>
        </w:tc>
        <w:tc>
          <w:tcPr>
            <w:tcW w:w="7685" w:type="dxa"/>
            <w:shd w:val="clear" w:color="auto" w:fill="auto"/>
            <w:noWrap/>
            <w:vAlign w:val="bottom"/>
            <w:hideMark/>
          </w:tcPr>
          <w:p w14:paraId="6BCDCC8A" w14:textId="0138543B" w:rsidR="00CA3B54" w:rsidRPr="00CA3B54" w:rsidRDefault="00CA3B54" w:rsidP="000A26DA">
            <w:pPr>
              <w:spacing w:after="0" w:line="240" w:lineRule="auto"/>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Kokybės kriterijai (</w:t>
            </w:r>
            <w:r w:rsidR="00A94290">
              <w:rPr>
                <w:rFonts w:ascii="Times New Roman" w:eastAsia="Times New Roman" w:hAnsi="Times New Roman" w:cs="Times New Roman"/>
                <w:b/>
                <w:bCs/>
                <w:color w:val="000000"/>
                <w:sz w:val="22"/>
                <w:szCs w:val="22"/>
              </w:rPr>
              <w:t>T</w:t>
            </w:r>
            <w:r w:rsidRPr="00CA3B54">
              <w:rPr>
                <w:rFonts w:ascii="Times New Roman" w:eastAsia="Times New Roman" w:hAnsi="Times New Roman" w:cs="Times New Roman"/>
                <w:b/>
                <w:bCs/>
                <w:color w:val="000000"/>
                <w:sz w:val="22"/>
                <w:szCs w:val="22"/>
              </w:rPr>
              <w:t xml:space="preserve">)   </w:t>
            </w:r>
          </w:p>
        </w:tc>
        <w:tc>
          <w:tcPr>
            <w:tcW w:w="1813" w:type="dxa"/>
            <w:shd w:val="clear" w:color="auto" w:fill="auto"/>
            <w:noWrap/>
            <w:vAlign w:val="center"/>
            <w:hideMark/>
          </w:tcPr>
          <w:p w14:paraId="512CB581" w14:textId="5422DF7C" w:rsidR="00CA3B54" w:rsidRPr="00CA3B54"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30 %</w:t>
            </w:r>
          </w:p>
        </w:tc>
      </w:tr>
      <w:tr w:rsidR="000A26DA" w:rsidRPr="00CA3B54" w14:paraId="28FF0A4E" w14:textId="77777777" w:rsidTr="00A94290">
        <w:trPr>
          <w:trHeight w:val="20"/>
        </w:trPr>
        <w:tc>
          <w:tcPr>
            <w:tcW w:w="8247" w:type="dxa"/>
            <w:gridSpan w:val="2"/>
            <w:shd w:val="clear" w:color="auto" w:fill="auto"/>
            <w:noWrap/>
            <w:vAlign w:val="bottom"/>
          </w:tcPr>
          <w:p w14:paraId="3E1C47FE" w14:textId="184F5FA9" w:rsidR="000A26DA" w:rsidRPr="00CA3B54" w:rsidRDefault="000A26DA" w:rsidP="000A26DA">
            <w:pPr>
              <w:spacing w:after="0" w:line="240" w:lineRule="auto"/>
              <w:rPr>
                <w:rFonts w:ascii="Times New Roman" w:eastAsia="Times New Roman" w:hAnsi="Times New Roman" w:cs="Times New Roman"/>
                <w:color w:val="000000"/>
                <w:sz w:val="22"/>
                <w:szCs w:val="22"/>
              </w:rPr>
            </w:pPr>
          </w:p>
        </w:tc>
        <w:tc>
          <w:tcPr>
            <w:tcW w:w="1813" w:type="dxa"/>
            <w:shd w:val="clear" w:color="auto" w:fill="auto"/>
            <w:noWrap/>
            <w:vAlign w:val="bottom"/>
            <w:hideMark/>
          </w:tcPr>
          <w:p w14:paraId="5E02B5A3" w14:textId="77777777" w:rsidR="000A26DA" w:rsidRPr="00CA3B54" w:rsidRDefault="000A26DA"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Skiriami balai</w:t>
            </w:r>
          </w:p>
        </w:tc>
      </w:tr>
      <w:tr w:rsidR="000A26DA" w:rsidRPr="00CA3B54" w14:paraId="5460C132" w14:textId="77777777" w:rsidTr="00A94290">
        <w:trPr>
          <w:trHeight w:val="20"/>
        </w:trPr>
        <w:tc>
          <w:tcPr>
            <w:tcW w:w="562" w:type="dxa"/>
            <w:shd w:val="clear" w:color="auto" w:fill="auto"/>
            <w:noWrap/>
            <w:hideMark/>
          </w:tcPr>
          <w:p w14:paraId="5B3B0EE0" w14:textId="1AEBBD33"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1</w:t>
            </w:r>
          </w:p>
        </w:tc>
        <w:tc>
          <w:tcPr>
            <w:tcW w:w="7685" w:type="dxa"/>
            <w:shd w:val="clear" w:color="auto" w:fill="auto"/>
            <w:hideMark/>
          </w:tcPr>
          <w:p w14:paraId="03B69E97" w14:textId="77777777" w:rsidR="00CA3B54" w:rsidRPr="00A94290" w:rsidRDefault="00CA3B54" w:rsidP="000A26DA">
            <w:pPr>
              <w:spacing w:after="0" w:line="240" w:lineRule="auto"/>
              <w:rPr>
                <w:rFonts w:ascii="Times New Roman" w:eastAsia="Times New Roman" w:hAnsi="Times New Roman" w:cs="Times New Roman"/>
                <w:color w:val="000000"/>
                <w:sz w:val="20"/>
                <w:szCs w:val="20"/>
              </w:rPr>
            </w:pPr>
            <w:r w:rsidRPr="00A94290">
              <w:rPr>
                <w:rFonts w:ascii="Times New Roman" w:eastAsia="Times New Roman" w:hAnsi="Times New Roman" w:cs="Times New Roman"/>
                <w:color w:val="000000"/>
                <w:sz w:val="20"/>
                <w:szCs w:val="20"/>
              </w:rPr>
              <w:t xml:space="preserve">Automatinio dalelių identifikacijos analizatoriaus gebėjimas identifikuoti ne tik šlapimo, bet ir kūno skysčių (smegenų skysčio, sinovijinio, pleuros, perikardo ir kt. ) punktatų daleles .  </w:t>
            </w:r>
          </w:p>
        </w:tc>
        <w:tc>
          <w:tcPr>
            <w:tcW w:w="1813" w:type="dxa"/>
            <w:shd w:val="clear" w:color="auto" w:fill="auto"/>
            <w:noWrap/>
            <w:vAlign w:val="center"/>
            <w:hideMark/>
          </w:tcPr>
          <w:p w14:paraId="0FEEB9F6"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5</w:t>
            </w:r>
          </w:p>
        </w:tc>
      </w:tr>
      <w:tr w:rsidR="000A26DA" w:rsidRPr="00CA3B54" w14:paraId="3EFB932A" w14:textId="77777777" w:rsidTr="00A94290">
        <w:trPr>
          <w:trHeight w:val="20"/>
        </w:trPr>
        <w:tc>
          <w:tcPr>
            <w:tcW w:w="562" w:type="dxa"/>
            <w:shd w:val="clear" w:color="auto" w:fill="auto"/>
            <w:noWrap/>
            <w:hideMark/>
          </w:tcPr>
          <w:p w14:paraId="1EE08929" w14:textId="03391019"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2</w:t>
            </w:r>
          </w:p>
        </w:tc>
        <w:tc>
          <w:tcPr>
            <w:tcW w:w="7685" w:type="dxa"/>
            <w:shd w:val="clear" w:color="auto" w:fill="auto"/>
            <w:hideMark/>
          </w:tcPr>
          <w:p w14:paraId="26FAB640" w14:textId="77777777" w:rsidR="00CA3B54" w:rsidRPr="00A94290" w:rsidRDefault="00CA3B54" w:rsidP="000A26DA">
            <w:pPr>
              <w:spacing w:after="0" w:line="240" w:lineRule="auto"/>
              <w:rPr>
                <w:rFonts w:ascii="Times New Roman" w:eastAsia="Times New Roman" w:hAnsi="Times New Roman" w:cs="Times New Roman"/>
                <w:sz w:val="20"/>
                <w:szCs w:val="20"/>
              </w:rPr>
            </w:pPr>
            <w:r w:rsidRPr="00A94290">
              <w:rPr>
                <w:rFonts w:ascii="Times New Roman" w:eastAsia="Times New Roman" w:hAnsi="Times New Roman" w:cs="Times New Roman"/>
                <w:sz w:val="20"/>
                <w:szCs w:val="20"/>
              </w:rPr>
              <w:t xml:space="preserve">Šlapimo ir kitų organizmo skysčių tyrimų atlikimui naudojami  tie patys reagentai, kontrolinės medžiagos bei  kitos eksploatacinės medžiagos. </w:t>
            </w:r>
          </w:p>
        </w:tc>
        <w:tc>
          <w:tcPr>
            <w:tcW w:w="1813" w:type="dxa"/>
            <w:shd w:val="clear" w:color="auto" w:fill="auto"/>
            <w:noWrap/>
            <w:vAlign w:val="center"/>
            <w:hideMark/>
          </w:tcPr>
          <w:p w14:paraId="7B2E6C3E"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3</w:t>
            </w:r>
          </w:p>
        </w:tc>
      </w:tr>
      <w:tr w:rsidR="000A26DA" w:rsidRPr="00CA3B54" w14:paraId="32BA1A02" w14:textId="77777777" w:rsidTr="00A94290">
        <w:trPr>
          <w:trHeight w:val="20"/>
        </w:trPr>
        <w:tc>
          <w:tcPr>
            <w:tcW w:w="562" w:type="dxa"/>
            <w:shd w:val="clear" w:color="auto" w:fill="auto"/>
            <w:noWrap/>
            <w:hideMark/>
          </w:tcPr>
          <w:p w14:paraId="544989D9" w14:textId="1FB7F237"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3</w:t>
            </w:r>
          </w:p>
        </w:tc>
        <w:tc>
          <w:tcPr>
            <w:tcW w:w="7685" w:type="dxa"/>
            <w:shd w:val="clear" w:color="auto" w:fill="auto"/>
            <w:hideMark/>
          </w:tcPr>
          <w:p w14:paraId="243A30A3" w14:textId="77777777" w:rsidR="00CA3B54" w:rsidRPr="00A94290" w:rsidRDefault="00CA3B54" w:rsidP="000A26DA">
            <w:pPr>
              <w:spacing w:after="0" w:line="240" w:lineRule="auto"/>
              <w:rPr>
                <w:rFonts w:ascii="Times New Roman" w:eastAsia="Times New Roman" w:hAnsi="Times New Roman" w:cs="Times New Roman"/>
                <w:color w:val="000000"/>
                <w:sz w:val="20"/>
                <w:szCs w:val="20"/>
              </w:rPr>
            </w:pPr>
            <w:r w:rsidRPr="00A94290">
              <w:rPr>
                <w:rFonts w:ascii="Times New Roman" w:eastAsia="Times New Roman" w:hAnsi="Times New Roman" w:cs="Times New Roman"/>
                <w:color w:val="000000"/>
                <w:sz w:val="20"/>
                <w:szCs w:val="20"/>
              </w:rPr>
              <w:t>Automatinio dalelių identifikacijos analizatoriaus gebėjimas nustatyti bakterijų skaičių kiekybiniu  metodu  (bakterijų skaičius/mikrolitre (µl) ) organizmo skysčiuose (smegenų skystis, sinoviinis skystis, perikardas, pleuros ir kiti punktatai).</w:t>
            </w:r>
          </w:p>
        </w:tc>
        <w:tc>
          <w:tcPr>
            <w:tcW w:w="1813" w:type="dxa"/>
            <w:shd w:val="clear" w:color="auto" w:fill="auto"/>
            <w:noWrap/>
            <w:vAlign w:val="center"/>
            <w:hideMark/>
          </w:tcPr>
          <w:p w14:paraId="676898C8"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3</w:t>
            </w:r>
          </w:p>
        </w:tc>
      </w:tr>
      <w:tr w:rsidR="000A26DA" w:rsidRPr="00CA3B54" w14:paraId="37DE1ED7" w14:textId="77777777" w:rsidTr="00A94290">
        <w:trPr>
          <w:trHeight w:val="20"/>
        </w:trPr>
        <w:tc>
          <w:tcPr>
            <w:tcW w:w="562" w:type="dxa"/>
            <w:shd w:val="clear" w:color="auto" w:fill="auto"/>
            <w:noWrap/>
            <w:hideMark/>
          </w:tcPr>
          <w:p w14:paraId="2884810A" w14:textId="02287458"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4</w:t>
            </w:r>
          </w:p>
        </w:tc>
        <w:tc>
          <w:tcPr>
            <w:tcW w:w="7685" w:type="dxa"/>
            <w:shd w:val="clear" w:color="auto" w:fill="auto"/>
            <w:hideMark/>
          </w:tcPr>
          <w:p w14:paraId="7E572CF4" w14:textId="77777777" w:rsidR="00CA3B54" w:rsidRPr="00A94290" w:rsidRDefault="00CA3B54" w:rsidP="000A26DA">
            <w:pPr>
              <w:spacing w:after="0" w:line="240" w:lineRule="auto"/>
              <w:rPr>
                <w:rFonts w:ascii="Times New Roman" w:eastAsia="Times New Roman" w:hAnsi="Times New Roman" w:cs="Times New Roman"/>
                <w:sz w:val="20"/>
                <w:szCs w:val="20"/>
              </w:rPr>
            </w:pPr>
            <w:r w:rsidRPr="00A94290">
              <w:rPr>
                <w:rFonts w:ascii="Times New Roman" w:eastAsia="Times New Roman" w:hAnsi="Times New Roman" w:cs="Times New Roman"/>
                <w:sz w:val="20"/>
                <w:szCs w:val="20"/>
              </w:rPr>
              <w:t>Automatinio dalelių identifikacijos analizatorius šlapimo dalelių identifikacijai naudoja fazokontrastinį metodą</w:t>
            </w:r>
          </w:p>
        </w:tc>
        <w:tc>
          <w:tcPr>
            <w:tcW w:w="1813" w:type="dxa"/>
            <w:shd w:val="clear" w:color="auto" w:fill="auto"/>
            <w:noWrap/>
            <w:vAlign w:val="center"/>
            <w:hideMark/>
          </w:tcPr>
          <w:p w14:paraId="7164820D"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5</w:t>
            </w:r>
          </w:p>
        </w:tc>
      </w:tr>
      <w:tr w:rsidR="000A26DA" w:rsidRPr="00CA3B54" w14:paraId="12187E05" w14:textId="77777777" w:rsidTr="00A94290">
        <w:trPr>
          <w:trHeight w:val="20"/>
        </w:trPr>
        <w:tc>
          <w:tcPr>
            <w:tcW w:w="562" w:type="dxa"/>
            <w:shd w:val="clear" w:color="auto" w:fill="auto"/>
            <w:noWrap/>
            <w:hideMark/>
          </w:tcPr>
          <w:p w14:paraId="5F51EA28" w14:textId="6D405293"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5</w:t>
            </w:r>
          </w:p>
        </w:tc>
        <w:tc>
          <w:tcPr>
            <w:tcW w:w="7685" w:type="dxa"/>
            <w:shd w:val="clear" w:color="auto" w:fill="auto"/>
            <w:hideMark/>
          </w:tcPr>
          <w:p w14:paraId="6490E861" w14:textId="77777777" w:rsidR="00CA3B54" w:rsidRPr="00A94290" w:rsidRDefault="00CA3B54" w:rsidP="000A26DA">
            <w:pPr>
              <w:spacing w:after="0" w:line="240" w:lineRule="auto"/>
              <w:rPr>
                <w:rFonts w:ascii="Times New Roman" w:eastAsia="Times New Roman" w:hAnsi="Times New Roman" w:cs="Times New Roman"/>
                <w:sz w:val="20"/>
                <w:szCs w:val="20"/>
              </w:rPr>
            </w:pPr>
            <w:r w:rsidRPr="00A94290">
              <w:rPr>
                <w:rFonts w:ascii="Times New Roman" w:eastAsia="Times New Roman" w:hAnsi="Times New Roman" w:cs="Times New Roman"/>
                <w:sz w:val="20"/>
                <w:szCs w:val="20"/>
              </w:rPr>
              <w:t>Cheminės analizės analizatoriaus  gebėjimas nustatyti šlapimo osmoliariškumą</w:t>
            </w:r>
          </w:p>
        </w:tc>
        <w:tc>
          <w:tcPr>
            <w:tcW w:w="1813" w:type="dxa"/>
            <w:shd w:val="clear" w:color="auto" w:fill="auto"/>
            <w:noWrap/>
            <w:vAlign w:val="center"/>
            <w:hideMark/>
          </w:tcPr>
          <w:p w14:paraId="262FC800"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4</w:t>
            </w:r>
          </w:p>
        </w:tc>
      </w:tr>
      <w:tr w:rsidR="000A26DA" w:rsidRPr="00CA3B54" w14:paraId="3EE8E868" w14:textId="77777777" w:rsidTr="00A94290">
        <w:trPr>
          <w:trHeight w:val="20"/>
        </w:trPr>
        <w:tc>
          <w:tcPr>
            <w:tcW w:w="562" w:type="dxa"/>
            <w:shd w:val="clear" w:color="auto" w:fill="auto"/>
            <w:noWrap/>
            <w:hideMark/>
          </w:tcPr>
          <w:p w14:paraId="50A74D5F" w14:textId="19291922"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6</w:t>
            </w:r>
          </w:p>
        </w:tc>
        <w:tc>
          <w:tcPr>
            <w:tcW w:w="7685" w:type="dxa"/>
            <w:shd w:val="clear" w:color="auto" w:fill="auto"/>
            <w:hideMark/>
          </w:tcPr>
          <w:p w14:paraId="3D502142" w14:textId="77777777" w:rsidR="00CA3B54" w:rsidRPr="00A94290" w:rsidRDefault="00CA3B54" w:rsidP="000A26DA">
            <w:pPr>
              <w:spacing w:after="0" w:line="240" w:lineRule="auto"/>
              <w:rPr>
                <w:rFonts w:ascii="Times New Roman" w:eastAsia="Times New Roman" w:hAnsi="Times New Roman" w:cs="Times New Roman"/>
                <w:color w:val="000000"/>
                <w:sz w:val="20"/>
                <w:szCs w:val="20"/>
              </w:rPr>
            </w:pPr>
            <w:r w:rsidRPr="00A94290">
              <w:rPr>
                <w:rFonts w:ascii="Times New Roman" w:eastAsia="Times New Roman" w:hAnsi="Times New Roman" w:cs="Times New Roman"/>
                <w:color w:val="000000"/>
                <w:sz w:val="20"/>
                <w:szCs w:val="20"/>
              </w:rPr>
              <w:t xml:space="preserve">Atipinių ląstelių identifikavimas šlapime - šlapimo dalelių identifikavimo analizatoriaus gebėjimas identifikuoti netipines, galimai onkologinės kilmės ląsteles, šlapime </w:t>
            </w:r>
          </w:p>
        </w:tc>
        <w:tc>
          <w:tcPr>
            <w:tcW w:w="1813" w:type="dxa"/>
            <w:shd w:val="clear" w:color="auto" w:fill="auto"/>
            <w:noWrap/>
            <w:vAlign w:val="center"/>
            <w:hideMark/>
          </w:tcPr>
          <w:p w14:paraId="4618C275"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3</w:t>
            </w:r>
          </w:p>
        </w:tc>
      </w:tr>
      <w:tr w:rsidR="000A26DA" w:rsidRPr="00CA3B54" w14:paraId="4F3F0CF3" w14:textId="77777777" w:rsidTr="00A94290">
        <w:trPr>
          <w:trHeight w:val="20"/>
        </w:trPr>
        <w:tc>
          <w:tcPr>
            <w:tcW w:w="562" w:type="dxa"/>
            <w:shd w:val="clear" w:color="auto" w:fill="auto"/>
            <w:noWrap/>
            <w:hideMark/>
          </w:tcPr>
          <w:p w14:paraId="0828B8D3" w14:textId="5368233B"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7</w:t>
            </w:r>
          </w:p>
        </w:tc>
        <w:tc>
          <w:tcPr>
            <w:tcW w:w="7685" w:type="dxa"/>
            <w:shd w:val="clear" w:color="auto" w:fill="auto"/>
            <w:hideMark/>
          </w:tcPr>
          <w:p w14:paraId="1D471E5E" w14:textId="71B8AEEC" w:rsidR="00CA3B54" w:rsidRPr="00A94290" w:rsidRDefault="00CA3B54" w:rsidP="000A26DA">
            <w:pPr>
              <w:spacing w:after="0" w:line="240" w:lineRule="auto"/>
              <w:rPr>
                <w:rFonts w:ascii="Times New Roman" w:eastAsia="Times New Roman" w:hAnsi="Times New Roman" w:cs="Times New Roman"/>
                <w:color w:val="000000"/>
                <w:sz w:val="20"/>
                <w:szCs w:val="20"/>
              </w:rPr>
            </w:pPr>
            <w:r w:rsidRPr="00A94290">
              <w:rPr>
                <w:rFonts w:ascii="Times New Roman" w:eastAsia="Times New Roman" w:hAnsi="Times New Roman" w:cs="Times New Roman"/>
                <w:color w:val="000000"/>
                <w:sz w:val="20"/>
                <w:szCs w:val="20"/>
              </w:rPr>
              <w:t xml:space="preserve">Siūlomų analizatorių būklė (nurodoma kiekvieno analizatoriaus atskirai) : </w:t>
            </w:r>
            <w:r w:rsidRPr="00A94290">
              <w:rPr>
                <w:rFonts w:ascii="Times New Roman" w:eastAsia="Times New Roman" w:hAnsi="Times New Roman" w:cs="Times New Roman"/>
                <w:color w:val="000000"/>
                <w:sz w:val="20"/>
                <w:szCs w:val="20"/>
              </w:rPr>
              <w:br/>
              <w:t xml:space="preserve">1) naujas - pagamintas ne vėliau nei 2024 m.; </w:t>
            </w:r>
            <w:r w:rsidRPr="00A94290">
              <w:rPr>
                <w:rFonts w:ascii="Times New Roman" w:eastAsia="Times New Roman" w:hAnsi="Times New Roman" w:cs="Times New Roman"/>
                <w:color w:val="000000"/>
                <w:sz w:val="20"/>
                <w:szCs w:val="20"/>
              </w:rPr>
              <w:br/>
              <w:t>2) nenaudotas - pagaminimo metai gali būti 5</w:t>
            </w:r>
            <w:r w:rsidR="00D31D66">
              <w:rPr>
                <w:rFonts w:ascii="Times New Roman" w:eastAsia="Times New Roman" w:hAnsi="Times New Roman" w:cs="Times New Roman"/>
                <w:color w:val="000000"/>
                <w:sz w:val="20"/>
                <w:szCs w:val="20"/>
              </w:rPr>
              <w:t xml:space="preserve"> </w:t>
            </w:r>
            <w:r w:rsidRPr="00A94290">
              <w:rPr>
                <w:rFonts w:ascii="Times New Roman" w:eastAsia="Times New Roman" w:hAnsi="Times New Roman" w:cs="Times New Roman"/>
                <w:color w:val="000000"/>
                <w:sz w:val="20"/>
                <w:szCs w:val="20"/>
              </w:rPr>
              <w:t>-</w:t>
            </w:r>
            <w:r w:rsidR="00D31D66">
              <w:rPr>
                <w:rFonts w:ascii="Times New Roman" w:eastAsia="Times New Roman" w:hAnsi="Times New Roman" w:cs="Times New Roman"/>
                <w:color w:val="000000"/>
                <w:sz w:val="20"/>
                <w:szCs w:val="20"/>
              </w:rPr>
              <w:t xml:space="preserve"> </w:t>
            </w:r>
            <w:r w:rsidRPr="00A94290">
              <w:rPr>
                <w:rFonts w:ascii="Times New Roman" w:eastAsia="Times New Roman" w:hAnsi="Times New Roman" w:cs="Times New Roman"/>
                <w:color w:val="000000"/>
                <w:sz w:val="20"/>
                <w:szCs w:val="20"/>
              </w:rPr>
              <w:t xml:space="preserve">7 metų; </w:t>
            </w:r>
            <w:r w:rsidRPr="00A94290">
              <w:rPr>
                <w:rFonts w:ascii="Times New Roman" w:eastAsia="Times New Roman" w:hAnsi="Times New Roman" w:cs="Times New Roman"/>
                <w:color w:val="000000"/>
                <w:sz w:val="20"/>
                <w:szCs w:val="20"/>
              </w:rPr>
              <w:br/>
              <w:t xml:space="preserve">3) naudotas- pagaminimo metai ne </w:t>
            </w:r>
            <w:r w:rsidR="00D31D66">
              <w:rPr>
                <w:rFonts w:ascii="Times New Roman" w:eastAsia="Times New Roman" w:hAnsi="Times New Roman" w:cs="Times New Roman"/>
                <w:color w:val="000000"/>
                <w:sz w:val="20"/>
                <w:szCs w:val="20"/>
              </w:rPr>
              <w:t>daugiau kaip prieš</w:t>
            </w:r>
            <w:r w:rsidRPr="00A94290">
              <w:rPr>
                <w:rFonts w:ascii="Times New Roman" w:eastAsia="Times New Roman" w:hAnsi="Times New Roman" w:cs="Times New Roman"/>
                <w:color w:val="000000"/>
                <w:sz w:val="20"/>
                <w:szCs w:val="20"/>
              </w:rPr>
              <w:t xml:space="preserve"> 5 m.</w:t>
            </w:r>
          </w:p>
        </w:tc>
        <w:tc>
          <w:tcPr>
            <w:tcW w:w="1813" w:type="dxa"/>
            <w:shd w:val="clear" w:color="auto" w:fill="auto"/>
            <w:noWrap/>
            <w:vAlign w:val="center"/>
            <w:hideMark/>
          </w:tcPr>
          <w:p w14:paraId="12C9F24D" w14:textId="77777777" w:rsidR="000A26DA" w:rsidRPr="000A26DA" w:rsidRDefault="000A26DA" w:rsidP="000A26DA">
            <w:pPr>
              <w:spacing w:after="0" w:line="240" w:lineRule="auto"/>
              <w:jc w:val="center"/>
              <w:rPr>
                <w:rFonts w:ascii="Times New Roman" w:eastAsia="Times New Roman" w:hAnsi="Times New Roman" w:cs="Times New Roman"/>
                <w:color w:val="000000"/>
                <w:sz w:val="22"/>
                <w:szCs w:val="22"/>
              </w:rPr>
            </w:pPr>
          </w:p>
          <w:p w14:paraId="0B4A0077" w14:textId="784FBE10" w:rsidR="000A26DA" w:rsidRPr="000A26DA"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bCs/>
                <w:color w:val="000000"/>
                <w:sz w:val="22"/>
                <w:szCs w:val="22"/>
              </w:rPr>
              <w:t>3</w:t>
            </w:r>
          </w:p>
          <w:p w14:paraId="60204FD4" w14:textId="458374A1" w:rsidR="000A26DA" w:rsidRPr="000A26DA"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2</w:t>
            </w:r>
          </w:p>
          <w:p w14:paraId="4C64B9F7" w14:textId="5AFCEB2B" w:rsidR="00CA3B54" w:rsidRPr="00CA3B54"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1</w:t>
            </w:r>
          </w:p>
        </w:tc>
      </w:tr>
      <w:tr w:rsidR="000A26DA" w:rsidRPr="00CA3B54" w14:paraId="0D6C1D39" w14:textId="77777777" w:rsidTr="00A94290">
        <w:trPr>
          <w:trHeight w:val="20"/>
        </w:trPr>
        <w:tc>
          <w:tcPr>
            <w:tcW w:w="562" w:type="dxa"/>
            <w:shd w:val="clear" w:color="auto" w:fill="auto"/>
            <w:noWrap/>
            <w:hideMark/>
          </w:tcPr>
          <w:p w14:paraId="40E0A669" w14:textId="2831DC13" w:rsidR="00CA3B54" w:rsidRPr="00CA3B54" w:rsidRDefault="00A94290" w:rsidP="000A26D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CA3B54" w:rsidRPr="00A94290">
              <w:rPr>
                <w:rFonts w:ascii="Times New Roman" w:eastAsia="Times New Roman" w:hAnsi="Times New Roman" w:cs="Times New Roman"/>
                <w:color w:val="000000"/>
                <w:sz w:val="22"/>
                <w:szCs w:val="22"/>
                <w:vertAlign w:val="subscript"/>
              </w:rPr>
              <w:t>8</w:t>
            </w:r>
          </w:p>
        </w:tc>
        <w:tc>
          <w:tcPr>
            <w:tcW w:w="7685" w:type="dxa"/>
            <w:shd w:val="clear" w:color="auto" w:fill="auto"/>
            <w:hideMark/>
          </w:tcPr>
          <w:p w14:paraId="055CE5B6" w14:textId="77777777" w:rsidR="00CA3B54" w:rsidRPr="00A94290" w:rsidRDefault="00CA3B54" w:rsidP="000A26DA">
            <w:pPr>
              <w:spacing w:after="0" w:line="240" w:lineRule="auto"/>
              <w:rPr>
                <w:rFonts w:ascii="Times New Roman" w:eastAsia="Times New Roman" w:hAnsi="Times New Roman" w:cs="Times New Roman"/>
                <w:sz w:val="20"/>
                <w:szCs w:val="20"/>
              </w:rPr>
            </w:pPr>
            <w:r w:rsidRPr="00A94290">
              <w:rPr>
                <w:rFonts w:ascii="Times New Roman" w:eastAsia="Times New Roman" w:hAnsi="Times New Roman" w:cs="Times New Roman"/>
                <w:sz w:val="20"/>
                <w:szCs w:val="20"/>
              </w:rPr>
              <w:t>Visų analizatorių (siūlomos analizatorių sistemos) valdymas gamintojo sukurta ir pritaikyta tarpine informacine sistema</w:t>
            </w:r>
          </w:p>
        </w:tc>
        <w:tc>
          <w:tcPr>
            <w:tcW w:w="1813" w:type="dxa"/>
            <w:shd w:val="clear" w:color="auto" w:fill="auto"/>
            <w:noWrap/>
            <w:vAlign w:val="center"/>
            <w:hideMark/>
          </w:tcPr>
          <w:p w14:paraId="57E5293E" w14:textId="77777777" w:rsidR="00CA3B54" w:rsidRPr="00CA3B54" w:rsidRDefault="00CA3B54" w:rsidP="000A26DA">
            <w:pPr>
              <w:spacing w:after="0" w:line="240" w:lineRule="auto"/>
              <w:jc w:val="center"/>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1</w:t>
            </w:r>
          </w:p>
        </w:tc>
      </w:tr>
    </w:tbl>
    <w:p w14:paraId="28350B45" w14:textId="77777777" w:rsidR="00A94290" w:rsidRDefault="00A94290" w:rsidP="00A94290">
      <w:pPr>
        <w:pStyle w:val="Heading"/>
        <w:spacing w:before="120"/>
        <w:rPr>
          <w:rFonts w:cs="Times New Roman"/>
          <w:bCs w:val="0"/>
          <w:color w:val="000000"/>
        </w:rPr>
      </w:pPr>
      <w:r>
        <w:rPr>
          <w:rFonts w:cs="Times New Roman"/>
          <w:bCs w:val="0"/>
          <w:color w:val="000000"/>
        </w:rPr>
        <w:t>3. Apskaičiavimo tvarka</w:t>
      </w:r>
    </w:p>
    <w:p w14:paraId="15FE1383" w14:textId="77777777" w:rsidR="00A94290" w:rsidRPr="00D953BE" w:rsidRDefault="00A94290" w:rsidP="00A94290">
      <w:pPr>
        <w:pStyle w:val="Sraopastraipa"/>
        <w:numPr>
          <w:ilvl w:val="1"/>
          <w:numId w:val="33"/>
        </w:numPr>
        <w:tabs>
          <w:tab w:val="left" w:pos="851"/>
        </w:tabs>
        <w:suppressAutoHyphens/>
        <w:spacing w:before="120"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kainos kriterijus K bus įvertinamas eurais (su PVM) pagal tiekėjų kainas, nurodytas pasiūlyme.</w:t>
      </w:r>
    </w:p>
    <w:p w14:paraId="4F3F39F8"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kainos (K) balas yra apskaičiuojamas mažiausios pasiūlytos kainos (</w:t>
      </w:r>
      <w:proofErr w:type="spellStart"/>
      <w:r w:rsidRPr="00D953BE">
        <w:rPr>
          <w:rFonts w:ascii="Times New Roman" w:hAnsi="Times New Roman" w:cs="Times New Roman"/>
          <w:bCs/>
          <w:color w:val="000000"/>
          <w:sz w:val="22"/>
          <w:szCs w:val="22"/>
        </w:rPr>
        <w:t>K</w:t>
      </w:r>
      <w:r w:rsidRPr="00D953BE">
        <w:rPr>
          <w:rFonts w:ascii="Times New Roman" w:hAnsi="Times New Roman" w:cs="Times New Roman"/>
          <w:bCs/>
          <w:color w:val="000000"/>
          <w:sz w:val="22"/>
          <w:szCs w:val="22"/>
          <w:vertAlign w:val="subscript"/>
        </w:rPr>
        <w:t>min</w:t>
      </w:r>
      <w:proofErr w:type="spellEnd"/>
      <w:r w:rsidRPr="00D953BE">
        <w:rPr>
          <w:rFonts w:ascii="Times New Roman" w:hAnsi="Times New Roman" w:cs="Times New Roman"/>
          <w:bCs/>
          <w:color w:val="000000"/>
          <w:sz w:val="22"/>
          <w:szCs w:val="22"/>
        </w:rPr>
        <w:t>) ir vertinamo pasiūlymo kainos (K</w:t>
      </w:r>
      <w:r w:rsidRPr="00D953BE">
        <w:rPr>
          <w:rFonts w:ascii="Times New Roman" w:hAnsi="Times New Roman" w:cs="Times New Roman"/>
          <w:bCs/>
          <w:color w:val="000000"/>
          <w:sz w:val="22"/>
          <w:szCs w:val="22"/>
          <w:vertAlign w:val="subscript"/>
        </w:rPr>
        <w:t>V</w:t>
      </w:r>
      <w:r w:rsidRPr="00D953BE">
        <w:rPr>
          <w:rFonts w:ascii="Times New Roman" w:hAnsi="Times New Roman" w:cs="Times New Roman"/>
          <w:bCs/>
          <w:color w:val="000000"/>
          <w:sz w:val="22"/>
          <w:szCs w:val="22"/>
        </w:rPr>
        <w:t>) santykį padauginant iš kainos lyginamojo svorio (X):</w:t>
      </w:r>
    </w:p>
    <w:p w14:paraId="479FAD78" w14:textId="77777777" w:rsidR="00A94290" w:rsidRPr="00D953BE" w:rsidRDefault="00A94290" w:rsidP="00A94290">
      <w:pPr>
        <w:tabs>
          <w:tab w:val="left" w:pos="851"/>
          <w:tab w:val="left" w:pos="1276"/>
        </w:tabs>
        <w:suppressAutoHyphens/>
        <w:spacing w:after="120" w:line="240" w:lineRule="auto"/>
        <w:ind w:left="450"/>
        <w:jc w:val="both"/>
        <w:rPr>
          <w:rFonts w:ascii="Times New Roman" w:hAnsi="Times New Roman" w:cs="Times New Roman"/>
          <w:bCs/>
          <w:color w:val="000000"/>
          <w:sz w:val="22"/>
          <w:szCs w:val="22"/>
        </w:rPr>
      </w:pPr>
      <m:oMathPara>
        <m:oMathParaPr>
          <m:jc m:val="center"/>
        </m:oMathParaPr>
        <m:oMath>
          <m:r>
            <m:rPr>
              <m:sty m:val="p"/>
            </m:rPr>
            <w:rPr>
              <w:rFonts w:ascii="Cambria Math" w:hAnsi="Cambria Math" w:cs="Times New Roman"/>
              <w:color w:val="000000"/>
              <w:sz w:val="22"/>
              <w:szCs w:val="22"/>
            </w:rPr>
            <m:t>K=</m:t>
          </m:r>
          <m:f>
            <m:fPr>
              <m:ctrlPr>
                <w:rPr>
                  <w:rFonts w:ascii="Cambria Math" w:hAnsi="Cambria Math" w:cs="Times New Roman"/>
                  <w:bCs/>
                  <w:color w:val="000000"/>
                  <w:sz w:val="22"/>
                  <w:szCs w:val="22"/>
                </w:rPr>
              </m:ctrlPr>
            </m:fPr>
            <m:num>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min</m:t>
                  </m:r>
                </m:sub>
              </m:sSub>
            </m:num>
            <m:den>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v</m:t>
                  </m:r>
                </m:sub>
              </m:sSub>
            </m:den>
          </m:f>
          <m:r>
            <m:rPr>
              <m:sty m:val="p"/>
            </m:rPr>
            <w:rPr>
              <w:rFonts w:ascii="Cambria Math" w:hAnsi="Cambria Math" w:cs="Times New Roman"/>
              <w:color w:val="000000"/>
              <w:sz w:val="22"/>
              <w:szCs w:val="22"/>
            </w:rPr>
            <m:t xml:space="preserve"> ×X</m:t>
          </m:r>
        </m:oMath>
      </m:oMathPara>
    </w:p>
    <w:p w14:paraId="53CEAE48"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3B00EA41"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Siūlomo objekto techniniai pranašumai įvertinami statiniu vertinimo būdu ir neturi skaitinių išraiškų (yra arba nėra), todėl parametro įvertinimas apskaičiuojamas pagal formulę: </w:t>
      </w:r>
    </w:p>
    <w:p w14:paraId="2D27A13F" w14:textId="77777777" w:rsidR="00A94290" w:rsidRPr="00D953BE" w:rsidRDefault="00A94290" w:rsidP="00A94290">
      <w:pPr>
        <w:pStyle w:val="Sraopastraipa"/>
        <w:numPr>
          <w:ilvl w:val="2"/>
          <w:numId w:val="33"/>
        </w:numPr>
        <w:tabs>
          <w:tab w:val="left" w:pos="1276"/>
        </w:tabs>
        <w:suppressAutoHyphens/>
        <w:spacing w:after="120" w:line="240" w:lineRule="auto"/>
        <w:ind w:left="0" w:firstLine="567"/>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Jei siūlomas objektas turi nurodytą pranašumą:   </w:t>
      </w:r>
      <w:r w:rsidRPr="00D953BE">
        <w:rPr>
          <w:rFonts w:ascii="Times New Roman" w:hAnsi="Times New Roman" w:cs="Times New Roman"/>
          <w:bCs/>
          <w:i/>
          <w:color w:val="000000"/>
          <w:sz w:val="22"/>
          <w:szCs w:val="22"/>
        </w:rPr>
        <w:t>T = L</w:t>
      </w:r>
      <w:r w:rsidRPr="00D953BE">
        <w:rPr>
          <w:rFonts w:ascii="Times New Roman" w:hAnsi="Times New Roman" w:cs="Times New Roman"/>
          <w:bCs/>
          <w:color w:val="000000"/>
          <w:sz w:val="22"/>
          <w:szCs w:val="22"/>
        </w:rPr>
        <w:t xml:space="preserve"> </w:t>
      </w:r>
    </w:p>
    <w:p w14:paraId="6461BB5C" w14:textId="77777777" w:rsidR="00A94290" w:rsidRPr="00D953BE" w:rsidRDefault="00A94290" w:rsidP="00A94290">
      <w:pPr>
        <w:pStyle w:val="Sraopastraipa"/>
        <w:numPr>
          <w:ilvl w:val="2"/>
          <w:numId w:val="33"/>
        </w:numPr>
        <w:tabs>
          <w:tab w:val="left" w:pos="1276"/>
        </w:tabs>
        <w:suppressAutoHyphens/>
        <w:spacing w:after="120" w:line="240" w:lineRule="auto"/>
        <w:ind w:left="0" w:firstLine="567"/>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Jei siūlomas objektas neturi nurodyto pranašumo:  </w:t>
      </w:r>
      <w:r w:rsidRPr="00D953BE">
        <w:rPr>
          <w:rFonts w:ascii="Times New Roman" w:hAnsi="Times New Roman" w:cs="Times New Roman"/>
          <w:bCs/>
          <w:i/>
          <w:color w:val="000000"/>
          <w:sz w:val="22"/>
          <w:szCs w:val="22"/>
        </w:rPr>
        <w:t>T = L = 0</w:t>
      </w:r>
    </w:p>
    <w:p w14:paraId="145DB195"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ekonominis naudingumas (kainos ir kokybės santykis) (E) apskaičiuojamas sudedant tiekėjo pasiūlymo kainos (K) ir techninio kriterijaus (T) balus:</w:t>
      </w:r>
    </w:p>
    <w:p w14:paraId="59AACC91" w14:textId="27CB699D" w:rsidR="00FA78CB" w:rsidRPr="00A94290" w:rsidRDefault="00A94290" w:rsidP="00A94290">
      <w:pPr>
        <w:spacing w:after="120"/>
        <w:jc w:val="center"/>
        <w:rPr>
          <w:rFonts w:ascii="Times New Roman" w:hAnsi="Times New Roman" w:cs="Times New Roman"/>
          <w:bCs/>
          <w:color w:val="000000"/>
          <w:sz w:val="22"/>
          <w:szCs w:val="22"/>
          <w:vertAlign w:val="subscript"/>
        </w:rPr>
      </w:pPr>
      <w:r w:rsidRPr="00D953BE">
        <w:rPr>
          <w:rFonts w:ascii="Times New Roman" w:hAnsi="Times New Roman" w:cs="Times New Roman"/>
          <w:bCs/>
          <w:color w:val="000000"/>
          <w:sz w:val="22"/>
          <w:szCs w:val="22"/>
        </w:rPr>
        <w:t>E=K+T</w:t>
      </w:r>
      <w:r w:rsidR="00FA78CB"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8E75F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8E75F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8E75F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8E75F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8E75F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8E75F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8E75F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8E75F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84C2E33" w:rsidR="00FF2E2A" w:rsidRDefault="00FF2E2A">
      <w:pP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40AD8452" w14:textId="32A7AE6C" w:rsidR="00FF2E2A" w:rsidRPr="00B76C48" w:rsidRDefault="00FF2E2A" w:rsidP="00FF2E2A">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Įrangos panaudos s</w:t>
      </w:r>
      <w:r w:rsidRPr="00B76C48">
        <w:rPr>
          <w:rFonts w:ascii="Times New Roman" w:eastAsia="Calibri" w:hAnsi="Times New Roman" w:cs="Times New Roman"/>
          <w:b/>
          <w:bCs/>
          <w:color w:val="auto"/>
          <w:sz w:val="22"/>
          <w:szCs w:val="22"/>
        </w:rPr>
        <w:t>utarties projektas“</w:t>
      </w:r>
    </w:p>
    <w:p w14:paraId="5BBA0E56" w14:textId="77777777" w:rsidR="00FF2E2A" w:rsidRPr="00E43092" w:rsidRDefault="00FF2E2A" w:rsidP="00FF2E2A">
      <w:pPr>
        <w:rPr>
          <w:rFonts w:ascii="Times New Roman" w:hAnsi="Times New Roman" w:cs="Times New Roman"/>
          <w:sz w:val="24"/>
          <w:szCs w:val="24"/>
        </w:rPr>
      </w:pPr>
    </w:p>
    <w:p w14:paraId="0BC4DD33" w14:textId="77777777" w:rsidR="00FF2E2A" w:rsidRPr="00E43092" w:rsidRDefault="00FF2E2A" w:rsidP="00FF2E2A">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D9538B6" w14:textId="77777777"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5DD7" w14:textId="77777777" w:rsidR="00424E35" w:rsidRDefault="00424E35" w:rsidP="00D05666">
      <w:r>
        <w:separator/>
      </w:r>
    </w:p>
  </w:endnote>
  <w:endnote w:type="continuationSeparator" w:id="0">
    <w:p w14:paraId="73FCC0BF" w14:textId="77777777" w:rsidR="00424E35" w:rsidRDefault="00424E35" w:rsidP="00D05666">
      <w:r>
        <w:continuationSeparator/>
      </w:r>
    </w:p>
  </w:endnote>
  <w:endnote w:type="continuationNotice" w:id="1">
    <w:p w14:paraId="0F0118C8" w14:textId="77777777" w:rsidR="00424E35" w:rsidRDefault="00424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2BBAAC6C" w:rsidR="008E75F0" w:rsidRPr="00B76C48" w:rsidRDefault="008E75F0"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00CF3BD7">
          <w:rPr>
            <w:rFonts w:ascii="Times New Roman" w:hAnsi="Times New Roman" w:cs="Times New Roman"/>
            <w:noProof/>
            <w:sz w:val="22"/>
            <w:szCs w:val="22"/>
          </w:rPr>
          <w:t>2</w:t>
        </w:r>
        <w:r w:rsidR="00CF3BD7">
          <w:rPr>
            <w:rFonts w:ascii="Times New Roman" w:hAnsi="Times New Roman" w:cs="Times New Roman"/>
            <w:noProof/>
            <w:sz w:val="22"/>
            <w:szCs w:val="22"/>
          </w:rPr>
          <w:t>0</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8E75F0" w:rsidRDefault="008E75F0"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79C9" w14:textId="77777777" w:rsidR="00424E35" w:rsidRDefault="00424E35" w:rsidP="00D05666">
      <w:r>
        <w:separator/>
      </w:r>
    </w:p>
  </w:footnote>
  <w:footnote w:type="continuationSeparator" w:id="0">
    <w:p w14:paraId="3BC61FA3" w14:textId="77777777" w:rsidR="00424E35" w:rsidRDefault="00424E35" w:rsidP="00D05666">
      <w:r>
        <w:continuationSeparator/>
      </w:r>
    </w:p>
  </w:footnote>
  <w:footnote w:type="continuationNotice" w:id="1">
    <w:p w14:paraId="52CEE131" w14:textId="77777777" w:rsidR="00424E35" w:rsidRDefault="00424E35">
      <w:pPr>
        <w:spacing w:after="0" w:line="240" w:lineRule="auto"/>
      </w:pPr>
    </w:p>
  </w:footnote>
  <w:footnote w:id="2">
    <w:p w14:paraId="4C77E61B" w14:textId="77777777" w:rsidR="008E75F0" w:rsidRPr="00F72A24" w:rsidRDefault="008E75F0"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8E75F0" w:rsidRPr="00F72A24" w:rsidRDefault="008E75F0"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8E75F0" w:rsidRPr="00F72A24" w:rsidRDefault="008E75F0"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8E75F0" w:rsidRPr="00F72A24" w:rsidRDefault="008E75F0"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8E75F0" w:rsidRPr="00F72A24" w:rsidRDefault="008E75F0"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8E75F0" w:rsidRPr="00F72A24" w:rsidRDefault="008E75F0"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8E75F0" w:rsidRPr="00F72A24" w:rsidRDefault="008E75F0"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8E75F0" w:rsidRPr="00F72A24" w:rsidRDefault="008E75F0"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8E75F0" w:rsidRPr="00F72A24" w:rsidRDefault="008E75F0"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DEEEEFA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C240C4"/>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2098480953">
    <w:abstractNumId w:val="8"/>
  </w:num>
  <w:num w:numId="2" w16cid:durableId="1130628288">
    <w:abstractNumId w:val="4"/>
  </w:num>
  <w:num w:numId="3" w16cid:durableId="360858069">
    <w:abstractNumId w:val="24"/>
  </w:num>
  <w:num w:numId="4" w16cid:durableId="1041251063">
    <w:abstractNumId w:val="27"/>
  </w:num>
  <w:num w:numId="5" w16cid:durableId="1341618860">
    <w:abstractNumId w:val="17"/>
  </w:num>
  <w:num w:numId="6" w16cid:durableId="1011907272">
    <w:abstractNumId w:val="22"/>
  </w:num>
  <w:num w:numId="7" w16cid:durableId="2102948158">
    <w:abstractNumId w:val="33"/>
  </w:num>
  <w:num w:numId="8" w16cid:durableId="1514682632">
    <w:abstractNumId w:val="31"/>
  </w:num>
  <w:num w:numId="9" w16cid:durableId="647438346">
    <w:abstractNumId w:val="30"/>
  </w:num>
  <w:num w:numId="10" w16cid:durableId="1359307889">
    <w:abstractNumId w:val="16"/>
  </w:num>
  <w:num w:numId="11" w16cid:durableId="597175863">
    <w:abstractNumId w:val="14"/>
  </w:num>
  <w:num w:numId="12" w16cid:durableId="2068531845">
    <w:abstractNumId w:val="12"/>
  </w:num>
  <w:num w:numId="13" w16cid:durableId="596640984">
    <w:abstractNumId w:val="13"/>
  </w:num>
  <w:num w:numId="14" w16cid:durableId="1464729939">
    <w:abstractNumId w:val="23"/>
  </w:num>
  <w:num w:numId="15" w16cid:durableId="1826702880">
    <w:abstractNumId w:val="26"/>
  </w:num>
  <w:num w:numId="16" w16cid:durableId="173809425">
    <w:abstractNumId w:val="10"/>
  </w:num>
  <w:num w:numId="17" w16cid:durableId="21320882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898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240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78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75325">
    <w:abstractNumId w:val="34"/>
  </w:num>
  <w:num w:numId="22" w16cid:durableId="1447122396">
    <w:abstractNumId w:val="5"/>
  </w:num>
  <w:num w:numId="23" w16cid:durableId="394158196">
    <w:abstractNumId w:val="6"/>
  </w:num>
  <w:num w:numId="24" w16cid:durableId="2027054247">
    <w:abstractNumId w:val="7"/>
  </w:num>
  <w:num w:numId="25" w16cid:durableId="1978297882">
    <w:abstractNumId w:val="19"/>
  </w:num>
  <w:num w:numId="26" w16cid:durableId="537550465">
    <w:abstractNumId w:val="3"/>
  </w:num>
  <w:num w:numId="27" w16cid:durableId="1287463143">
    <w:abstractNumId w:val="18"/>
  </w:num>
  <w:num w:numId="28" w16cid:durableId="103617215">
    <w:abstractNumId w:val="1"/>
  </w:num>
  <w:num w:numId="29" w16cid:durableId="881287350">
    <w:abstractNumId w:val="2"/>
  </w:num>
  <w:num w:numId="30" w16cid:durableId="1629359905">
    <w:abstractNumId w:val="20"/>
  </w:num>
  <w:num w:numId="31" w16cid:durableId="6910300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9238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718379">
    <w:abstractNumId w:val="9"/>
  </w:num>
  <w:num w:numId="34" w16cid:durableId="803616607">
    <w:abstractNumId w:val="15"/>
  </w:num>
  <w:num w:numId="35" w16cid:durableId="1760329309">
    <w:abstractNumId w:val="29"/>
  </w:num>
  <w:num w:numId="36" w16cid:durableId="491875418">
    <w:abstractNumId w:val="25"/>
  </w:num>
  <w:num w:numId="37" w16cid:durableId="1712067857">
    <w:abstractNumId w:val="28"/>
  </w:num>
  <w:num w:numId="38" w16cid:durableId="1961913931">
    <w:abstractNumId w:val="0"/>
  </w:num>
  <w:num w:numId="39" w16cid:durableId="1275140288">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9E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6DA"/>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55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79"/>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4E35"/>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E741A"/>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5F0"/>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90"/>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3B54"/>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3BD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D66"/>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09"/>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570446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356A60B-FBE7-4467-A991-3D34E01845BC}">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31314</Words>
  <Characters>17849</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2025-04-25T10:55:00Z</dcterms:created>
  <dcterms:modified xsi:type="dcterms:W3CDTF">2025-04-25T11:57:00Z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