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166E" w14:textId="395FAA6E" w:rsidR="00035A0A" w:rsidRPr="00354684" w:rsidRDefault="00347C99" w:rsidP="00212902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354684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61A1747" wp14:editId="51FBC60D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6BD7" w14:textId="77777777" w:rsidR="00EF0C88" w:rsidRPr="00354684" w:rsidRDefault="00EF0C88" w:rsidP="00EF0C88">
      <w:pPr>
        <w:jc w:val="center"/>
        <w:rPr>
          <w:rFonts w:ascii="Arial" w:hAnsi="Arial" w:cs="Arial"/>
          <w:b/>
          <w:bCs/>
          <w:spacing w:val="24"/>
          <w:sz w:val="20"/>
          <w:szCs w:val="20"/>
        </w:rPr>
      </w:pPr>
      <w:r w:rsidRPr="00354684">
        <w:rPr>
          <w:rFonts w:ascii="Arial" w:hAnsi="Arial" w:cs="Arial"/>
          <w:b/>
          <w:bCs/>
          <w:spacing w:val="24"/>
          <w:sz w:val="20"/>
          <w:szCs w:val="20"/>
        </w:rPr>
        <w:t>VILNIAUS UNIVERSITETAS</w:t>
      </w:r>
    </w:p>
    <w:p w14:paraId="2AC83378" w14:textId="77777777" w:rsidR="00025372" w:rsidRPr="00354684" w:rsidRDefault="00025372" w:rsidP="000B09DC">
      <w:pPr>
        <w:ind w:left="-56"/>
        <w:rPr>
          <w:rFonts w:ascii="Arial" w:hAnsi="Arial" w:cs="Arial"/>
          <w:b/>
          <w:bCs/>
          <w:sz w:val="20"/>
          <w:szCs w:val="20"/>
        </w:rPr>
      </w:pPr>
    </w:p>
    <w:p w14:paraId="517239E2" w14:textId="49563F63" w:rsidR="008A3071" w:rsidRPr="00354684" w:rsidRDefault="000B09DC" w:rsidP="00533BA1">
      <w:pPr>
        <w:ind w:left="-56"/>
        <w:rPr>
          <w:rFonts w:ascii="Arial" w:hAnsi="Arial" w:cs="Arial"/>
          <w:b/>
          <w:bCs/>
          <w:sz w:val="20"/>
          <w:szCs w:val="20"/>
        </w:rPr>
      </w:pPr>
      <w:r w:rsidRPr="00354684">
        <w:rPr>
          <w:rFonts w:ascii="Arial" w:hAnsi="Arial" w:cs="Arial"/>
          <w:b/>
          <w:bCs/>
          <w:sz w:val="20"/>
          <w:szCs w:val="20"/>
        </w:rPr>
        <w:t>Suinteresuotiems asmenims</w:t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</w:r>
      <w:r w:rsidR="0026625D" w:rsidRPr="00354684">
        <w:rPr>
          <w:rFonts w:ascii="Arial" w:hAnsi="Arial" w:cs="Arial"/>
          <w:b/>
          <w:bCs/>
          <w:sz w:val="20"/>
          <w:szCs w:val="20"/>
        </w:rPr>
        <w:tab/>
        <w:t>2025-04-</w:t>
      </w:r>
      <w:r w:rsidR="008A3071" w:rsidRPr="00354684">
        <w:rPr>
          <w:rFonts w:ascii="Arial" w:hAnsi="Arial" w:cs="Arial"/>
          <w:b/>
          <w:bCs/>
          <w:sz w:val="20"/>
          <w:szCs w:val="20"/>
        </w:rPr>
        <w:t>2</w:t>
      </w:r>
      <w:r w:rsidR="00AB7DD6">
        <w:rPr>
          <w:rFonts w:ascii="Arial" w:hAnsi="Arial" w:cs="Arial"/>
          <w:b/>
          <w:bCs/>
          <w:sz w:val="20"/>
          <w:szCs w:val="20"/>
        </w:rPr>
        <w:t>5</w:t>
      </w:r>
    </w:p>
    <w:p w14:paraId="53FA7137" w14:textId="6999FBCD" w:rsidR="0065041B" w:rsidRPr="00354684" w:rsidRDefault="00035A0A" w:rsidP="00354684">
      <w:pPr>
        <w:ind w:left="-56"/>
        <w:rPr>
          <w:rFonts w:ascii="Arial" w:hAnsi="Arial" w:cs="Arial"/>
          <w:b/>
          <w:bCs/>
          <w:sz w:val="20"/>
          <w:szCs w:val="20"/>
        </w:rPr>
      </w:pPr>
      <w:r w:rsidRPr="00354684">
        <w:rPr>
          <w:rFonts w:ascii="Arial" w:hAnsi="Arial" w:cs="Arial"/>
          <w:b/>
          <w:bCs/>
          <w:sz w:val="20"/>
          <w:szCs w:val="20"/>
        </w:rPr>
        <w:t>DĖL RINKOS KONSULTACIJOS</w:t>
      </w:r>
      <w:r w:rsidR="000B09DC" w:rsidRPr="00354684">
        <w:rPr>
          <w:rFonts w:ascii="Arial" w:hAnsi="Arial" w:cs="Arial"/>
          <w:b/>
          <w:bCs/>
          <w:sz w:val="20"/>
          <w:szCs w:val="20"/>
        </w:rPr>
        <w:t xml:space="preserve"> APIBENDRINIMO</w:t>
      </w:r>
      <w:r w:rsidR="008B2C2F" w:rsidRPr="00354684">
        <w:rPr>
          <w:rFonts w:ascii="Arial" w:hAnsi="Arial" w:cs="Arial"/>
          <w:b/>
          <w:bCs/>
          <w:sz w:val="20"/>
          <w:szCs w:val="20"/>
        </w:rPr>
        <w:t xml:space="preserve"> IR </w:t>
      </w:r>
      <w:r w:rsidR="008A6A6C" w:rsidRPr="00354684">
        <w:rPr>
          <w:rFonts w:ascii="Arial" w:hAnsi="Arial" w:cs="Arial"/>
          <w:b/>
          <w:bCs/>
          <w:sz w:val="20"/>
          <w:szCs w:val="20"/>
        </w:rPr>
        <w:t>PAPILDOMŲ KLAUSIMŲ</w:t>
      </w:r>
    </w:p>
    <w:p w14:paraId="3AD0359D" w14:textId="77777777" w:rsidR="0065041B" w:rsidRPr="00354684" w:rsidRDefault="0065041B" w:rsidP="00025372">
      <w:pPr>
        <w:ind w:left="-426" w:firstLine="567"/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</w:p>
    <w:p w14:paraId="77AFF4F7" w14:textId="265D7BCD" w:rsidR="00113EAF" w:rsidRPr="00354684" w:rsidRDefault="0065041B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Vilniaus </w:t>
      </w:r>
      <w:r w:rsidR="000E0FD1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u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niversitetas (toliau – VU</w:t>
      </w:r>
      <w:r w:rsidR="003020C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/</w:t>
      </w:r>
      <w:r w:rsidR="003020CE" w:rsidRPr="00354684">
        <w:rPr>
          <w:rFonts w:ascii="Arial" w:hAnsi="Arial" w:cs="Arial"/>
          <w:sz w:val="20"/>
          <w:szCs w:val="20"/>
        </w:rPr>
        <w:t xml:space="preserve"> </w:t>
      </w:r>
      <w:r w:rsidR="003020C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Perkančioji organizacija </w:t>
      </w:r>
      <w:r w:rsidR="000E0FD1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/ pirkėjas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), siekdama</w:t>
      </w:r>
      <w:r w:rsidR="000E0FD1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s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tinkamai pasirengti numatomam </w:t>
      </w:r>
      <w:proofErr w:type="spellStart"/>
      <w:r w:rsidR="00E94657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Makromolekulinių</w:t>
      </w:r>
      <w:proofErr w:type="spellEnd"/>
      <w:r w:rsidR="00E94657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sąveikų matavimo prietaiso pirkimui </w:t>
      </w:r>
      <w:r w:rsidR="00595B4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(toliau – įrang</w:t>
      </w:r>
      <w:r w:rsidR="00B00AE3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</w:t>
      </w:r>
      <w:r w:rsidR="00595B4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) 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pirkimui</w:t>
      </w:r>
      <w:r w:rsidR="008D475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,</w:t>
      </w:r>
      <w:r w:rsidR="00906174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5D360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vykdo </w:t>
      </w:r>
      <w:r w:rsidR="00212902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rinkos dalyvių konsultaciją.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DF48F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Dėkojame</w:t>
      </w:r>
      <w:r w:rsidR="004640D0" w:rsidRPr="00354684">
        <w:rPr>
          <w:rFonts w:ascii="Arial" w:hAnsi="Arial" w:cs="Arial"/>
          <w:sz w:val="20"/>
          <w:szCs w:val="20"/>
        </w:rPr>
        <w:t xml:space="preserve"> </w:t>
      </w:r>
      <w:r w:rsidR="00F66F05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už </w:t>
      </w:r>
      <w:r w:rsidR="00DF48F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dalyvavimą</w:t>
      </w:r>
      <w:r w:rsidR="0008635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rinkos konsultacijoje</w:t>
      </w:r>
      <w:r w:rsidR="00DF48F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ir pateikt</w:t>
      </w:r>
      <w:r w:rsidR="0008635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</w:t>
      </w:r>
      <w:r w:rsidR="00DF48F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s </w:t>
      </w:r>
      <w:r w:rsidR="00C337B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įžvalgas. </w:t>
      </w:r>
    </w:p>
    <w:p w14:paraId="62BA8BAE" w14:textId="25835BD6" w:rsidR="00EF6C14" w:rsidRPr="00354684" w:rsidRDefault="008A6A6C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Atsižvelgiant į tai, kad </w:t>
      </w:r>
      <w:r w:rsidR="00036D7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įrangos</w:t>
      </w:r>
      <w:r w:rsidR="00595B4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pirkimą numatom</w:t>
      </w:r>
      <w:r w:rsidR="0013600C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</w:t>
      </w:r>
      <w:r w:rsidR="00595B4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finansuoti pagal Europos Sąjungos bendrosios mokslinių tyrimų ir inovacijų programos „Europos horizontas“ programą</w:t>
      </w:r>
      <w:r w:rsidR="0086769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ir siekiant </w:t>
      </w:r>
      <w:r w:rsidR="009D49C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užtikrinti šios programos</w:t>
      </w:r>
      <w:r w:rsidR="0013600C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visus</w:t>
      </w:r>
      <w:r w:rsidR="009D49C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reikalavimus, </w:t>
      </w:r>
      <w:r w:rsidR="00595B4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m</w:t>
      </w:r>
      <w:r w:rsidR="001268F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aloniai </w:t>
      </w:r>
      <w:r w:rsidR="001268FE" w:rsidRPr="00354684">
        <w:rPr>
          <w:rFonts w:ascii="Arial" w:eastAsia="Calibri" w:hAnsi="Arial" w:cs="Arial"/>
          <w:b/>
          <w:kern w:val="2"/>
          <w:sz w:val="20"/>
          <w:szCs w:val="20"/>
          <w14:ligatures w14:val="standardContextual"/>
        </w:rPr>
        <w:t>prašome</w:t>
      </w:r>
      <w:r w:rsidR="001268F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tiekėjus </w:t>
      </w:r>
      <w:r w:rsidR="00A1307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laisva forma </w:t>
      </w:r>
      <w:r w:rsidR="006A00B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raštu </w:t>
      </w:r>
      <w:r w:rsidR="00A1307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CVP</w:t>
      </w:r>
      <w:r w:rsidR="005D360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A1307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IS susirašinėjimo priemonėmis </w:t>
      </w:r>
      <w:r w:rsidR="00737713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ne vėliau kaip per 3 darbo dienas nuo šio pranešimo išsiuntimo, </w:t>
      </w:r>
      <w:r w:rsidR="007D4ECA" w:rsidRPr="00354684">
        <w:rPr>
          <w:rFonts w:ascii="Arial" w:eastAsia="Calibri" w:hAnsi="Arial" w:cs="Arial"/>
          <w:b/>
          <w:kern w:val="2"/>
          <w:sz w:val="20"/>
          <w:szCs w:val="20"/>
          <w14:ligatures w14:val="standardContextual"/>
        </w:rPr>
        <w:t>atsakyti į papildomą klausimą</w:t>
      </w:r>
      <w:r w:rsidR="007D4EC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dėl </w:t>
      </w:r>
      <w:r w:rsidR="00A120D9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siūlomo </w:t>
      </w:r>
      <w:proofErr w:type="spellStart"/>
      <w:r w:rsidR="009F4774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Makromolekulinių</w:t>
      </w:r>
      <w:proofErr w:type="spellEnd"/>
      <w:r w:rsidR="009F4774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sąveikų matavimo prietaiso </w:t>
      </w:r>
      <w:r w:rsidR="00A120D9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atitikimo ES direktyvoms -  </w:t>
      </w:r>
      <w:r w:rsidR="00A120D9" w:rsidRPr="00354684">
        <w:rPr>
          <w:rFonts w:ascii="Arial" w:hAnsi="Arial" w:cs="Arial"/>
          <w:sz w:val="20"/>
          <w:szCs w:val="20"/>
        </w:rPr>
        <w:t>2009/125/EC (</w:t>
      </w:r>
      <w:hyperlink r:id="rId11" w:tgtFrame="_blank" w:tooltip="https://eur-lex.europa.eu/legal-content/lt/txt/html/?uri=celex:32011l0065" w:history="1">
        <w:r w:rsidR="00A120D9" w:rsidRPr="00354684">
          <w:rPr>
            <w:rStyle w:val="Hyperlink"/>
            <w:rFonts w:ascii="Arial" w:hAnsi="Arial" w:cs="Arial"/>
            <w:sz w:val="20"/>
            <w:szCs w:val="20"/>
          </w:rPr>
          <w:t>L_2011174LT.01008801.xml</w:t>
        </w:r>
      </w:hyperlink>
      <w:r w:rsidR="00A120D9" w:rsidRPr="00354684">
        <w:rPr>
          <w:rFonts w:ascii="Arial" w:hAnsi="Arial" w:cs="Arial"/>
          <w:sz w:val="20"/>
          <w:szCs w:val="20"/>
        </w:rPr>
        <w:t>) ir 2011/65/EU (</w:t>
      </w:r>
      <w:hyperlink r:id="rId12" w:tgtFrame="_blank" w:tooltip="https://eur-lex.europa.eu/legal-content/lt/txt/html/?uri=celex:32009l0125" w:history="1">
        <w:r w:rsidR="00A120D9" w:rsidRPr="00354684">
          <w:rPr>
            <w:rStyle w:val="Hyperlink"/>
            <w:rFonts w:ascii="Arial" w:hAnsi="Arial" w:cs="Arial"/>
            <w:sz w:val="20"/>
            <w:szCs w:val="20"/>
          </w:rPr>
          <w:t>L_2009285LT.01001001.xml</w:t>
        </w:r>
      </w:hyperlink>
      <w:r w:rsidR="004F7868" w:rsidRPr="0035468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)</w:t>
      </w:r>
      <w:r w:rsidR="00A120D9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A1307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ir </w:t>
      </w:r>
      <w:r w:rsidR="006032CF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jos ženklinimo </w:t>
      </w:r>
      <w:r w:rsidR="00176427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CE ženklu, t.</w:t>
      </w:r>
      <w:r w:rsidR="004F7868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176427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y.</w:t>
      </w:r>
      <w:r w:rsidR="00EF6C14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:</w:t>
      </w:r>
    </w:p>
    <w:p w14:paraId="669BB90A" w14:textId="55A38FBF" w:rsidR="001D43C7" w:rsidRPr="00354684" w:rsidRDefault="003D2018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</w:t>
      </w:r>
      <w:r w:rsidR="001D43C7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r </w:t>
      </w:r>
      <w:r w:rsidR="00A522B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įrangai yra privalomas CE ženklinimas pagal ES direktyvas Nr. </w:t>
      </w:r>
      <w:r w:rsidR="00A522BA" w:rsidRPr="00354684">
        <w:rPr>
          <w:rFonts w:ascii="Arial" w:hAnsi="Arial" w:cs="Arial"/>
          <w:sz w:val="20"/>
          <w:szCs w:val="20"/>
        </w:rPr>
        <w:t>2009/125/EC (</w:t>
      </w:r>
      <w:hyperlink r:id="rId13" w:tgtFrame="_blank" w:tooltip="https://eur-lex.europa.eu/legal-content/lt/txt/html/?uri=celex:32011l0065" w:history="1">
        <w:r w:rsidR="00A522BA" w:rsidRPr="00354684">
          <w:rPr>
            <w:rStyle w:val="Hyperlink"/>
            <w:rFonts w:ascii="Arial" w:hAnsi="Arial" w:cs="Arial"/>
            <w:sz w:val="20"/>
            <w:szCs w:val="20"/>
          </w:rPr>
          <w:t>L_2011174LT.01008801.xml</w:t>
        </w:r>
      </w:hyperlink>
      <w:r w:rsidR="00A522BA" w:rsidRPr="00354684">
        <w:rPr>
          <w:rFonts w:ascii="Arial" w:hAnsi="Arial" w:cs="Arial"/>
          <w:sz w:val="20"/>
          <w:szCs w:val="20"/>
        </w:rPr>
        <w:t>) ir Nr. 2011/65/EU (</w:t>
      </w:r>
      <w:hyperlink r:id="rId14" w:tgtFrame="_blank" w:tooltip="https://eur-lex.europa.eu/legal-content/lt/txt/html/?uri=celex:32009l0125" w:history="1">
        <w:r w:rsidR="00A522BA" w:rsidRPr="00354684">
          <w:rPr>
            <w:rStyle w:val="Hyperlink"/>
            <w:rFonts w:ascii="Arial" w:hAnsi="Arial" w:cs="Arial"/>
            <w:sz w:val="20"/>
            <w:szCs w:val="20"/>
          </w:rPr>
          <w:t>L_2009285LT.01001001.xml</w:t>
        </w:r>
      </w:hyperlink>
      <w:r w:rsidR="00A522BA" w:rsidRPr="0035468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)</w:t>
      </w:r>
      <w:r w:rsidRPr="0035468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?</w:t>
      </w:r>
    </w:p>
    <w:p w14:paraId="690FD867" w14:textId="22DB7794" w:rsidR="0008474D" w:rsidRPr="00354684" w:rsidRDefault="00176427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ar </w:t>
      </w:r>
      <w:r w:rsidR="00446F2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siūlomos sistemos atitinka nurodytų direktyvų reikalavimus</w:t>
      </w:r>
      <w:r w:rsidR="0008474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?</w:t>
      </w:r>
      <w:r w:rsidR="004F7868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</w:p>
    <w:p w14:paraId="347AFB23" w14:textId="69D4179B" w:rsidR="00C924B9" w:rsidRPr="00354684" w:rsidRDefault="00C924B9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ar įrangą </w:t>
      </w:r>
      <w:r w:rsidR="00B013E4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dėl atitikties CE ženklinimo reikalavimams turi tikrinti </w:t>
      </w:r>
      <w:r w:rsidR="00B013E4" w:rsidRPr="00354684">
        <w:rPr>
          <w:rStyle w:val="Strong"/>
          <w:rFonts w:ascii="Arial" w:hAnsi="Arial" w:cs="Arial"/>
          <w:color w:val="515560"/>
          <w:sz w:val="20"/>
          <w:szCs w:val="20"/>
          <w:bdr w:val="none" w:sz="0" w:space="0" w:color="auto" w:frame="1"/>
          <w:shd w:val="clear" w:color="auto" w:fill="FFFFFF"/>
        </w:rPr>
        <w:t xml:space="preserve">notifikuotoji įstaiga </w:t>
      </w:r>
      <w:r w:rsidR="00B013E4" w:rsidRPr="00354684">
        <w:rPr>
          <w:rStyle w:val="Strong"/>
          <w:rFonts w:ascii="Arial" w:hAnsi="Arial" w:cs="Arial"/>
          <w:b w:val="0"/>
          <w:bCs w:val="0"/>
          <w:color w:val="515560"/>
          <w:sz w:val="20"/>
          <w:szCs w:val="20"/>
          <w:bdr w:val="none" w:sz="0" w:space="0" w:color="auto" w:frame="1"/>
          <w:shd w:val="clear" w:color="auto" w:fill="FFFFFF"/>
        </w:rPr>
        <w:t>(</w:t>
      </w:r>
      <w:hyperlink r:id="rId15" w:history="1">
        <w:r w:rsidR="00A91E02" w:rsidRPr="00354684">
          <w:rPr>
            <w:rStyle w:val="Hyperlink"/>
            <w:rFonts w:ascii="Arial" w:hAnsi="Arial" w:cs="Arial"/>
            <w:sz w:val="20"/>
            <w:szCs w:val="20"/>
          </w:rPr>
          <w:t xml:space="preserve">Žymėjimas CE ženklu, sertifikato gavimas, ES reikalavimai - </w:t>
        </w:r>
        <w:proofErr w:type="spellStart"/>
        <w:r w:rsidR="00A91E02" w:rsidRPr="00354684">
          <w:rPr>
            <w:rStyle w:val="Hyperlink"/>
            <w:rFonts w:ascii="Arial" w:hAnsi="Arial" w:cs="Arial"/>
            <w:sz w:val="20"/>
            <w:szCs w:val="20"/>
          </w:rPr>
          <w:t>Your</w:t>
        </w:r>
        <w:proofErr w:type="spellEnd"/>
        <w:r w:rsidR="00A91E02" w:rsidRPr="00354684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A91E02" w:rsidRPr="00354684">
          <w:rPr>
            <w:rStyle w:val="Hyperlink"/>
            <w:rFonts w:ascii="Arial" w:hAnsi="Arial" w:cs="Arial"/>
            <w:sz w:val="20"/>
            <w:szCs w:val="20"/>
          </w:rPr>
          <w:t>Europe</w:t>
        </w:r>
        <w:proofErr w:type="spellEnd"/>
      </w:hyperlink>
      <w:r w:rsidR="00A91E02" w:rsidRPr="00354684">
        <w:rPr>
          <w:rFonts w:ascii="Arial" w:hAnsi="Arial" w:cs="Arial"/>
          <w:sz w:val="20"/>
          <w:szCs w:val="20"/>
        </w:rPr>
        <w:t>)?</w:t>
      </w:r>
    </w:p>
    <w:p w14:paraId="37CA4478" w14:textId="714C01CE" w:rsidR="00A91E02" w:rsidRPr="00354684" w:rsidRDefault="00025802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ar įrang</w:t>
      </w:r>
      <w:r w:rsidR="0081219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os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446F26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tiekėjai turi </w:t>
      </w:r>
      <w:r w:rsidR="00247565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notifikuotų </w:t>
      </w:r>
      <w:r w:rsidR="00904B41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įstaigų išduotus </w:t>
      </w:r>
      <w:r w:rsidR="009B42E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CE ženklinimo </w:t>
      </w:r>
      <w:r w:rsidR="00737713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sertifikatus, kuriuos galės pateikti pasiūlymo pateikimo metu</w:t>
      </w:r>
      <w:r w:rsidR="00A91E02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?</w:t>
      </w:r>
    </w:p>
    <w:p w14:paraId="0A7B43BB" w14:textId="0BEE2C28" w:rsidR="00D21F9D" w:rsidRPr="00354684" w:rsidRDefault="009B42EE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ar </w:t>
      </w:r>
      <w:r w:rsidR="0081219E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pirkimo laimėjimo atveju </w:t>
      </w:r>
      <w:r w:rsidR="009B0632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sistema bus gaminama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9B0632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ir </w:t>
      </w:r>
      <w:r w:rsidR="00E11DF4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CE ženklinimo sertifikatai </w:t>
      </w:r>
      <w:r w:rsidR="009B0632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galės būti pateikti tik </w:t>
      </w:r>
      <w:r w:rsidR="00373D9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su </w:t>
      </w:r>
      <w:r w:rsidR="009B0632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sistem</w:t>
      </w:r>
      <w:r w:rsidR="00373D9B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 sutarties vykdymo metu</w:t>
      </w:r>
      <w:r w:rsidR="00D21F9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?</w:t>
      </w:r>
    </w:p>
    <w:p w14:paraId="40628140" w14:textId="47BE5177" w:rsidR="001268FE" w:rsidRPr="00354684" w:rsidRDefault="00725BBC" w:rsidP="00792DD1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pagal poreikį, </w:t>
      </w:r>
      <w:r w:rsidR="00D21F9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nurody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kite</w:t>
      </w:r>
      <w:r w:rsidR="0094292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kitas </w:t>
      </w: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svarbias </w:t>
      </w:r>
      <w:r w:rsidR="0094292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aplinkybes</w:t>
      </w:r>
      <w:r w:rsidR="00AB5711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, turinčias įtakos </w:t>
      </w:r>
      <w:r w:rsidR="00D21F9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CE ženklinimo </w:t>
      </w:r>
      <w:r w:rsidR="00AB5711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reikalavimų vykdymui</w:t>
      </w:r>
      <w:r w:rsidR="003D777A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.</w:t>
      </w:r>
    </w:p>
    <w:p w14:paraId="6462086C" w14:textId="65BECF2A" w:rsidR="001C7F50" w:rsidRPr="00354684" w:rsidRDefault="00F85AF8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</w:pPr>
      <w:r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Taip pat t</w:t>
      </w:r>
      <w:r w:rsidR="001C7F50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eikiame apibendrintą informaciją apie </w:t>
      </w:r>
      <w:r w:rsidR="00DE55C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r</w:t>
      </w:r>
      <w:r w:rsidR="001C7F50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inkos konsultacijos </w:t>
      </w:r>
      <w:r w:rsidR="00DE55C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metu gautus klausimus</w:t>
      </w:r>
      <w:r w:rsidR="00737669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DE55C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/</w:t>
      </w:r>
      <w:r w:rsidR="00737669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DE55C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pastebėjimus. </w:t>
      </w:r>
      <w:r w:rsidR="00250CEF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Jei turite </w:t>
      </w:r>
      <w:r w:rsidR="00737669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dar papildomų </w:t>
      </w:r>
      <w:r w:rsidR="00250CEF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pastebėjimų dėl pateikiamų atsakymų, maloniai prašome juos pateikti </w:t>
      </w:r>
      <w:r w:rsidR="00C413A7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raštu </w:t>
      </w:r>
      <w:r w:rsidR="00250CEF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CVP</w:t>
      </w:r>
      <w:r w:rsidR="00DB26BD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250CEF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IS susirašinėjimo priemonėmis ne vėliau kaip per 3 darbo dienas nuo šio pranešimo išsiuntimo</w:t>
      </w:r>
      <w:r w:rsidR="00DD7A10" w:rsidRPr="00354684">
        <w:rPr>
          <w:rFonts w:ascii="Arial" w:eastAsia="Calibri" w:hAnsi="Arial" w:cs="Arial"/>
          <w:bCs/>
          <w:kern w:val="2"/>
          <w:sz w:val="20"/>
          <w:szCs w:val="20"/>
          <w14:ligatures w14:val="standardContextual"/>
        </w:rPr>
        <w:t>.</w:t>
      </w: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6237"/>
        <w:gridCol w:w="8359"/>
      </w:tblGrid>
      <w:tr w:rsidR="00DB56AA" w:rsidRPr="00354684" w14:paraId="72BE4AFF" w14:textId="77777777" w:rsidTr="00025372">
        <w:trPr>
          <w:jc w:val="center"/>
        </w:trPr>
        <w:tc>
          <w:tcPr>
            <w:tcW w:w="6237" w:type="dxa"/>
            <w:shd w:val="clear" w:color="auto" w:fill="D9D9D9" w:themeFill="background1" w:themeFillShade="D9"/>
          </w:tcPr>
          <w:p w14:paraId="50C4800D" w14:textId="7C176F26" w:rsidR="00DB56AA" w:rsidRPr="00354684" w:rsidRDefault="000C74DC" w:rsidP="00B80E3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68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B56AA" w:rsidRPr="00354684">
              <w:rPr>
                <w:rFonts w:ascii="Arial" w:hAnsi="Arial" w:cs="Arial"/>
                <w:b/>
                <w:bCs/>
                <w:sz w:val="20"/>
                <w:szCs w:val="20"/>
              </w:rPr>
              <w:t>astabos</w:t>
            </w:r>
          </w:p>
        </w:tc>
        <w:tc>
          <w:tcPr>
            <w:tcW w:w="8359" w:type="dxa"/>
            <w:shd w:val="clear" w:color="auto" w:fill="D9D9D9" w:themeFill="background1" w:themeFillShade="D9"/>
          </w:tcPr>
          <w:p w14:paraId="32AEB0B8" w14:textId="27001321" w:rsidR="00DB56AA" w:rsidRPr="00354684" w:rsidRDefault="00DB56AA" w:rsidP="00F27C7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684">
              <w:rPr>
                <w:rFonts w:ascii="Arial" w:hAnsi="Arial" w:cs="Arial"/>
                <w:b/>
                <w:bCs/>
                <w:sz w:val="20"/>
                <w:szCs w:val="20"/>
              </w:rPr>
              <w:t>Apibendrinimas</w:t>
            </w:r>
          </w:p>
        </w:tc>
      </w:tr>
      <w:tr w:rsidR="00DB56AA" w:rsidRPr="00354684" w14:paraId="068909F2" w14:textId="5327BB2E" w:rsidTr="00025372">
        <w:trPr>
          <w:jc w:val="center"/>
        </w:trPr>
        <w:tc>
          <w:tcPr>
            <w:tcW w:w="6237" w:type="dxa"/>
          </w:tcPr>
          <w:p w14:paraId="13148223" w14:textId="52E0BF10" w:rsidR="00DB56AA" w:rsidRPr="00354684" w:rsidRDefault="004858A8" w:rsidP="008B47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 xml:space="preserve">Bendrosios pastabos </w:t>
            </w:r>
          </w:p>
        </w:tc>
        <w:tc>
          <w:tcPr>
            <w:tcW w:w="8359" w:type="dxa"/>
          </w:tcPr>
          <w:p w14:paraId="3644A622" w14:textId="3447DA64" w:rsidR="00DB56AA" w:rsidRPr="00354684" w:rsidRDefault="00DB56A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AA" w:rsidRPr="00354684" w14:paraId="3AD1BCA4" w14:textId="73C7AAF9" w:rsidTr="00025372">
        <w:trPr>
          <w:jc w:val="center"/>
        </w:trPr>
        <w:tc>
          <w:tcPr>
            <w:tcW w:w="6237" w:type="dxa"/>
            <w:shd w:val="clear" w:color="auto" w:fill="D9D9D9" w:themeFill="background1" w:themeFillShade="D9"/>
          </w:tcPr>
          <w:p w14:paraId="7741B555" w14:textId="4B4DDA5C" w:rsidR="00DB56AA" w:rsidRPr="00354684" w:rsidRDefault="00667FCA" w:rsidP="00DE6E1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Kainodara </w:t>
            </w:r>
            <w:r w:rsidRPr="0035468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(atsiskaitymo sąlygos, etapai, dydžiai ir panašiai)</w:t>
            </w:r>
          </w:p>
        </w:tc>
        <w:tc>
          <w:tcPr>
            <w:tcW w:w="8359" w:type="dxa"/>
            <w:shd w:val="clear" w:color="auto" w:fill="D9D9D9" w:themeFill="background1" w:themeFillShade="D9"/>
          </w:tcPr>
          <w:p w14:paraId="4DF70147" w14:textId="17988E2A" w:rsidR="00DB56AA" w:rsidRPr="00354684" w:rsidRDefault="00DB56AA" w:rsidP="008867E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CF4" w:rsidRPr="00354684" w14:paraId="67CC55E0" w14:textId="20FD5BC1" w:rsidTr="00025372">
        <w:trPr>
          <w:jc w:val="center"/>
        </w:trPr>
        <w:tc>
          <w:tcPr>
            <w:tcW w:w="6237" w:type="dxa"/>
          </w:tcPr>
          <w:p w14:paraId="574A2477" w14:textId="77777777" w:rsidR="00556CF4" w:rsidRPr="00354684" w:rsidRDefault="00556CF4" w:rsidP="00556CF4">
            <w:p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lastRenderedPageBreak/>
              <w:t xml:space="preserve"> Atsižvelgiant į įprastą praktiką, kai galutinis apmokėjimas už įrangą dažnai numatomas per 30 darbo dienų po jos instaliavimo, ir įvertinant papildomus veiksnius, su kuriais susiduria tiekėjai, siūlome peržiūrėti ir pritaikyti atsiskaitymo modelį.</w:t>
            </w:r>
            <w:r w:rsidRPr="00354684">
              <w:rPr>
                <w:rFonts w:ascii="Arial" w:hAnsi="Arial" w:cs="Arial"/>
                <w:sz w:val="20"/>
                <w:szCs w:val="20"/>
              </w:rPr>
              <w:br/>
              <w:t>Argumentai:</w:t>
            </w:r>
          </w:p>
          <w:p w14:paraId="5265C23F" w14:textId="77777777" w:rsidR="00556CF4" w:rsidRPr="00354684" w:rsidRDefault="00556CF4" w:rsidP="00556CF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Išankstiniai mokėjimai gamintojams: Perkant brangesnius prietaisus, tiekėjai dažnai turi sumokėti ženklią dalį kainos gamintojui dar prieš gaunant įrangą. Tai sukuria pinigų srautų įtampą tiekėjui.</w:t>
            </w:r>
          </w:p>
          <w:p w14:paraId="24D9BCA3" w14:textId="77777777" w:rsidR="00556CF4" w:rsidRPr="00354684" w:rsidRDefault="00556CF4" w:rsidP="00556CF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Sutarties vykdymo garantijos: Reikalavimai, tokie kaip Vilniaus universiteto prašomos banko išduotos sutarties vykdymo garantijos, sukelia papildomą finansinę naštą tiekėjui dar iki projekto įgyvendinimo pabaigos ir apmokėjimo gavimo.</w:t>
            </w:r>
          </w:p>
          <w:p w14:paraId="50267335" w14:textId="77777777" w:rsidR="00556CF4" w:rsidRPr="00354684" w:rsidRDefault="00556CF4" w:rsidP="00556CF4">
            <w:p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Siūlomas Atsiskaitymo Modelis:</w:t>
            </w:r>
            <w:r w:rsidRPr="00354684">
              <w:rPr>
                <w:rFonts w:ascii="Arial" w:hAnsi="Arial" w:cs="Arial"/>
                <w:sz w:val="20"/>
                <w:szCs w:val="20"/>
              </w:rPr>
              <w:br/>
              <w:t>Turint omenyje anksčiau išvardintus argumentus, rekomenduojame apsvarstyti galimybę prietaiso kainą apmokėti dalimis, skaidant mokėjimus į šiuos etapus:</w:t>
            </w:r>
          </w:p>
          <w:p w14:paraId="6E1EA8B8" w14:textId="77777777" w:rsidR="00556CF4" w:rsidRPr="00354684" w:rsidRDefault="00556CF4" w:rsidP="00556CF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Pirmasis mokėjimas: Tam tikra dalis sumos (pvz., 40-50%) mokama po sutarties pasirašymo. Tai padengtų pradinius įsipareigojimus gamintojui ir dalį garantijos kaštų.</w:t>
            </w:r>
          </w:p>
          <w:p w14:paraId="293B8D56" w14:textId="77777777" w:rsidR="00556CF4" w:rsidRPr="00354684" w:rsidRDefault="00556CF4" w:rsidP="00556CF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Antrasis mokėjimas: Kita dalis sumos (pvz., 40-50%) mokama po prietaiso išsiuntimo iš gamintojo sandėlio (gavus tai patvirtinančius dokumentus). Tai susieta su konkrečiu įvykiu ir rodo realų prietaiso judėjimą link užsakovo.</w:t>
            </w:r>
          </w:p>
          <w:p w14:paraId="6CA9E4B2" w14:textId="3562916E" w:rsidR="00556CF4" w:rsidRPr="00354684" w:rsidRDefault="00556CF4" w:rsidP="00556CF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Galutinis mokėjimas: Likusi dalis sumos (pvz., 10-20%) mokama po sėkmingo prietaiso instaliavimo, patikrinimo ir priėmimo-perdavimo akto pasirašymo (galima išlaikyti 30 d.</w:t>
            </w:r>
            <w:r w:rsidR="00067C02" w:rsidRPr="003546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684">
              <w:rPr>
                <w:rFonts w:ascii="Arial" w:hAnsi="Arial" w:cs="Arial"/>
                <w:sz w:val="20"/>
                <w:szCs w:val="20"/>
              </w:rPr>
              <w:t>d. terminą šiai daliai).</w:t>
            </w:r>
          </w:p>
          <w:p w14:paraId="4CB7734E" w14:textId="77777777" w:rsidR="00556CF4" w:rsidRPr="00354684" w:rsidRDefault="00556CF4" w:rsidP="00556CF4">
            <w:p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Privalumai:</w:t>
            </w:r>
          </w:p>
          <w:p w14:paraId="34CF4DE1" w14:textId="77777777" w:rsidR="00556CF4" w:rsidRPr="00354684" w:rsidRDefault="00556CF4" w:rsidP="00556CF4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Šis modelis tolygiau paskirsto finansinę naštą tarp užsakovo ir tiekėjo.</w:t>
            </w:r>
          </w:p>
          <w:p w14:paraId="0FEB82B7" w14:textId="77777777" w:rsidR="00556CF4" w:rsidRPr="00354684" w:rsidRDefault="00556CF4" w:rsidP="00556CF4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Padeda tiekėjui valdyti pinigų srautus, susijusius su išankstiniais mokėjimais ir garantijomis.</w:t>
            </w:r>
          </w:p>
          <w:p w14:paraId="59024F04" w14:textId="77777777" w:rsidR="00556CF4" w:rsidRPr="00354684" w:rsidRDefault="00556CF4" w:rsidP="00556CF4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t>Išlaiko užsakovo interesų apsaugą, nes galutinis mokėjimas siejamas su sėkmingu įrangos įdiegimu ir veikimu.</w:t>
            </w:r>
          </w:p>
          <w:p w14:paraId="08AD943F" w14:textId="489E308F" w:rsidR="00556CF4" w:rsidRPr="00354684" w:rsidRDefault="00556CF4" w:rsidP="00556CF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84">
              <w:rPr>
                <w:rFonts w:ascii="Arial" w:hAnsi="Arial" w:cs="Arial"/>
                <w:sz w:val="20"/>
                <w:szCs w:val="20"/>
              </w:rPr>
              <w:lastRenderedPageBreak/>
              <w:t xml:space="preserve">Manome, kad toks </w:t>
            </w:r>
            <w:proofErr w:type="spellStart"/>
            <w:r w:rsidRPr="00354684">
              <w:rPr>
                <w:rFonts w:ascii="Arial" w:hAnsi="Arial" w:cs="Arial"/>
                <w:sz w:val="20"/>
                <w:szCs w:val="20"/>
              </w:rPr>
              <w:t>etapinis</w:t>
            </w:r>
            <w:proofErr w:type="spellEnd"/>
            <w:r w:rsidRPr="00354684">
              <w:rPr>
                <w:rFonts w:ascii="Arial" w:hAnsi="Arial" w:cs="Arial"/>
                <w:sz w:val="20"/>
                <w:szCs w:val="20"/>
              </w:rPr>
              <w:t xml:space="preserve"> apmokėjimas būtų sąžiningas ir ekonomiškai pagrįstas sprendimas abiem šalims.</w:t>
            </w:r>
          </w:p>
        </w:tc>
        <w:tc>
          <w:tcPr>
            <w:tcW w:w="8359" w:type="dxa"/>
          </w:tcPr>
          <w:p w14:paraId="58872E9B" w14:textId="1D34D897" w:rsidR="00C47D44" w:rsidRPr="00354684" w:rsidRDefault="00036D7A" w:rsidP="00C47D4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5468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Atsižvelgiant į tai, kad įrangos pirkimą numatoma 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>finansuoti iš  ES SF lėšų</w:t>
            </w:r>
            <w:r w:rsidR="00442194" w:rsidRPr="00354684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1BE8" w:rsidRPr="00354684">
              <w:rPr>
                <w:rFonts w:ascii="Arial" w:eastAsia="Arial" w:hAnsi="Arial" w:cs="Arial"/>
                <w:sz w:val="20"/>
                <w:szCs w:val="20"/>
              </w:rPr>
              <w:t>ketinama</w:t>
            </w:r>
            <w:r w:rsidR="00A30884" w:rsidRPr="003546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>naudo</w:t>
            </w:r>
            <w:r w:rsidR="00A30884" w:rsidRPr="0035468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 xml:space="preserve"> sąskaitų apmokėjimo būdą pagal Projektų administravimo ir finansavimo taisykles, patvirtintas Lietuvos Respublikos finansų ministro 2014 m. spalio 8 d. įsakymu Nr. 1K-316, kuriam  reikalingi ilgesni nei 30 d. apmokėjimo terminai. Todėl numatoma, kad P</w:t>
            </w:r>
            <w:r w:rsidR="00AA5291" w:rsidRPr="00354684">
              <w:rPr>
                <w:rFonts w:ascii="Arial" w:eastAsia="Arial" w:hAnsi="Arial" w:cs="Arial"/>
                <w:sz w:val="20"/>
                <w:szCs w:val="20"/>
              </w:rPr>
              <w:t>erkančioji organizacija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 xml:space="preserve"> mokė</w:t>
            </w:r>
            <w:r w:rsidR="00423F01" w:rsidRPr="00354684">
              <w:rPr>
                <w:rFonts w:ascii="Arial" w:eastAsia="Arial" w:hAnsi="Arial" w:cs="Arial"/>
                <w:sz w:val="20"/>
                <w:szCs w:val="20"/>
              </w:rPr>
              <w:t>jim</w:t>
            </w:r>
            <w:r w:rsidR="002636D0" w:rsidRPr="00354684">
              <w:rPr>
                <w:rFonts w:ascii="Arial" w:eastAsia="Arial" w:hAnsi="Arial" w:cs="Arial"/>
                <w:sz w:val="20"/>
                <w:szCs w:val="20"/>
              </w:rPr>
              <w:t xml:space="preserve">ą </w:t>
            </w:r>
            <w:r w:rsidR="004F1B4D" w:rsidRPr="00354684">
              <w:rPr>
                <w:rFonts w:ascii="Arial" w:eastAsia="Arial" w:hAnsi="Arial" w:cs="Arial"/>
                <w:sz w:val="20"/>
                <w:szCs w:val="20"/>
              </w:rPr>
              <w:t>už įrangą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 xml:space="preserve"> Tiekėjui </w:t>
            </w:r>
            <w:r w:rsidR="004F1B4D" w:rsidRPr="00354684">
              <w:rPr>
                <w:rFonts w:ascii="Arial" w:eastAsia="Arial" w:hAnsi="Arial" w:cs="Arial"/>
                <w:sz w:val="20"/>
                <w:szCs w:val="20"/>
              </w:rPr>
              <w:t>atliks</w:t>
            </w:r>
            <w:r w:rsidR="00C47D44" w:rsidRPr="00354684">
              <w:rPr>
                <w:rFonts w:ascii="Arial" w:eastAsia="Arial" w:hAnsi="Arial" w:cs="Arial"/>
                <w:sz w:val="20"/>
                <w:szCs w:val="20"/>
              </w:rPr>
              <w:t xml:space="preserve"> ne vėliau kaip per 60 (šešiasdešimt) dienų nuo tinkamų mokėjimo dokumentų gavimo dienos.</w:t>
            </w:r>
          </w:p>
          <w:p w14:paraId="32B5AC44" w14:textId="0DF704FE" w:rsidR="00556CF4" w:rsidRPr="00354684" w:rsidRDefault="00556CF4" w:rsidP="00006F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091F1" w14:textId="70B29F3A" w:rsidR="00EF794A" w:rsidRPr="00354684" w:rsidRDefault="00EF794A" w:rsidP="00091921">
      <w:pPr>
        <w:rPr>
          <w:rFonts w:ascii="Arial" w:hAnsi="Arial" w:cs="Arial"/>
          <w:sz w:val="20"/>
          <w:szCs w:val="20"/>
        </w:rPr>
      </w:pPr>
    </w:p>
    <w:p w14:paraId="1832AD1E" w14:textId="77777777" w:rsidR="00113EAF" w:rsidRPr="00354684" w:rsidRDefault="00113EAF" w:rsidP="00113EAF">
      <w:pPr>
        <w:rPr>
          <w:rFonts w:ascii="Arial" w:hAnsi="Arial" w:cs="Arial"/>
          <w:sz w:val="20"/>
          <w:szCs w:val="20"/>
        </w:rPr>
      </w:pPr>
      <w:r w:rsidRPr="00354684">
        <w:rPr>
          <w:rFonts w:ascii="Arial" w:hAnsi="Arial" w:cs="Arial"/>
          <w:sz w:val="20"/>
          <w:szCs w:val="20"/>
        </w:rPr>
        <w:t xml:space="preserve">Pažymime, kad Perkančioji organizacija, skelbdama numatomą pirkimą, neįsipareigoja atsižvelgti į visus rinkos konsultacijos metu pateiktus tiekėjų siūlymus, pastabas, įžvalgas. </w:t>
      </w:r>
    </w:p>
    <w:p w14:paraId="3C3FA66F" w14:textId="1169EDE5" w:rsidR="00113EAF" w:rsidRPr="00354684" w:rsidRDefault="00C31AA3" w:rsidP="00F76A6E">
      <w:pPr>
        <w:jc w:val="both"/>
        <w:rPr>
          <w:rFonts w:ascii="Arial" w:hAnsi="Arial" w:cs="Arial"/>
          <w:sz w:val="20"/>
          <w:szCs w:val="20"/>
        </w:rPr>
      </w:pPr>
      <w:r w:rsidRPr="00354684">
        <w:rPr>
          <w:rFonts w:ascii="Arial" w:hAnsi="Arial" w:cs="Arial"/>
          <w:sz w:val="20"/>
          <w:szCs w:val="20"/>
        </w:rPr>
        <w:t>Taip pat i</w:t>
      </w:r>
      <w:r w:rsidR="00113EAF" w:rsidRPr="00354684">
        <w:rPr>
          <w:rFonts w:ascii="Arial" w:hAnsi="Arial" w:cs="Arial"/>
          <w:sz w:val="20"/>
          <w:szCs w:val="20"/>
        </w:rPr>
        <w:t xml:space="preserve">nformuojame, kad detalūs reikalavimai bus paskelbti kartu su numatomo pirkimo dokumentais, prašome sekti </w:t>
      </w:r>
      <w:r w:rsidRPr="00354684">
        <w:rPr>
          <w:rFonts w:ascii="Arial" w:hAnsi="Arial" w:cs="Arial"/>
          <w:sz w:val="20"/>
          <w:szCs w:val="20"/>
        </w:rPr>
        <w:t xml:space="preserve">aktualią </w:t>
      </w:r>
      <w:r w:rsidR="00113EAF" w:rsidRPr="00354684">
        <w:rPr>
          <w:rFonts w:ascii="Arial" w:hAnsi="Arial" w:cs="Arial"/>
          <w:sz w:val="20"/>
          <w:szCs w:val="20"/>
        </w:rPr>
        <w:t>informaciją Centrinėje viešųjų pirkimų informacinėje sistemoje</w:t>
      </w:r>
      <w:r w:rsidR="00FF66CB" w:rsidRPr="00354684">
        <w:rPr>
          <w:rFonts w:ascii="Arial" w:hAnsi="Arial" w:cs="Arial"/>
          <w:sz w:val="20"/>
          <w:szCs w:val="20"/>
        </w:rPr>
        <w:t xml:space="preserve"> ir dalyvauti pirkime</w:t>
      </w:r>
      <w:r w:rsidR="00113EAF" w:rsidRPr="00354684">
        <w:rPr>
          <w:rFonts w:ascii="Arial" w:hAnsi="Arial" w:cs="Arial"/>
          <w:sz w:val="20"/>
          <w:szCs w:val="20"/>
        </w:rPr>
        <w:t>.</w:t>
      </w:r>
    </w:p>
    <w:p w14:paraId="788AD804" w14:textId="77777777" w:rsidR="00113EAF" w:rsidRPr="00354684" w:rsidRDefault="00113EAF" w:rsidP="00091921">
      <w:pPr>
        <w:rPr>
          <w:rFonts w:ascii="Arial" w:hAnsi="Arial" w:cs="Arial"/>
          <w:sz w:val="20"/>
          <w:szCs w:val="20"/>
        </w:rPr>
      </w:pPr>
    </w:p>
    <w:sectPr w:rsidR="00113EAF" w:rsidRPr="00354684" w:rsidSect="00025372">
      <w:footerReference w:type="default" r:id="rId16"/>
      <w:pgSz w:w="16838" w:h="11906" w:orient="landscape"/>
      <w:pgMar w:top="1701" w:right="67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24F6" w14:textId="77777777" w:rsidR="006E26D1" w:rsidRDefault="006E26D1" w:rsidP="00AC6BF8">
      <w:pPr>
        <w:spacing w:after="0" w:line="240" w:lineRule="auto"/>
      </w:pPr>
      <w:r>
        <w:separator/>
      </w:r>
    </w:p>
  </w:endnote>
  <w:endnote w:type="continuationSeparator" w:id="0">
    <w:p w14:paraId="60BD1D66" w14:textId="77777777" w:rsidR="006E26D1" w:rsidRDefault="006E26D1" w:rsidP="00AC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531319"/>
      <w:docPartObj>
        <w:docPartGallery w:val="Page Numbers (Bottom of Page)"/>
        <w:docPartUnique/>
      </w:docPartObj>
    </w:sdtPr>
    <w:sdtEndPr/>
    <w:sdtContent>
      <w:p w14:paraId="4DB1FA7D" w14:textId="54552834" w:rsidR="00AC6BF8" w:rsidRDefault="00AC6B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A1C">
          <w:rPr>
            <w:noProof/>
          </w:rPr>
          <w:t>5</w:t>
        </w:r>
        <w:r>
          <w:fldChar w:fldCharType="end"/>
        </w:r>
      </w:p>
    </w:sdtContent>
  </w:sdt>
  <w:p w14:paraId="46460743" w14:textId="77777777" w:rsidR="00AC6BF8" w:rsidRDefault="00AC6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A2B5" w14:textId="77777777" w:rsidR="006E26D1" w:rsidRDefault="006E26D1" w:rsidP="00AC6BF8">
      <w:pPr>
        <w:spacing w:after="0" w:line="240" w:lineRule="auto"/>
      </w:pPr>
      <w:r>
        <w:separator/>
      </w:r>
    </w:p>
  </w:footnote>
  <w:footnote w:type="continuationSeparator" w:id="0">
    <w:p w14:paraId="1C282827" w14:textId="77777777" w:rsidR="006E26D1" w:rsidRDefault="006E26D1" w:rsidP="00AC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553"/>
    <w:multiLevelType w:val="hybridMultilevel"/>
    <w:tmpl w:val="5C20AA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474F"/>
    <w:multiLevelType w:val="multilevel"/>
    <w:tmpl w:val="CE8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65AB5"/>
    <w:multiLevelType w:val="hybridMultilevel"/>
    <w:tmpl w:val="3E4A09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BD407F"/>
    <w:multiLevelType w:val="multilevel"/>
    <w:tmpl w:val="2910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91A45"/>
    <w:multiLevelType w:val="multilevel"/>
    <w:tmpl w:val="064A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6F5605BC"/>
    <w:multiLevelType w:val="hybridMultilevel"/>
    <w:tmpl w:val="F300F892"/>
    <w:lvl w:ilvl="0" w:tplc="122CA2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4B5C"/>
    <w:multiLevelType w:val="hybridMultilevel"/>
    <w:tmpl w:val="9FE47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F72A1"/>
    <w:multiLevelType w:val="hybridMultilevel"/>
    <w:tmpl w:val="C53C0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B14B3"/>
    <w:multiLevelType w:val="multilevel"/>
    <w:tmpl w:val="7BA4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AE"/>
    <w:rsid w:val="00002053"/>
    <w:rsid w:val="00006F78"/>
    <w:rsid w:val="00010E08"/>
    <w:rsid w:val="000128B8"/>
    <w:rsid w:val="00022182"/>
    <w:rsid w:val="00024700"/>
    <w:rsid w:val="00025372"/>
    <w:rsid w:val="00025802"/>
    <w:rsid w:val="000348CD"/>
    <w:rsid w:val="00035A0A"/>
    <w:rsid w:val="00036D7A"/>
    <w:rsid w:val="00040E99"/>
    <w:rsid w:val="000442B5"/>
    <w:rsid w:val="00044AEB"/>
    <w:rsid w:val="0005391E"/>
    <w:rsid w:val="00067C02"/>
    <w:rsid w:val="00071809"/>
    <w:rsid w:val="0007574E"/>
    <w:rsid w:val="00082554"/>
    <w:rsid w:val="00082858"/>
    <w:rsid w:val="0008474D"/>
    <w:rsid w:val="0008635B"/>
    <w:rsid w:val="00086FFF"/>
    <w:rsid w:val="00091921"/>
    <w:rsid w:val="000A15D4"/>
    <w:rsid w:val="000A57ED"/>
    <w:rsid w:val="000B011C"/>
    <w:rsid w:val="000B09DC"/>
    <w:rsid w:val="000B1913"/>
    <w:rsid w:val="000C51AA"/>
    <w:rsid w:val="000C5F5D"/>
    <w:rsid w:val="000C74DC"/>
    <w:rsid w:val="000E0FD1"/>
    <w:rsid w:val="000F7A00"/>
    <w:rsid w:val="00105FA1"/>
    <w:rsid w:val="00106468"/>
    <w:rsid w:val="00111BED"/>
    <w:rsid w:val="00112EC7"/>
    <w:rsid w:val="00113EAF"/>
    <w:rsid w:val="001261A1"/>
    <w:rsid w:val="001268FE"/>
    <w:rsid w:val="00134ED7"/>
    <w:rsid w:val="0013600C"/>
    <w:rsid w:val="00144DAD"/>
    <w:rsid w:val="00163F4D"/>
    <w:rsid w:val="001656FB"/>
    <w:rsid w:val="001704BC"/>
    <w:rsid w:val="00176427"/>
    <w:rsid w:val="00186D4F"/>
    <w:rsid w:val="00190587"/>
    <w:rsid w:val="00192289"/>
    <w:rsid w:val="00195411"/>
    <w:rsid w:val="001A0BAA"/>
    <w:rsid w:val="001B1428"/>
    <w:rsid w:val="001B33BF"/>
    <w:rsid w:val="001C17CC"/>
    <w:rsid w:val="001C6BA7"/>
    <w:rsid w:val="001C7F50"/>
    <w:rsid w:val="001D43C7"/>
    <w:rsid w:val="001D5896"/>
    <w:rsid w:val="00200B34"/>
    <w:rsid w:val="00212902"/>
    <w:rsid w:val="0022488E"/>
    <w:rsid w:val="00237830"/>
    <w:rsid w:val="00246843"/>
    <w:rsid w:val="00247565"/>
    <w:rsid w:val="00250CEF"/>
    <w:rsid w:val="00252E09"/>
    <w:rsid w:val="00255013"/>
    <w:rsid w:val="002636D0"/>
    <w:rsid w:val="0026625D"/>
    <w:rsid w:val="00274D97"/>
    <w:rsid w:val="002866FE"/>
    <w:rsid w:val="002968D7"/>
    <w:rsid w:val="002B3236"/>
    <w:rsid w:val="002B73D4"/>
    <w:rsid w:val="002C3DCE"/>
    <w:rsid w:val="002D6516"/>
    <w:rsid w:val="002E011A"/>
    <w:rsid w:val="002F5998"/>
    <w:rsid w:val="0030092C"/>
    <w:rsid w:val="003020CE"/>
    <w:rsid w:val="0031320B"/>
    <w:rsid w:val="003135C1"/>
    <w:rsid w:val="00320DFE"/>
    <w:rsid w:val="0034117D"/>
    <w:rsid w:val="00341AA9"/>
    <w:rsid w:val="00347C99"/>
    <w:rsid w:val="003521A2"/>
    <w:rsid w:val="00352745"/>
    <w:rsid w:val="00352B70"/>
    <w:rsid w:val="00354684"/>
    <w:rsid w:val="00364940"/>
    <w:rsid w:val="003670AD"/>
    <w:rsid w:val="00371F13"/>
    <w:rsid w:val="0037269A"/>
    <w:rsid w:val="00373D9B"/>
    <w:rsid w:val="00376361"/>
    <w:rsid w:val="00381563"/>
    <w:rsid w:val="003B0CCB"/>
    <w:rsid w:val="003B3BC1"/>
    <w:rsid w:val="003C202F"/>
    <w:rsid w:val="003C43C8"/>
    <w:rsid w:val="003D091A"/>
    <w:rsid w:val="003D2018"/>
    <w:rsid w:val="003D777A"/>
    <w:rsid w:val="003E0BF8"/>
    <w:rsid w:val="003E2563"/>
    <w:rsid w:val="003E6AB7"/>
    <w:rsid w:val="003F6F9F"/>
    <w:rsid w:val="004021A4"/>
    <w:rsid w:val="0041351B"/>
    <w:rsid w:val="004209E7"/>
    <w:rsid w:val="00423F01"/>
    <w:rsid w:val="00431328"/>
    <w:rsid w:val="00431B10"/>
    <w:rsid w:val="00433483"/>
    <w:rsid w:val="00437554"/>
    <w:rsid w:val="00442194"/>
    <w:rsid w:val="004458ED"/>
    <w:rsid w:val="00446F26"/>
    <w:rsid w:val="00450B7E"/>
    <w:rsid w:val="0045585C"/>
    <w:rsid w:val="004571A1"/>
    <w:rsid w:val="004640D0"/>
    <w:rsid w:val="004700A3"/>
    <w:rsid w:val="004858A8"/>
    <w:rsid w:val="004871BA"/>
    <w:rsid w:val="004A3029"/>
    <w:rsid w:val="004B1045"/>
    <w:rsid w:val="004B61C3"/>
    <w:rsid w:val="004C5545"/>
    <w:rsid w:val="004D29C1"/>
    <w:rsid w:val="004D771A"/>
    <w:rsid w:val="004E4950"/>
    <w:rsid w:val="004E5B7F"/>
    <w:rsid w:val="004F1B4D"/>
    <w:rsid w:val="004F1F8F"/>
    <w:rsid w:val="004F463D"/>
    <w:rsid w:val="004F5696"/>
    <w:rsid w:val="004F6C7E"/>
    <w:rsid w:val="004F7759"/>
    <w:rsid w:val="004F7868"/>
    <w:rsid w:val="00502E5D"/>
    <w:rsid w:val="00506396"/>
    <w:rsid w:val="00512190"/>
    <w:rsid w:val="0051293F"/>
    <w:rsid w:val="00515AFD"/>
    <w:rsid w:val="00517C40"/>
    <w:rsid w:val="00533BA1"/>
    <w:rsid w:val="00534D89"/>
    <w:rsid w:val="00544539"/>
    <w:rsid w:val="00546219"/>
    <w:rsid w:val="00547721"/>
    <w:rsid w:val="00556CF4"/>
    <w:rsid w:val="0056254B"/>
    <w:rsid w:val="005724B3"/>
    <w:rsid w:val="00572A5E"/>
    <w:rsid w:val="00594737"/>
    <w:rsid w:val="00595B46"/>
    <w:rsid w:val="005A43C9"/>
    <w:rsid w:val="005A4710"/>
    <w:rsid w:val="005A6716"/>
    <w:rsid w:val="005B53AB"/>
    <w:rsid w:val="005D175E"/>
    <w:rsid w:val="005D360B"/>
    <w:rsid w:val="005D3C3E"/>
    <w:rsid w:val="005D48A3"/>
    <w:rsid w:val="005D5A58"/>
    <w:rsid w:val="005E0B4C"/>
    <w:rsid w:val="005E2BF3"/>
    <w:rsid w:val="005E4DF8"/>
    <w:rsid w:val="005F194A"/>
    <w:rsid w:val="005F1B70"/>
    <w:rsid w:val="005F3FBE"/>
    <w:rsid w:val="005F6739"/>
    <w:rsid w:val="00602090"/>
    <w:rsid w:val="006032CF"/>
    <w:rsid w:val="00606D58"/>
    <w:rsid w:val="00616539"/>
    <w:rsid w:val="00624438"/>
    <w:rsid w:val="006468CD"/>
    <w:rsid w:val="0065041B"/>
    <w:rsid w:val="00665D8B"/>
    <w:rsid w:val="00667FCA"/>
    <w:rsid w:val="006865EA"/>
    <w:rsid w:val="00694A09"/>
    <w:rsid w:val="006A00BA"/>
    <w:rsid w:val="006A2F2C"/>
    <w:rsid w:val="006B4299"/>
    <w:rsid w:val="006C3C1F"/>
    <w:rsid w:val="006C3D27"/>
    <w:rsid w:val="006C590B"/>
    <w:rsid w:val="006C5EAE"/>
    <w:rsid w:val="006C7458"/>
    <w:rsid w:val="006D4E4C"/>
    <w:rsid w:val="006E0F1F"/>
    <w:rsid w:val="006E26D1"/>
    <w:rsid w:val="006E5109"/>
    <w:rsid w:val="006F0BD8"/>
    <w:rsid w:val="006F4577"/>
    <w:rsid w:val="00704331"/>
    <w:rsid w:val="00707DDB"/>
    <w:rsid w:val="00723538"/>
    <w:rsid w:val="00725BBC"/>
    <w:rsid w:val="00737669"/>
    <w:rsid w:val="00737713"/>
    <w:rsid w:val="007411A2"/>
    <w:rsid w:val="00756129"/>
    <w:rsid w:val="00764BB6"/>
    <w:rsid w:val="00783D8A"/>
    <w:rsid w:val="00787969"/>
    <w:rsid w:val="00790887"/>
    <w:rsid w:val="00792DD1"/>
    <w:rsid w:val="00797EBE"/>
    <w:rsid w:val="007A0917"/>
    <w:rsid w:val="007A4BCA"/>
    <w:rsid w:val="007B084B"/>
    <w:rsid w:val="007B1492"/>
    <w:rsid w:val="007B25E3"/>
    <w:rsid w:val="007B4316"/>
    <w:rsid w:val="007B7382"/>
    <w:rsid w:val="007C5C64"/>
    <w:rsid w:val="007D4ECA"/>
    <w:rsid w:val="007D5A21"/>
    <w:rsid w:val="007D65DE"/>
    <w:rsid w:val="007E0C20"/>
    <w:rsid w:val="007E1A6A"/>
    <w:rsid w:val="007E419A"/>
    <w:rsid w:val="007E47A3"/>
    <w:rsid w:val="007F000E"/>
    <w:rsid w:val="007F2F78"/>
    <w:rsid w:val="007F44B1"/>
    <w:rsid w:val="00805819"/>
    <w:rsid w:val="00806472"/>
    <w:rsid w:val="0081219E"/>
    <w:rsid w:val="00813782"/>
    <w:rsid w:val="00835BB0"/>
    <w:rsid w:val="008429B9"/>
    <w:rsid w:val="00844DD0"/>
    <w:rsid w:val="00856BE9"/>
    <w:rsid w:val="00856FF8"/>
    <w:rsid w:val="00861148"/>
    <w:rsid w:val="0086769E"/>
    <w:rsid w:val="00875FF6"/>
    <w:rsid w:val="00881157"/>
    <w:rsid w:val="00882788"/>
    <w:rsid w:val="008867EF"/>
    <w:rsid w:val="00894296"/>
    <w:rsid w:val="00895002"/>
    <w:rsid w:val="008A3071"/>
    <w:rsid w:val="008A6A6C"/>
    <w:rsid w:val="008B2C2F"/>
    <w:rsid w:val="008B3424"/>
    <w:rsid w:val="008B473E"/>
    <w:rsid w:val="008B4D35"/>
    <w:rsid w:val="008D173D"/>
    <w:rsid w:val="008D30A4"/>
    <w:rsid w:val="008D475A"/>
    <w:rsid w:val="008D5BF1"/>
    <w:rsid w:val="008D7849"/>
    <w:rsid w:val="008F3C19"/>
    <w:rsid w:val="0090260E"/>
    <w:rsid w:val="00904B41"/>
    <w:rsid w:val="00906174"/>
    <w:rsid w:val="00915E5D"/>
    <w:rsid w:val="00917A60"/>
    <w:rsid w:val="00923812"/>
    <w:rsid w:val="00931036"/>
    <w:rsid w:val="0094292D"/>
    <w:rsid w:val="009429A5"/>
    <w:rsid w:val="009454D1"/>
    <w:rsid w:val="00953CDF"/>
    <w:rsid w:val="00956F0A"/>
    <w:rsid w:val="00967099"/>
    <w:rsid w:val="009745FE"/>
    <w:rsid w:val="009833DD"/>
    <w:rsid w:val="009847EF"/>
    <w:rsid w:val="009968F5"/>
    <w:rsid w:val="009A4B0C"/>
    <w:rsid w:val="009B0632"/>
    <w:rsid w:val="009B3142"/>
    <w:rsid w:val="009B42EE"/>
    <w:rsid w:val="009B62B4"/>
    <w:rsid w:val="009B7A1C"/>
    <w:rsid w:val="009B7BA1"/>
    <w:rsid w:val="009C611B"/>
    <w:rsid w:val="009D1F9D"/>
    <w:rsid w:val="009D49CE"/>
    <w:rsid w:val="009D6F21"/>
    <w:rsid w:val="009E34F3"/>
    <w:rsid w:val="009F4078"/>
    <w:rsid w:val="009F4774"/>
    <w:rsid w:val="00A015CC"/>
    <w:rsid w:val="00A120D9"/>
    <w:rsid w:val="00A1307B"/>
    <w:rsid w:val="00A21CE0"/>
    <w:rsid w:val="00A2551E"/>
    <w:rsid w:val="00A279DD"/>
    <w:rsid w:val="00A30884"/>
    <w:rsid w:val="00A3708C"/>
    <w:rsid w:val="00A510DF"/>
    <w:rsid w:val="00A522BA"/>
    <w:rsid w:val="00A56FFB"/>
    <w:rsid w:val="00A676BC"/>
    <w:rsid w:val="00A73213"/>
    <w:rsid w:val="00A876A8"/>
    <w:rsid w:val="00A91E02"/>
    <w:rsid w:val="00A96093"/>
    <w:rsid w:val="00AA1026"/>
    <w:rsid w:val="00AA2D43"/>
    <w:rsid w:val="00AA5291"/>
    <w:rsid w:val="00AB2469"/>
    <w:rsid w:val="00AB3B3D"/>
    <w:rsid w:val="00AB5711"/>
    <w:rsid w:val="00AB7669"/>
    <w:rsid w:val="00AB7DD6"/>
    <w:rsid w:val="00AC0991"/>
    <w:rsid w:val="00AC6BF8"/>
    <w:rsid w:val="00AD1323"/>
    <w:rsid w:val="00B00AE3"/>
    <w:rsid w:val="00B013E4"/>
    <w:rsid w:val="00B05579"/>
    <w:rsid w:val="00B408DC"/>
    <w:rsid w:val="00B45429"/>
    <w:rsid w:val="00B61B7B"/>
    <w:rsid w:val="00B65478"/>
    <w:rsid w:val="00B6670B"/>
    <w:rsid w:val="00B75F4C"/>
    <w:rsid w:val="00B80E3B"/>
    <w:rsid w:val="00B8486E"/>
    <w:rsid w:val="00B8746E"/>
    <w:rsid w:val="00BA197F"/>
    <w:rsid w:val="00BA5F22"/>
    <w:rsid w:val="00BA7563"/>
    <w:rsid w:val="00BB4595"/>
    <w:rsid w:val="00BC17E3"/>
    <w:rsid w:val="00BC4471"/>
    <w:rsid w:val="00BC6708"/>
    <w:rsid w:val="00BE7A95"/>
    <w:rsid w:val="00BF7003"/>
    <w:rsid w:val="00C00746"/>
    <w:rsid w:val="00C00C06"/>
    <w:rsid w:val="00C030C2"/>
    <w:rsid w:val="00C04934"/>
    <w:rsid w:val="00C10603"/>
    <w:rsid w:val="00C10841"/>
    <w:rsid w:val="00C12B1F"/>
    <w:rsid w:val="00C14655"/>
    <w:rsid w:val="00C23FED"/>
    <w:rsid w:val="00C31AA3"/>
    <w:rsid w:val="00C337BA"/>
    <w:rsid w:val="00C35778"/>
    <w:rsid w:val="00C413A7"/>
    <w:rsid w:val="00C43CF8"/>
    <w:rsid w:val="00C46F6B"/>
    <w:rsid w:val="00C472B6"/>
    <w:rsid w:val="00C47D44"/>
    <w:rsid w:val="00C511BC"/>
    <w:rsid w:val="00C5224E"/>
    <w:rsid w:val="00C578F7"/>
    <w:rsid w:val="00C745D0"/>
    <w:rsid w:val="00C771C8"/>
    <w:rsid w:val="00C855E4"/>
    <w:rsid w:val="00C924B9"/>
    <w:rsid w:val="00C94583"/>
    <w:rsid w:val="00CA01FA"/>
    <w:rsid w:val="00CA46D3"/>
    <w:rsid w:val="00CA7298"/>
    <w:rsid w:val="00CB16A8"/>
    <w:rsid w:val="00CC5777"/>
    <w:rsid w:val="00CD0690"/>
    <w:rsid w:val="00CD216A"/>
    <w:rsid w:val="00CD33DF"/>
    <w:rsid w:val="00CD422A"/>
    <w:rsid w:val="00CD7DBA"/>
    <w:rsid w:val="00CE4851"/>
    <w:rsid w:val="00D01C46"/>
    <w:rsid w:val="00D11818"/>
    <w:rsid w:val="00D12D75"/>
    <w:rsid w:val="00D1355F"/>
    <w:rsid w:val="00D15521"/>
    <w:rsid w:val="00D21F9D"/>
    <w:rsid w:val="00D26301"/>
    <w:rsid w:val="00D2636D"/>
    <w:rsid w:val="00D26B07"/>
    <w:rsid w:val="00D31B31"/>
    <w:rsid w:val="00D37431"/>
    <w:rsid w:val="00D41C0B"/>
    <w:rsid w:val="00D526D6"/>
    <w:rsid w:val="00D67154"/>
    <w:rsid w:val="00D73214"/>
    <w:rsid w:val="00D73C02"/>
    <w:rsid w:val="00D840F3"/>
    <w:rsid w:val="00D8652B"/>
    <w:rsid w:val="00D87AC6"/>
    <w:rsid w:val="00DB26BD"/>
    <w:rsid w:val="00DB56AA"/>
    <w:rsid w:val="00DC4C14"/>
    <w:rsid w:val="00DD5EEB"/>
    <w:rsid w:val="00DD7A10"/>
    <w:rsid w:val="00DE00E8"/>
    <w:rsid w:val="00DE0A2C"/>
    <w:rsid w:val="00DE55CD"/>
    <w:rsid w:val="00DE6E11"/>
    <w:rsid w:val="00DF48FD"/>
    <w:rsid w:val="00DF4A69"/>
    <w:rsid w:val="00DF5B97"/>
    <w:rsid w:val="00DF618D"/>
    <w:rsid w:val="00DF7E8E"/>
    <w:rsid w:val="00E000F9"/>
    <w:rsid w:val="00E11DF4"/>
    <w:rsid w:val="00E12551"/>
    <w:rsid w:val="00E14E76"/>
    <w:rsid w:val="00E17815"/>
    <w:rsid w:val="00E262BC"/>
    <w:rsid w:val="00E34F13"/>
    <w:rsid w:val="00E412D2"/>
    <w:rsid w:val="00E432C3"/>
    <w:rsid w:val="00E53E55"/>
    <w:rsid w:val="00E55F9A"/>
    <w:rsid w:val="00E572A3"/>
    <w:rsid w:val="00E634EE"/>
    <w:rsid w:val="00E63F4F"/>
    <w:rsid w:val="00E673F8"/>
    <w:rsid w:val="00E767D9"/>
    <w:rsid w:val="00E80971"/>
    <w:rsid w:val="00E94657"/>
    <w:rsid w:val="00EA3725"/>
    <w:rsid w:val="00EC0030"/>
    <w:rsid w:val="00EC1EFE"/>
    <w:rsid w:val="00EE64CF"/>
    <w:rsid w:val="00EF0C88"/>
    <w:rsid w:val="00EF6C14"/>
    <w:rsid w:val="00EF794A"/>
    <w:rsid w:val="00F27064"/>
    <w:rsid w:val="00F27C7D"/>
    <w:rsid w:val="00F44539"/>
    <w:rsid w:val="00F50359"/>
    <w:rsid w:val="00F52D7B"/>
    <w:rsid w:val="00F54FBD"/>
    <w:rsid w:val="00F637EC"/>
    <w:rsid w:val="00F657CF"/>
    <w:rsid w:val="00F66F05"/>
    <w:rsid w:val="00F76A6E"/>
    <w:rsid w:val="00F8181E"/>
    <w:rsid w:val="00F83796"/>
    <w:rsid w:val="00F85AF8"/>
    <w:rsid w:val="00F90D5A"/>
    <w:rsid w:val="00F94016"/>
    <w:rsid w:val="00FA4614"/>
    <w:rsid w:val="00FA4799"/>
    <w:rsid w:val="00FB6BE8"/>
    <w:rsid w:val="00FC1BE8"/>
    <w:rsid w:val="00FC6DDC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27E23"/>
  <w15:chartTrackingRefBased/>
  <w15:docId w15:val="{938C65F5-DACC-45D8-BD0E-BF813B7B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F8"/>
  </w:style>
  <w:style w:type="paragraph" w:styleId="Footer">
    <w:name w:val="footer"/>
    <w:basedOn w:val="Normal"/>
    <w:link w:val="Foot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F8"/>
  </w:style>
  <w:style w:type="character" w:styleId="CommentReference">
    <w:name w:val="annotation reference"/>
    <w:basedOn w:val="DefaultParagraphFont"/>
    <w:uiPriority w:val="99"/>
    <w:semiHidden/>
    <w:unhideWhenUsed/>
    <w:rsid w:val="0036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20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1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LT/TXT/HTML/?uri=CELEX:32011L006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LT/TXT/HTML/?uri=CELEX:32009L01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HTML/?uri=CELEX:32011L0065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opa.eu/youreurope/business/product-requirements/labels-markings/ce-marking/index_lt.ht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LT/TXT/HTML/?uri=CELEX:32009L0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8C928-37CC-4C9A-9C2C-8B218DE4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04C0D-2BBB-48E1-BC53-34EB21544A6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938973B5-62B2-4340-9032-71B741F7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Vinciūnas</dc:creator>
  <cp:keywords/>
  <dc:description/>
  <cp:lastModifiedBy>Irma Aliukonienė</cp:lastModifiedBy>
  <cp:revision>30</cp:revision>
  <dcterms:created xsi:type="dcterms:W3CDTF">2025-04-24T06:03:00Z</dcterms:created>
  <dcterms:modified xsi:type="dcterms:W3CDTF">2025-04-25T06:11:00Z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