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F181E" w14:textId="77777777" w:rsidR="004653FE" w:rsidRPr="009A4DDA" w:rsidRDefault="004653FE" w:rsidP="004653FE">
      <w:pPr>
        <w:tabs>
          <w:tab w:val="left" w:pos="7230"/>
        </w:tabs>
        <w:autoSpaceDN w:val="0"/>
        <w:ind w:firstLine="0"/>
        <w:jc w:val="right"/>
        <w:rPr>
          <w:rFonts w:ascii="Times New Roman" w:eastAsia="Times New Roman" w:hAnsi="Times New Roman" w:cs="Times New Roman"/>
          <w:sz w:val="22"/>
          <w:szCs w:val="22"/>
          <w:lang w:eastAsia="lt-LT"/>
        </w:rPr>
      </w:pPr>
      <w:r w:rsidRPr="009A4DDA">
        <w:rPr>
          <w:rFonts w:ascii="Times New Roman" w:eastAsia="Times New Roman" w:hAnsi="Times New Roman" w:cs="Times New Roman"/>
          <w:sz w:val="22"/>
          <w:szCs w:val="22"/>
        </w:rPr>
        <w:t>Annex 3 to</w:t>
      </w:r>
    </w:p>
    <w:p w14:paraId="64BD3BE5" w14:textId="77777777" w:rsidR="004653FE" w:rsidRPr="009A4DDA" w:rsidRDefault="004653FE" w:rsidP="004653FE">
      <w:pPr>
        <w:tabs>
          <w:tab w:val="left" w:pos="7230"/>
        </w:tabs>
        <w:autoSpaceDN w:val="0"/>
        <w:ind w:firstLine="0"/>
        <w:jc w:val="right"/>
        <w:rPr>
          <w:rFonts w:ascii="Times New Roman" w:eastAsia="Times New Roman" w:hAnsi="Times New Roman" w:cs="Times New Roman"/>
          <w:sz w:val="22"/>
          <w:szCs w:val="22"/>
        </w:rPr>
      </w:pPr>
      <w:r w:rsidRPr="009A4DDA">
        <w:rPr>
          <w:rFonts w:ascii="Times New Roman" w:eastAsia="Times New Roman" w:hAnsi="Times New Roman" w:cs="Times New Roman"/>
          <w:sz w:val="22"/>
          <w:szCs w:val="22"/>
        </w:rPr>
        <w:t xml:space="preserve"> Procurement Conditions</w:t>
      </w:r>
    </w:p>
    <w:p w14:paraId="4AAFA9EA" w14:textId="77777777" w:rsidR="004653FE" w:rsidRPr="009A4DDA" w:rsidRDefault="004653FE" w:rsidP="004653FE">
      <w:pPr>
        <w:ind w:firstLine="0"/>
        <w:jc w:val="center"/>
        <w:rPr>
          <w:rFonts w:ascii="Times New Roman" w:eastAsia="Times New Roman" w:hAnsi="Times New Roman" w:cs="Times New Roman"/>
          <w:sz w:val="22"/>
          <w:szCs w:val="22"/>
          <w:lang w:eastAsia="lt-LT"/>
        </w:rPr>
      </w:pPr>
    </w:p>
    <w:p w14:paraId="50165B29" w14:textId="77777777" w:rsidR="004653FE" w:rsidRPr="009A4DDA" w:rsidRDefault="004653FE" w:rsidP="004653FE">
      <w:pPr>
        <w:ind w:firstLine="0"/>
        <w:jc w:val="center"/>
        <w:rPr>
          <w:rFonts w:ascii="Times New Roman" w:eastAsia="Times New Roman" w:hAnsi="Times New Roman" w:cs="Times New Roman"/>
          <w:sz w:val="22"/>
          <w:szCs w:val="22"/>
          <w:lang w:eastAsia="lt-LT"/>
        </w:rPr>
      </w:pPr>
    </w:p>
    <w:p w14:paraId="04B415FB" w14:textId="77777777" w:rsidR="004653FE" w:rsidRPr="009A4DDA" w:rsidRDefault="004653FE" w:rsidP="004653FE">
      <w:pPr>
        <w:ind w:firstLine="0"/>
        <w:jc w:val="center"/>
        <w:rPr>
          <w:rFonts w:ascii="Times New Roman Bold" w:eastAsia="Times New Roman" w:hAnsi="Times New Roman Bold" w:cs="Times New Roman"/>
          <w:b/>
          <w:bCs/>
          <w:caps/>
          <w:sz w:val="22"/>
          <w:lang w:eastAsia="lt-LT"/>
        </w:rPr>
      </w:pPr>
      <w:r w:rsidRPr="009A4DDA">
        <w:rPr>
          <w:rFonts w:ascii="Times New Roman Bold" w:eastAsia="Times New Roman" w:hAnsi="Times New Roman Bold" w:cs="Times New Roman"/>
          <w:b/>
          <w:bCs/>
          <w:caps/>
          <w:sz w:val="22"/>
          <w:lang w:eastAsia="lt-LT"/>
        </w:rPr>
        <w:t>Additional System Functionalities</w:t>
      </w:r>
    </w:p>
    <w:p w14:paraId="0BBBE8BF" w14:textId="77777777" w:rsidR="004653FE" w:rsidRPr="009A4DDA" w:rsidRDefault="004653FE" w:rsidP="004653FE">
      <w:pPr>
        <w:ind w:firstLine="0"/>
        <w:rPr>
          <w:rFonts w:ascii="Times New Roman" w:eastAsia="Times New Roman" w:hAnsi="Times New Roman" w:cs="Times New Roman"/>
          <w:sz w:val="22"/>
          <w:lang w:eastAsia="lt-LT"/>
        </w:rPr>
      </w:pPr>
    </w:p>
    <w:p w14:paraId="42DCA175" w14:textId="77777777" w:rsidR="004653FE" w:rsidRPr="009A4DDA" w:rsidRDefault="004653FE" w:rsidP="004653FE">
      <w:pPr>
        <w:tabs>
          <w:tab w:val="left" w:pos="567"/>
        </w:tabs>
        <w:ind w:firstLine="0"/>
        <w:jc w:val="both"/>
        <w:rPr>
          <w:rFonts w:ascii="Times New Roman" w:eastAsia="Times New Roman" w:hAnsi="Times New Roman" w:cs="Times New Roman"/>
          <w:sz w:val="22"/>
        </w:rPr>
      </w:pPr>
      <w:r w:rsidRPr="009A4DDA">
        <w:rPr>
          <w:rFonts w:ascii="Times New Roman" w:eastAsia="Times New Roman" w:hAnsi="Times New Roman" w:cs="Times New Roman"/>
          <w:sz w:val="22"/>
        </w:rPr>
        <w:t xml:space="preserve">The following additional SEA system functionalities are proposed (the Supplier’s submitted responses will be used for the evaluation of tender price and quality in accordance with the methodology set out in Section 12 of the </w:t>
      </w:r>
      <w:r w:rsidRPr="009A4DDA">
        <w:rPr>
          <w:rFonts w:ascii="Times New Roman" w:eastAsia="Times New Roman" w:hAnsi="Times New Roman" w:cs="Times New Roman"/>
          <w:sz w:val="22"/>
          <w:szCs w:val="22"/>
        </w:rPr>
        <w:t>Procurement Conditions</w:t>
      </w:r>
      <w:r w:rsidRPr="009A4DDA">
        <w:rPr>
          <w:rFonts w:ascii="Times New Roman" w:eastAsia="Times New Roman" w:hAnsi="Times New Roman" w:cs="Times New Roman"/>
          <w:sz w:val="22"/>
        </w:rPr>
        <w:t>):</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263"/>
        <w:gridCol w:w="3811"/>
        <w:gridCol w:w="2970"/>
      </w:tblGrid>
      <w:tr w:rsidR="004653FE" w:rsidRPr="009A4DDA" w14:paraId="5124C56B" w14:textId="77777777" w:rsidTr="005138A3">
        <w:trPr>
          <w:trHeight w:val="1007"/>
        </w:trPr>
        <w:tc>
          <w:tcPr>
            <w:tcW w:w="883" w:type="dxa"/>
            <w:shd w:val="clear" w:color="auto" w:fill="auto"/>
          </w:tcPr>
          <w:p w14:paraId="252AD694"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b/>
                <w:bCs/>
                <w:sz w:val="22"/>
              </w:rPr>
            </w:pPr>
            <w:proofErr w:type="spellStart"/>
            <w:r w:rsidRPr="009A4DDA">
              <w:rPr>
                <w:rFonts w:ascii="Times New Roman" w:eastAsia="Times New Roman" w:hAnsi="Times New Roman" w:cs="Times New Roman"/>
                <w:b/>
                <w:bCs/>
                <w:sz w:val="22"/>
              </w:rPr>
              <w:t>Seq.No</w:t>
            </w:r>
            <w:proofErr w:type="spellEnd"/>
          </w:p>
        </w:tc>
        <w:tc>
          <w:tcPr>
            <w:tcW w:w="2263" w:type="dxa"/>
            <w:shd w:val="clear" w:color="auto" w:fill="auto"/>
          </w:tcPr>
          <w:p w14:paraId="7776B3C5" w14:textId="77777777" w:rsidR="004653FE" w:rsidRPr="009A4DDA" w:rsidRDefault="004653FE" w:rsidP="005138A3">
            <w:pPr>
              <w:tabs>
                <w:tab w:val="left" w:pos="426"/>
                <w:tab w:val="left" w:pos="567"/>
              </w:tabs>
              <w:autoSpaceDN w:val="0"/>
              <w:ind w:firstLine="0"/>
              <w:jc w:val="both"/>
              <w:rPr>
                <w:rFonts w:ascii="Times New Roman" w:eastAsia="Times New Roman" w:hAnsi="Times New Roman" w:cs="Times New Roman"/>
                <w:b/>
                <w:bCs/>
                <w:sz w:val="22"/>
              </w:rPr>
            </w:pPr>
            <w:bookmarkStart w:id="0" w:name="_Hlk196434960"/>
            <w:r w:rsidRPr="009A4DDA">
              <w:rPr>
                <w:rFonts w:ascii="Times New Roman" w:hAnsi="Times New Roman"/>
                <w:b/>
                <w:sz w:val="22"/>
              </w:rPr>
              <w:t>Additional System Functionalities</w:t>
            </w:r>
          </w:p>
          <w:bookmarkEnd w:id="0"/>
          <w:p w14:paraId="1FDB7BC3"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b/>
                <w:bCs/>
                <w:i/>
                <w:sz w:val="22"/>
              </w:rPr>
            </w:pPr>
          </w:p>
        </w:tc>
        <w:tc>
          <w:tcPr>
            <w:tcW w:w="3811" w:type="dxa"/>
            <w:shd w:val="clear" w:color="auto" w:fill="auto"/>
          </w:tcPr>
          <w:p w14:paraId="4227B098"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b/>
                <w:bCs/>
                <w:iCs/>
                <w:sz w:val="22"/>
              </w:rPr>
            </w:pPr>
            <w:r w:rsidRPr="009A4DDA">
              <w:rPr>
                <w:rFonts w:ascii="Times New Roman" w:hAnsi="Times New Roman"/>
                <w:b/>
                <w:sz w:val="22"/>
              </w:rPr>
              <w:t>Functionality Requirements</w:t>
            </w:r>
          </w:p>
        </w:tc>
        <w:tc>
          <w:tcPr>
            <w:tcW w:w="2970" w:type="dxa"/>
          </w:tcPr>
          <w:p w14:paraId="07AE9F5F"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b/>
                <w:iCs/>
                <w:sz w:val="22"/>
                <w:lang w:val="en-US"/>
              </w:rPr>
            </w:pPr>
            <w:r w:rsidRPr="009A4DDA">
              <w:rPr>
                <w:rFonts w:ascii="Times New Roman" w:hAnsi="Times New Roman"/>
                <w:b/>
                <w:sz w:val="22"/>
              </w:rPr>
              <w:t xml:space="preserve">COMPLIANCE WITH REQUIREMENT (INDICATE YES / </w:t>
            </w:r>
            <w:proofErr w:type="gramStart"/>
            <w:r w:rsidRPr="009A4DDA">
              <w:rPr>
                <w:rFonts w:ascii="Times New Roman" w:hAnsi="Times New Roman"/>
                <w:b/>
                <w:sz w:val="22"/>
              </w:rPr>
              <w:t>NO)*</w:t>
            </w:r>
            <w:proofErr w:type="gramEnd"/>
          </w:p>
        </w:tc>
      </w:tr>
      <w:tr w:rsidR="004653FE" w:rsidRPr="009A4DDA" w14:paraId="6701C036" w14:textId="77777777" w:rsidTr="005138A3">
        <w:trPr>
          <w:trHeight w:val="272"/>
        </w:trPr>
        <w:tc>
          <w:tcPr>
            <w:tcW w:w="883" w:type="dxa"/>
            <w:shd w:val="clear" w:color="auto" w:fill="auto"/>
          </w:tcPr>
          <w:p w14:paraId="0AB685C5" w14:textId="77777777" w:rsidR="004653FE" w:rsidRPr="009A4DDA" w:rsidRDefault="004653FE" w:rsidP="005138A3">
            <w:pPr>
              <w:tabs>
                <w:tab w:val="left" w:pos="567"/>
              </w:tabs>
              <w:spacing w:line="276" w:lineRule="auto"/>
              <w:ind w:firstLine="0"/>
              <w:jc w:val="center"/>
              <w:rPr>
                <w:rFonts w:ascii="Times New Roman" w:eastAsia="Times New Roman" w:hAnsi="Times New Roman" w:cs="Times New Roman"/>
                <w:sz w:val="22"/>
              </w:rPr>
            </w:pPr>
            <w:r w:rsidRPr="009A4DDA">
              <w:rPr>
                <w:rFonts w:ascii="Times New Roman" w:eastAsia="Times New Roman" w:hAnsi="Times New Roman" w:cs="Times New Roman"/>
                <w:sz w:val="22"/>
              </w:rPr>
              <w:t>1.</w:t>
            </w:r>
          </w:p>
        </w:tc>
        <w:tc>
          <w:tcPr>
            <w:tcW w:w="2263" w:type="dxa"/>
            <w:shd w:val="clear" w:color="auto" w:fill="auto"/>
          </w:tcPr>
          <w:p w14:paraId="17369FA0" w14:textId="77777777" w:rsidR="004653FE" w:rsidRPr="009A4DDA" w:rsidRDefault="004653FE" w:rsidP="005138A3">
            <w:pPr>
              <w:tabs>
                <w:tab w:val="left" w:pos="567"/>
              </w:tabs>
              <w:ind w:firstLine="0"/>
              <w:jc w:val="both"/>
              <w:rPr>
                <w:rFonts w:ascii="Times New Roman" w:eastAsia="Times New Roman" w:hAnsi="Times New Roman" w:cs="Times New Roman"/>
                <w:b/>
                <w:bCs/>
                <w:sz w:val="22"/>
                <w:szCs w:val="22"/>
              </w:rPr>
            </w:pPr>
            <w:r w:rsidRPr="009A4DDA">
              <w:rPr>
                <w:rFonts w:ascii="Times New Roman" w:hAnsi="Times New Roman" w:cs="Times New Roman"/>
                <w:b/>
                <w:bCs/>
                <w:sz w:val="22"/>
                <w:szCs w:val="22"/>
              </w:rPr>
              <w:t xml:space="preserve">Opportunity “health” assessment </w:t>
            </w:r>
          </w:p>
        </w:tc>
        <w:tc>
          <w:tcPr>
            <w:tcW w:w="3811" w:type="dxa"/>
            <w:shd w:val="clear" w:color="auto" w:fill="auto"/>
          </w:tcPr>
          <w:p w14:paraId="2596746D" w14:textId="77777777" w:rsidR="004653FE" w:rsidRPr="009A4DDA" w:rsidRDefault="004653FE" w:rsidP="005138A3">
            <w:pPr>
              <w:tabs>
                <w:tab w:val="left" w:pos="567"/>
              </w:tabs>
              <w:ind w:firstLine="0"/>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 In the “Opportunity” section, the System automatically calculates the “health” of a sales opportunity based on formulas created by the Supplier, which </w:t>
            </w:r>
            <w:proofErr w:type="gramStart"/>
            <w:r w:rsidRPr="009A4DDA">
              <w:rPr>
                <w:rFonts w:ascii="Times New Roman" w:hAnsi="Times New Roman" w:cs="Times New Roman"/>
                <w:sz w:val="22"/>
                <w:szCs w:val="22"/>
              </w:rPr>
              <w:t>take into account</w:t>
            </w:r>
            <w:proofErr w:type="gramEnd"/>
            <w:r w:rsidRPr="009A4DDA">
              <w:rPr>
                <w:rFonts w:ascii="Times New Roman" w:hAnsi="Times New Roman" w:cs="Times New Roman"/>
                <w:sz w:val="22"/>
                <w:szCs w:val="22"/>
              </w:rPr>
              <w:t xml:space="preserve"> the statistics of interactions with the sales opportunities, i.e. the System links the statistics of actions in “Account” and “Contacts” (engagement via emails, calls, meetings) and similar sales opportunities existing in the Salesforce system. Based on the submitted statistics of the sales opportunity, the SEA system suggests actions that would improve the “health” of the sales opportunity and increase the likelihood of successful project closure. For example, an additional call or meeting is suggested. </w:t>
            </w:r>
          </w:p>
        </w:tc>
        <w:tc>
          <w:tcPr>
            <w:tcW w:w="2970" w:type="dxa"/>
          </w:tcPr>
          <w:p w14:paraId="17FD2F06"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sz w:val="22"/>
              </w:rPr>
            </w:pPr>
          </w:p>
        </w:tc>
      </w:tr>
      <w:tr w:rsidR="004653FE" w:rsidRPr="009A4DDA" w14:paraId="472942FD" w14:textId="77777777" w:rsidTr="005138A3">
        <w:trPr>
          <w:trHeight w:val="249"/>
        </w:trPr>
        <w:tc>
          <w:tcPr>
            <w:tcW w:w="883" w:type="dxa"/>
            <w:shd w:val="clear" w:color="auto" w:fill="auto"/>
          </w:tcPr>
          <w:p w14:paraId="4937B8F3" w14:textId="77777777" w:rsidR="004653FE" w:rsidRPr="009A4DDA" w:rsidRDefault="004653FE" w:rsidP="005138A3">
            <w:pPr>
              <w:tabs>
                <w:tab w:val="left" w:pos="567"/>
              </w:tabs>
              <w:spacing w:line="276" w:lineRule="auto"/>
              <w:ind w:firstLine="0"/>
              <w:jc w:val="center"/>
              <w:rPr>
                <w:rFonts w:ascii="Times New Roman" w:eastAsia="Times New Roman" w:hAnsi="Times New Roman" w:cs="Times New Roman"/>
                <w:sz w:val="22"/>
              </w:rPr>
            </w:pPr>
            <w:r w:rsidRPr="009A4DDA">
              <w:rPr>
                <w:rFonts w:ascii="Times New Roman" w:eastAsia="Times New Roman" w:hAnsi="Times New Roman" w:cs="Times New Roman"/>
                <w:sz w:val="22"/>
              </w:rPr>
              <w:t>2.</w:t>
            </w:r>
          </w:p>
        </w:tc>
        <w:tc>
          <w:tcPr>
            <w:tcW w:w="2263" w:type="dxa"/>
            <w:shd w:val="clear" w:color="auto" w:fill="auto"/>
          </w:tcPr>
          <w:p w14:paraId="79BF1A3D" w14:textId="77777777" w:rsidR="004653FE" w:rsidRPr="009A4DDA" w:rsidRDefault="004653FE" w:rsidP="005138A3">
            <w:pPr>
              <w:tabs>
                <w:tab w:val="left" w:pos="567"/>
              </w:tabs>
              <w:ind w:firstLine="0"/>
              <w:jc w:val="both"/>
              <w:rPr>
                <w:rFonts w:ascii="Times New Roman" w:eastAsia="Times New Roman" w:hAnsi="Times New Roman" w:cs="Times New Roman"/>
                <w:b/>
                <w:bCs/>
                <w:sz w:val="22"/>
                <w:szCs w:val="22"/>
              </w:rPr>
            </w:pPr>
            <w:r w:rsidRPr="009A4DDA">
              <w:rPr>
                <w:rFonts w:ascii="Times New Roman" w:hAnsi="Times New Roman" w:cs="Times New Roman"/>
                <w:b/>
                <w:bCs/>
                <w:sz w:val="22"/>
                <w:szCs w:val="22"/>
              </w:rPr>
              <w:t xml:space="preserve">AI-Enabled Account Assistant </w:t>
            </w:r>
          </w:p>
        </w:tc>
        <w:tc>
          <w:tcPr>
            <w:tcW w:w="3811" w:type="dxa"/>
            <w:shd w:val="clear" w:color="auto" w:fill="auto"/>
          </w:tcPr>
          <w:p w14:paraId="335E9FCE" w14:textId="77777777" w:rsidR="004653FE" w:rsidRPr="009A4DDA" w:rsidRDefault="004653FE" w:rsidP="005138A3">
            <w:pPr>
              <w:tabs>
                <w:tab w:val="left" w:pos="567"/>
              </w:tabs>
              <w:ind w:firstLine="0"/>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The System automatically summarises account activity by analysing transcripts of at least 8 recent meetings/calls and at least 50 recent emails. The System identifies potential risks and opportunities and generates personalised recommendations for next steps. This functionality must be integrated with the existing Salesforce system to allow automatic updating of account information. </w:t>
            </w:r>
          </w:p>
        </w:tc>
        <w:tc>
          <w:tcPr>
            <w:tcW w:w="2970" w:type="dxa"/>
          </w:tcPr>
          <w:p w14:paraId="50256F3C"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sz w:val="22"/>
              </w:rPr>
            </w:pPr>
          </w:p>
        </w:tc>
      </w:tr>
      <w:tr w:rsidR="004653FE" w:rsidRPr="009A4DDA" w14:paraId="41651280" w14:textId="77777777" w:rsidTr="005138A3">
        <w:trPr>
          <w:trHeight w:val="70"/>
        </w:trPr>
        <w:tc>
          <w:tcPr>
            <w:tcW w:w="883" w:type="dxa"/>
            <w:shd w:val="clear" w:color="auto" w:fill="auto"/>
          </w:tcPr>
          <w:p w14:paraId="14FBB6DC" w14:textId="77777777" w:rsidR="004653FE" w:rsidRPr="009A4DDA" w:rsidRDefault="004653FE" w:rsidP="005138A3">
            <w:pPr>
              <w:tabs>
                <w:tab w:val="left" w:pos="567"/>
              </w:tabs>
              <w:spacing w:line="276" w:lineRule="auto"/>
              <w:ind w:firstLine="0"/>
              <w:jc w:val="center"/>
              <w:rPr>
                <w:rFonts w:ascii="Times New Roman" w:eastAsia="Times New Roman" w:hAnsi="Times New Roman" w:cs="Times New Roman"/>
                <w:sz w:val="22"/>
                <w:lang w:val="en-US"/>
              </w:rPr>
            </w:pPr>
            <w:r w:rsidRPr="009A4DDA">
              <w:rPr>
                <w:rFonts w:ascii="Times New Roman" w:eastAsia="Times New Roman" w:hAnsi="Times New Roman" w:cs="Times New Roman"/>
                <w:sz w:val="22"/>
                <w:lang w:val="en-US"/>
              </w:rPr>
              <w:t>3.</w:t>
            </w:r>
          </w:p>
        </w:tc>
        <w:tc>
          <w:tcPr>
            <w:tcW w:w="2263" w:type="dxa"/>
            <w:shd w:val="clear" w:color="auto" w:fill="auto"/>
          </w:tcPr>
          <w:p w14:paraId="17A2CC53" w14:textId="77777777" w:rsidR="004653FE" w:rsidRPr="009A4DDA" w:rsidRDefault="004653FE" w:rsidP="005138A3">
            <w:pPr>
              <w:tabs>
                <w:tab w:val="left" w:pos="567"/>
              </w:tabs>
              <w:ind w:firstLine="0"/>
              <w:jc w:val="both"/>
              <w:rPr>
                <w:rFonts w:ascii="Times New Roman" w:eastAsia="Times New Roman" w:hAnsi="Times New Roman" w:cs="Times New Roman"/>
                <w:b/>
                <w:bCs/>
                <w:sz w:val="22"/>
                <w:szCs w:val="22"/>
              </w:rPr>
            </w:pPr>
            <w:r w:rsidRPr="009A4DDA">
              <w:rPr>
                <w:rFonts w:ascii="Times New Roman" w:hAnsi="Times New Roman" w:cs="Times New Roman"/>
                <w:b/>
                <w:bCs/>
                <w:sz w:val="22"/>
                <w:szCs w:val="22"/>
              </w:rPr>
              <w:t xml:space="preserve">AI-Enabled Sales Opportunity Assistant </w:t>
            </w:r>
          </w:p>
        </w:tc>
        <w:tc>
          <w:tcPr>
            <w:tcW w:w="3811" w:type="dxa"/>
            <w:shd w:val="clear" w:color="auto" w:fill="auto"/>
          </w:tcPr>
          <w:p w14:paraId="5B853AAE" w14:textId="77777777" w:rsidR="004653FE" w:rsidRPr="009A4DDA" w:rsidRDefault="004653FE" w:rsidP="005138A3">
            <w:pPr>
              <w:tabs>
                <w:tab w:val="left" w:pos="567"/>
              </w:tabs>
              <w:spacing w:line="259" w:lineRule="auto"/>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The System automatically analyses sales opportunity data, including emails, meeting transcripts, and Salesforce data, to determine opportunity health status. In forecasting the likelihood of closing a sales opportunity and recommending personalised actions to increase success, the System identifies and relies on risk factors and opportunities. The System proposes personalised insights based on </w:t>
            </w:r>
            <w:r w:rsidRPr="009A4DDA">
              <w:rPr>
                <w:rFonts w:ascii="Times New Roman" w:hAnsi="Times New Roman" w:cs="Times New Roman"/>
                <w:sz w:val="22"/>
                <w:szCs w:val="22"/>
              </w:rPr>
              <w:lastRenderedPageBreak/>
              <w:t xml:space="preserve">the type, size, and customer of the sales opportunity. </w:t>
            </w:r>
          </w:p>
        </w:tc>
        <w:tc>
          <w:tcPr>
            <w:tcW w:w="2970" w:type="dxa"/>
          </w:tcPr>
          <w:p w14:paraId="21291DB3"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sz w:val="22"/>
              </w:rPr>
            </w:pPr>
          </w:p>
        </w:tc>
      </w:tr>
      <w:tr w:rsidR="004653FE" w:rsidRPr="009A4DDA" w14:paraId="39F67FB0" w14:textId="77777777" w:rsidTr="005138A3">
        <w:trPr>
          <w:trHeight w:val="229"/>
        </w:trPr>
        <w:tc>
          <w:tcPr>
            <w:tcW w:w="883" w:type="dxa"/>
            <w:shd w:val="clear" w:color="auto" w:fill="auto"/>
          </w:tcPr>
          <w:p w14:paraId="5D83945C" w14:textId="77777777" w:rsidR="004653FE" w:rsidRPr="009A4DDA" w:rsidRDefault="004653FE" w:rsidP="005138A3">
            <w:pPr>
              <w:tabs>
                <w:tab w:val="left" w:pos="567"/>
              </w:tabs>
              <w:spacing w:line="276" w:lineRule="auto"/>
              <w:ind w:firstLine="0"/>
              <w:jc w:val="center"/>
              <w:rPr>
                <w:rFonts w:ascii="Times New Roman" w:eastAsia="Times New Roman" w:hAnsi="Times New Roman" w:cs="Times New Roman"/>
                <w:sz w:val="22"/>
                <w:lang w:val="en-US"/>
              </w:rPr>
            </w:pPr>
            <w:r w:rsidRPr="009A4DDA">
              <w:rPr>
                <w:rFonts w:ascii="Times New Roman" w:eastAsia="Times New Roman" w:hAnsi="Times New Roman" w:cs="Times New Roman"/>
                <w:sz w:val="22"/>
                <w:lang w:val="en-US"/>
              </w:rPr>
              <w:t>4.</w:t>
            </w:r>
          </w:p>
        </w:tc>
        <w:tc>
          <w:tcPr>
            <w:tcW w:w="2263" w:type="dxa"/>
            <w:shd w:val="clear" w:color="auto" w:fill="auto"/>
          </w:tcPr>
          <w:p w14:paraId="1BDF81CA" w14:textId="77777777" w:rsidR="004653FE" w:rsidRPr="009A4DDA" w:rsidRDefault="004653FE" w:rsidP="005138A3">
            <w:pPr>
              <w:tabs>
                <w:tab w:val="left" w:pos="567"/>
              </w:tabs>
              <w:ind w:firstLine="0"/>
              <w:jc w:val="both"/>
              <w:rPr>
                <w:rFonts w:ascii="Times New Roman" w:eastAsia="Times New Roman" w:hAnsi="Times New Roman" w:cs="Times New Roman"/>
                <w:b/>
                <w:bCs/>
                <w:sz w:val="22"/>
                <w:szCs w:val="22"/>
              </w:rPr>
            </w:pPr>
            <w:r w:rsidRPr="009A4DDA">
              <w:rPr>
                <w:rFonts w:ascii="Times New Roman" w:hAnsi="Times New Roman" w:cs="Times New Roman"/>
                <w:b/>
                <w:bCs/>
                <w:sz w:val="22"/>
                <w:szCs w:val="22"/>
              </w:rPr>
              <w:t xml:space="preserve">AI-Enabled Email Assistant </w:t>
            </w:r>
          </w:p>
        </w:tc>
        <w:tc>
          <w:tcPr>
            <w:tcW w:w="3811" w:type="dxa"/>
            <w:shd w:val="clear" w:color="auto" w:fill="auto"/>
          </w:tcPr>
          <w:p w14:paraId="6882D93A" w14:textId="77777777" w:rsidR="004653FE" w:rsidRPr="009A4DDA" w:rsidRDefault="004653FE" w:rsidP="005138A3">
            <w:pPr>
              <w:tabs>
                <w:tab w:val="left" w:pos="567"/>
              </w:tabs>
              <w:ind w:firstLine="0"/>
              <w:jc w:val="both"/>
              <w:rPr>
                <w:rFonts w:ascii="Times New Roman" w:eastAsia="Times New Roman" w:hAnsi="Times New Roman" w:cs="Times New Roman"/>
                <w:sz w:val="22"/>
                <w:szCs w:val="22"/>
              </w:rPr>
            </w:pPr>
            <w:r w:rsidRPr="009A4DDA">
              <w:rPr>
                <w:rFonts w:ascii="Times New Roman" w:hAnsi="Times New Roman" w:cs="Times New Roman"/>
                <w:sz w:val="22"/>
                <w:szCs w:val="22"/>
              </w:rPr>
              <w:t xml:space="preserve">The System is capable of automatically generating initial sales emails, email replies, and meeting/call summaries based on the provided context (at least the last 3 emails in the thread, contact and company information, summaries of meetings/calls, or other inputs). The System allows users to provide additional context through a prompt specifying response length and tone (e.g. professional). The System supports referencing existing SEA system templates, fragments, and record cards to tailor emails. The functionality activation is managed at the organisation and user levels. </w:t>
            </w:r>
          </w:p>
        </w:tc>
        <w:tc>
          <w:tcPr>
            <w:tcW w:w="2970" w:type="dxa"/>
          </w:tcPr>
          <w:p w14:paraId="7ED484C5" w14:textId="77777777" w:rsidR="004653FE" w:rsidRPr="009A4DDA" w:rsidRDefault="004653FE" w:rsidP="005138A3">
            <w:pPr>
              <w:tabs>
                <w:tab w:val="left" w:pos="567"/>
              </w:tabs>
              <w:spacing w:line="276" w:lineRule="auto"/>
              <w:ind w:firstLine="0"/>
              <w:jc w:val="both"/>
              <w:rPr>
                <w:rFonts w:ascii="Times New Roman" w:eastAsia="Times New Roman" w:hAnsi="Times New Roman" w:cs="Times New Roman"/>
                <w:sz w:val="22"/>
              </w:rPr>
            </w:pPr>
          </w:p>
        </w:tc>
      </w:tr>
    </w:tbl>
    <w:p w14:paraId="408D622C" w14:textId="77777777" w:rsidR="004653FE" w:rsidRPr="009A4DDA" w:rsidRDefault="004653FE" w:rsidP="004653FE">
      <w:pPr>
        <w:ind w:firstLine="0"/>
        <w:jc w:val="both"/>
        <w:rPr>
          <w:rFonts w:ascii="Times New Roman" w:eastAsia="Times New Roman" w:hAnsi="Times New Roman" w:cs="Times New Roman"/>
          <w:b/>
          <w:bCs/>
          <w:sz w:val="22"/>
        </w:rPr>
      </w:pPr>
      <w:r w:rsidRPr="009A4DDA">
        <w:rPr>
          <w:rFonts w:ascii="Times New Roman" w:hAnsi="Times New Roman"/>
          <w:b/>
          <w:i/>
          <w:sz w:val="22"/>
        </w:rPr>
        <w:t>*If the proposed additional functionality only partially meets the description, the Supplier must indicate “NO”.</w:t>
      </w:r>
      <w:r w:rsidRPr="009A4DDA">
        <w:rPr>
          <w:rFonts w:ascii="Times New Roman" w:hAnsi="Times New Roman"/>
          <w:b/>
          <w:sz w:val="22"/>
        </w:rPr>
        <w:t xml:space="preserve"> </w:t>
      </w:r>
    </w:p>
    <w:p w14:paraId="0AFC06A8" w14:textId="77777777" w:rsidR="004653FE" w:rsidRPr="009A4DDA" w:rsidRDefault="004653FE" w:rsidP="004653FE">
      <w:pPr>
        <w:ind w:firstLine="0"/>
        <w:jc w:val="both"/>
        <w:rPr>
          <w:rFonts w:ascii="Times New Roman" w:eastAsia="Times New Roman" w:hAnsi="Times New Roman" w:cs="Times New Roman"/>
          <w:b/>
          <w:bCs/>
          <w:i/>
          <w:iCs/>
          <w:sz w:val="22"/>
        </w:rPr>
      </w:pPr>
    </w:p>
    <w:p w14:paraId="01981840" w14:textId="77777777" w:rsidR="004653FE" w:rsidRPr="009A4DDA" w:rsidRDefault="004653FE" w:rsidP="004653FE">
      <w:pPr>
        <w:ind w:firstLine="0"/>
        <w:jc w:val="both"/>
        <w:rPr>
          <w:rFonts w:ascii="Times New Roman" w:eastAsia="Times New Roman" w:hAnsi="Times New Roman" w:cs="Times New Roman"/>
          <w:sz w:val="22"/>
        </w:rPr>
      </w:pPr>
      <w:r w:rsidRPr="009A4DDA">
        <w:rPr>
          <w:rFonts w:ascii="Times New Roman" w:hAnsi="Times New Roman"/>
          <w:sz w:val="22"/>
        </w:rPr>
        <w:t>The proposed additional functionalities must be operational at the time of tender submission.</w:t>
      </w:r>
    </w:p>
    <w:p w14:paraId="42E71216" w14:textId="77777777" w:rsidR="004653FE" w:rsidRPr="009A4DDA" w:rsidRDefault="004653FE" w:rsidP="004653FE">
      <w:pPr>
        <w:ind w:firstLine="0"/>
        <w:jc w:val="both"/>
        <w:rPr>
          <w:rFonts w:ascii="Times New Roman" w:eastAsia="Times New Roman" w:hAnsi="Times New Roman" w:cs="Times New Roman"/>
          <w:sz w:val="22"/>
          <w:lang w:eastAsia="lt-LT"/>
        </w:rPr>
      </w:pPr>
    </w:p>
    <w:p w14:paraId="35ADB0BC" w14:textId="77777777" w:rsidR="004653FE" w:rsidRPr="009A4DDA" w:rsidRDefault="004653FE" w:rsidP="004653FE">
      <w:pPr>
        <w:ind w:firstLine="0"/>
        <w:jc w:val="both"/>
        <w:rPr>
          <w:rFonts w:ascii="Times New Roman" w:eastAsia="Times New Roman" w:hAnsi="Times New Roman" w:cs="Times New Roman"/>
          <w:sz w:val="22"/>
          <w:szCs w:val="22"/>
        </w:rPr>
      </w:pPr>
      <w:r w:rsidRPr="009A4DDA">
        <w:rPr>
          <w:rFonts w:ascii="Times New Roman" w:hAnsi="Times New Roman"/>
          <w:sz w:val="22"/>
          <w:szCs w:val="22"/>
        </w:rPr>
        <w:t>If the Contracting Authority requires verification of the accuracy of the information provided by the Supplier, the Supplier must submit technical documentation and/or demonstrate the operation of the additional functionalities at any time before the Contract is signed.</w:t>
      </w:r>
    </w:p>
    <w:p w14:paraId="6361D9F6" w14:textId="77777777" w:rsidR="004653FE" w:rsidRPr="009A4DDA" w:rsidRDefault="004653FE" w:rsidP="004653FE">
      <w:pPr>
        <w:ind w:firstLine="0"/>
        <w:rPr>
          <w:rFonts w:ascii="Times New Roman" w:eastAsia="Times New Roman" w:hAnsi="Times New Roman" w:cs="Times New Roman"/>
          <w:sz w:val="22"/>
          <w:szCs w:val="22"/>
        </w:rPr>
      </w:pPr>
    </w:p>
    <w:p w14:paraId="6856115F" w14:textId="77777777" w:rsidR="000153CB" w:rsidRDefault="000153CB"/>
    <w:sectPr w:rsidR="000153CB" w:rsidSect="004653FE">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E"/>
    <w:rsid w:val="000153CB"/>
    <w:rsid w:val="0021618D"/>
    <w:rsid w:val="004653FE"/>
    <w:rsid w:val="00472AB5"/>
    <w:rsid w:val="00DD7F1C"/>
    <w:rsid w:val="00E96662"/>
    <w:rsid w:val="00F934C3"/>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05842"/>
  <w15:chartTrackingRefBased/>
  <w15:docId w15:val="{B39FEE43-9DC0-4013-A7CC-D90BCC17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3FE"/>
    <w:pPr>
      <w:spacing w:after="0" w:line="240" w:lineRule="auto"/>
      <w:ind w:firstLine="720"/>
    </w:pPr>
    <w:rPr>
      <w:rFonts w:ascii="Arial" w:eastAsia="Calibri" w:hAnsi="Arial" w:cs="Arial"/>
      <w:kern w:val="0"/>
      <w:sz w:val="20"/>
      <w:szCs w:val="20"/>
      <w:lang w:val="en-GB"/>
      <w14:ligatures w14:val="none"/>
    </w:rPr>
  </w:style>
  <w:style w:type="paragraph" w:styleId="Heading1">
    <w:name w:val="heading 1"/>
    <w:basedOn w:val="Normal"/>
    <w:next w:val="Normal"/>
    <w:link w:val="Heading1Char"/>
    <w:uiPriority w:val="9"/>
    <w:qFormat/>
    <w:rsid w:val="004653FE"/>
    <w:pPr>
      <w:keepNext/>
      <w:keepLines/>
      <w:spacing w:before="360" w:after="80" w:line="259" w:lineRule="auto"/>
      <w:ind w:firstLine="0"/>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Heading2">
    <w:name w:val="heading 2"/>
    <w:basedOn w:val="Normal"/>
    <w:next w:val="Normal"/>
    <w:link w:val="Heading2Char"/>
    <w:uiPriority w:val="9"/>
    <w:semiHidden/>
    <w:unhideWhenUsed/>
    <w:qFormat/>
    <w:rsid w:val="004653FE"/>
    <w:pPr>
      <w:keepNext/>
      <w:keepLines/>
      <w:spacing w:before="160" w:after="80" w:line="259" w:lineRule="auto"/>
      <w:ind w:firstLine="0"/>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Heading3">
    <w:name w:val="heading 3"/>
    <w:basedOn w:val="Normal"/>
    <w:next w:val="Normal"/>
    <w:link w:val="Heading3Char"/>
    <w:uiPriority w:val="9"/>
    <w:semiHidden/>
    <w:unhideWhenUsed/>
    <w:qFormat/>
    <w:rsid w:val="004653FE"/>
    <w:pPr>
      <w:keepNext/>
      <w:keepLines/>
      <w:spacing w:before="160" w:after="80" w:line="259" w:lineRule="auto"/>
      <w:ind w:firstLine="0"/>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Heading4">
    <w:name w:val="heading 4"/>
    <w:basedOn w:val="Normal"/>
    <w:next w:val="Normal"/>
    <w:link w:val="Heading4Char"/>
    <w:uiPriority w:val="9"/>
    <w:semiHidden/>
    <w:unhideWhenUsed/>
    <w:qFormat/>
    <w:rsid w:val="004653FE"/>
    <w:pPr>
      <w:keepNext/>
      <w:keepLines/>
      <w:spacing w:before="80" w:after="40" w:line="259" w:lineRule="auto"/>
      <w:ind w:firstLine="0"/>
      <w:outlineLvl w:val="3"/>
    </w:pPr>
    <w:rPr>
      <w:rFonts w:asciiTheme="minorHAnsi" w:eastAsiaTheme="majorEastAsia" w:hAnsiTheme="minorHAnsi" w:cstheme="majorBidi"/>
      <w:i/>
      <w:iCs/>
      <w:color w:val="0F4761" w:themeColor="accent1" w:themeShade="BF"/>
      <w:kern w:val="2"/>
      <w:sz w:val="22"/>
      <w:szCs w:val="22"/>
      <w:lang w:val="lt-LT"/>
      <w14:ligatures w14:val="standardContextual"/>
    </w:rPr>
  </w:style>
  <w:style w:type="paragraph" w:styleId="Heading5">
    <w:name w:val="heading 5"/>
    <w:basedOn w:val="Normal"/>
    <w:next w:val="Normal"/>
    <w:link w:val="Heading5Char"/>
    <w:uiPriority w:val="9"/>
    <w:semiHidden/>
    <w:unhideWhenUsed/>
    <w:qFormat/>
    <w:rsid w:val="004653FE"/>
    <w:pPr>
      <w:keepNext/>
      <w:keepLines/>
      <w:spacing w:before="80" w:after="40" w:line="259" w:lineRule="auto"/>
      <w:ind w:firstLine="0"/>
      <w:outlineLvl w:val="4"/>
    </w:pPr>
    <w:rPr>
      <w:rFonts w:asciiTheme="minorHAnsi" w:eastAsiaTheme="majorEastAsia" w:hAnsiTheme="minorHAnsi" w:cstheme="majorBidi"/>
      <w:color w:val="0F4761" w:themeColor="accent1" w:themeShade="BF"/>
      <w:kern w:val="2"/>
      <w:sz w:val="22"/>
      <w:szCs w:val="22"/>
      <w:lang w:val="lt-LT"/>
      <w14:ligatures w14:val="standardContextual"/>
    </w:rPr>
  </w:style>
  <w:style w:type="paragraph" w:styleId="Heading6">
    <w:name w:val="heading 6"/>
    <w:basedOn w:val="Normal"/>
    <w:next w:val="Normal"/>
    <w:link w:val="Heading6Char"/>
    <w:uiPriority w:val="9"/>
    <w:semiHidden/>
    <w:unhideWhenUsed/>
    <w:qFormat/>
    <w:rsid w:val="004653FE"/>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lang w:val="lt-LT"/>
      <w14:ligatures w14:val="standardContextual"/>
    </w:rPr>
  </w:style>
  <w:style w:type="paragraph" w:styleId="Heading7">
    <w:name w:val="heading 7"/>
    <w:basedOn w:val="Normal"/>
    <w:next w:val="Normal"/>
    <w:link w:val="Heading7Char"/>
    <w:uiPriority w:val="9"/>
    <w:semiHidden/>
    <w:unhideWhenUsed/>
    <w:qFormat/>
    <w:rsid w:val="004653FE"/>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lang w:val="lt-LT"/>
      <w14:ligatures w14:val="standardContextual"/>
    </w:rPr>
  </w:style>
  <w:style w:type="paragraph" w:styleId="Heading8">
    <w:name w:val="heading 8"/>
    <w:basedOn w:val="Normal"/>
    <w:next w:val="Normal"/>
    <w:link w:val="Heading8Char"/>
    <w:uiPriority w:val="9"/>
    <w:semiHidden/>
    <w:unhideWhenUsed/>
    <w:qFormat/>
    <w:rsid w:val="004653FE"/>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lang w:val="lt-LT"/>
      <w14:ligatures w14:val="standardContextual"/>
    </w:rPr>
  </w:style>
  <w:style w:type="paragraph" w:styleId="Heading9">
    <w:name w:val="heading 9"/>
    <w:basedOn w:val="Normal"/>
    <w:next w:val="Normal"/>
    <w:link w:val="Heading9Char"/>
    <w:uiPriority w:val="9"/>
    <w:semiHidden/>
    <w:unhideWhenUsed/>
    <w:qFormat/>
    <w:rsid w:val="004653FE"/>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3FE"/>
    <w:rPr>
      <w:rFonts w:eastAsiaTheme="majorEastAsia" w:cstheme="majorBidi"/>
      <w:color w:val="272727" w:themeColor="text1" w:themeTint="D8"/>
    </w:rPr>
  </w:style>
  <w:style w:type="paragraph" w:styleId="Title">
    <w:name w:val="Title"/>
    <w:basedOn w:val="Normal"/>
    <w:next w:val="Normal"/>
    <w:link w:val="TitleChar"/>
    <w:uiPriority w:val="10"/>
    <w:qFormat/>
    <w:rsid w:val="004653FE"/>
    <w:pPr>
      <w:spacing w:after="80"/>
      <w:ind w:firstLine="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46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3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SubtitleChar">
    <w:name w:val="Subtitle Char"/>
    <w:basedOn w:val="DefaultParagraphFont"/>
    <w:link w:val="Subtitle"/>
    <w:uiPriority w:val="11"/>
    <w:rsid w:val="0046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3FE"/>
    <w:pPr>
      <w:spacing w:before="160" w:after="160" w:line="259" w:lineRule="auto"/>
      <w:ind w:firstLine="0"/>
      <w:jc w:val="center"/>
    </w:pPr>
    <w:rPr>
      <w:rFonts w:asciiTheme="minorHAnsi" w:eastAsiaTheme="minorHAnsi" w:hAnsiTheme="minorHAnsi" w:cstheme="minorBidi"/>
      <w:i/>
      <w:iCs/>
      <w:color w:val="404040" w:themeColor="text1" w:themeTint="BF"/>
      <w:kern w:val="2"/>
      <w:sz w:val="22"/>
      <w:szCs w:val="22"/>
      <w:lang w:val="lt-LT"/>
      <w14:ligatures w14:val="standardContextual"/>
    </w:rPr>
  </w:style>
  <w:style w:type="character" w:customStyle="1" w:styleId="QuoteChar">
    <w:name w:val="Quote Char"/>
    <w:basedOn w:val="DefaultParagraphFont"/>
    <w:link w:val="Quote"/>
    <w:uiPriority w:val="29"/>
    <w:rsid w:val="004653FE"/>
    <w:rPr>
      <w:i/>
      <w:iCs/>
      <w:color w:val="404040" w:themeColor="text1" w:themeTint="BF"/>
    </w:rPr>
  </w:style>
  <w:style w:type="paragraph" w:styleId="ListParagraph">
    <w:name w:val="List Paragraph"/>
    <w:basedOn w:val="Normal"/>
    <w:uiPriority w:val="34"/>
    <w:qFormat/>
    <w:rsid w:val="004653FE"/>
    <w:pPr>
      <w:spacing w:after="160" w:line="259" w:lineRule="auto"/>
      <w:ind w:left="720" w:firstLine="0"/>
      <w:contextualSpacing/>
    </w:pPr>
    <w:rPr>
      <w:rFonts w:asciiTheme="minorHAnsi" w:eastAsiaTheme="minorHAnsi" w:hAnsiTheme="minorHAnsi" w:cstheme="minorBidi"/>
      <w:kern w:val="2"/>
      <w:sz w:val="22"/>
      <w:szCs w:val="22"/>
      <w:lang w:val="lt-LT"/>
      <w14:ligatures w14:val="standardContextual"/>
    </w:rPr>
  </w:style>
  <w:style w:type="character" w:styleId="IntenseEmphasis">
    <w:name w:val="Intense Emphasis"/>
    <w:basedOn w:val="DefaultParagraphFont"/>
    <w:uiPriority w:val="21"/>
    <w:qFormat/>
    <w:rsid w:val="004653FE"/>
    <w:rPr>
      <w:i/>
      <w:iCs/>
      <w:color w:val="0F4761" w:themeColor="accent1" w:themeShade="BF"/>
    </w:rPr>
  </w:style>
  <w:style w:type="paragraph" w:styleId="IntenseQuote">
    <w:name w:val="Intense Quote"/>
    <w:basedOn w:val="Normal"/>
    <w:next w:val="Normal"/>
    <w:link w:val="IntenseQuoteChar"/>
    <w:uiPriority w:val="30"/>
    <w:qFormat/>
    <w:rsid w:val="004653FE"/>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 w:val="22"/>
      <w:szCs w:val="22"/>
      <w:lang w:val="lt-LT"/>
      <w14:ligatures w14:val="standardContextual"/>
    </w:rPr>
  </w:style>
  <w:style w:type="character" w:customStyle="1" w:styleId="IntenseQuoteChar">
    <w:name w:val="Intense Quote Char"/>
    <w:basedOn w:val="DefaultParagraphFont"/>
    <w:link w:val="IntenseQuote"/>
    <w:uiPriority w:val="30"/>
    <w:rsid w:val="004653FE"/>
    <w:rPr>
      <w:i/>
      <w:iCs/>
      <w:color w:val="0F4761" w:themeColor="accent1" w:themeShade="BF"/>
    </w:rPr>
  </w:style>
  <w:style w:type="character" w:styleId="IntenseReference">
    <w:name w:val="Intense Reference"/>
    <w:basedOn w:val="DefaultParagraphFont"/>
    <w:uiPriority w:val="32"/>
    <w:qFormat/>
    <w:rsid w:val="00465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C2A64F1C-6A28-4C22-8497-3AC68E3FE54E}"/>
</file>

<file path=customXml/itemProps2.xml><?xml version="1.0" encoding="utf-8"?>
<ds:datastoreItem xmlns:ds="http://schemas.openxmlformats.org/officeDocument/2006/customXml" ds:itemID="{E78128D8-E083-43C3-8D45-4D7DEA1A2720}"/>
</file>

<file path=customXml/itemProps3.xml><?xml version="1.0" encoding="utf-8"?>
<ds:datastoreItem xmlns:ds="http://schemas.openxmlformats.org/officeDocument/2006/customXml" ds:itemID="{DFB897B1-F063-45A1-A2A9-C386303D281C}"/>
</file>

<file path=docProps/app.xml><?xml version="1.0" encoding="utf-8"?>
<Properties xmlns="http://schemas.openxmlformats.org/officeDocument/2006/extended-properties" xmlns:vt="http://schemas.openxmlformats.org/officeDocument/2006/docPropsVTypes">
  <Template>Normal</Template>
  <TotalTime>1</TotalTime>
  <Pages>2</Pages>
  <Words>2024</Words>
  <Characters>1154</Characters>
  <Application>Microsoft Office Word</Application>
  <DocSecurity>0</DocSecurity>
  <Lines>9</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cp:revision>
  <dcterms:created xsi:type="dcterms:W3CDTF">2025-04-25T11:04:00Z</dcterms:created>
  <dcterms:modified xsi:type="dcterms:W3CDTF">2025-04-25T11:05:00Z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