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E7E8FA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5B694E">
            <w:rPr>
              <w:rFonts w:ascii="Times New Roman" w:eastAsia="Times New Roman" w:hAnsi="Times New Roman" w:cs="Times New Roman"/>
              <w:sz w:val="24"/>
              <w:szCs w:val="24"/>
            </w:rPr>
            <w:t>202</w:t>
          </w:r>
          <w:r w:rsidR="005B3372" w:rsidRPr="005B694E">
            <w:rPr>
              <w:rFonts w:ascii="Times New Roman" w:eastAsia="Times New Roman" w:hAnsi="Times New Roman" w:cs="Times New Roman"/>
              <w:sz w:val="24"/>
              <w:szCs w:val="24"/>
            </w:rPr>
            <w:t>5</w:t>
          </w:r>
          <w:r w:rsidR="008E2FAC" w:rsidRPr="005B694E">
            <w:rPr>
              <w:rFonts w:ascii="Times New Roman" w:eastAsia="Times New Roman" w:hAnsi="Times New Roman" w:cs="Times New Roman"/>
              <w:sz w:val="24"/>
              <w:szCs w:val="24"/>
            </w:rPr>
            <w:t>-</w:t>
          </w:r>
          <w:r w:rsidR="00DB7972">
            <w:rPr>
              <w:rFonts w:ascii="Times New Roman" w:eastAsia="Times New Roman" w:hAnsi="Times New Roman" w:cs="Times New Roman"/>
              <w:sz w:val="24"/>
              <w:szCs w:val="24"/>
            </w:rPr>
            <w:t>04-28</w:t>
          </w:r>
          <w:r w:rsidR="005C4C75" w:rsidRPr="005B694E">
            <w:rPr>
              <w:rFonts w:ascii="Times New Roman" w:eastAsia="Times New Roman" w:hAnsi="Times New Roman" w:cs="Times New Roman"/>
              <w:sz w:val="24"/>
              <w:szCs w:val="24"/>
            </w:rPr>
            <w:t xml:space="preserve"> </w:t>
          </w:r>
          <w:r w:rsidRPr="005B694E">
            <w:rPr>
              <w:rFonts w:ascii="Times New Roman" w:eastAsia="Times New Roman" w:hAnsi="Times New Roman" w:cs="Times New Roman"/>
              <w:sz w:val="24"/>
              <w:szCs w:val="24"/>
            </w:rPr>
            <w:t>pro</w:t>
          </w:r>
          <w:r w:rsidR="0082254B" w:rsidRPr="005B694E">
            <w:rPr>
              <w:rFonts w:ascii="Times New Roman" w:eastAsia="Times New Roman" w:hAnsi="Times New Roman" w:cs="Times New Roman"/>
              <w:sz w:val="24"/>
              <w:szCs w:val="24"/>
            </w:rPr>
            <w:t xml:space="preserve">tokolu Nr. </w:t>
          </w:r>
          <w:proofErr w:type="spellStart"/>
          <w:r w:rsidR="00F14AC6" w:rsidRPr="00DD26FA">
            <w:rPr>
              <w:rFonts w:ascii="Times New Roman" w:eastAsia="Times New Roman" w:hAnsi="Times New Roman" w:cs="Times New Roman"/>
              <w:sz w:val="24"/>
              <w:szCs w:val="24"/>
            </w:rPr>
            <w:t>JVI</w:t>
          </w:r>
          <w:proofErr w:type="spellEnd"/>
          <w:r w:rsidR="00F14AC6" w:rsidRPr="00DD26FA">
            <w:rPr>
              <w:rFonts w:ascii="Times New Roman" w:eastAsia="Times New Roman" w:hAnsi="Times New Roman" w:cs="Times New Roman"/>
              <w:sz w:val="24"/>
              <w:szCs w:val="24"/>
            </w:rPr>
            <w:t>-</w:t>
          </w:r>
          <w:r w:rsidR="00DD26FA" w:rsidRPr="00DD26FA">
            <w:rPr>
              <w:rFonts w:ascii="Times New Roman" w:eastAsia="Times New Roman" w:hAnsi="Times New Roman" w:cs="Times New Roman"/>
              <w:sz w:val="24"/>
              <w:szCs w:val="24"/>
            </w:rPr>
            <w:t>71</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656296F1"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DB7972" w:rsidRPr="006F7095">
            <w:rPr>
              <w:rFonts w:ascii="Times New Roman" w:eastAsia="Calibri" w:hAnsi="Times New Roman" w:cs="Times New Roman"/>
              <w:b/>
              <w:bCs/>
              <w:caps/>
              <w:sz w:val="28"/>
              <w:szCs w:val="28"/>
            </w:rPr>
            <w:t xml:space="preserve">VIETINĖS REIKŠMĖS KELIO NR. </w:t>
          </w:r>
          <w:proofErr w:type="spellStart"/>
          <w:r w:rsidR="00DB7972" w:rsidRPr="006F7095">
            <w:rPr>
              <w:rFonts w:ascii="Times New Roman" w:eastAsia="Calibri" w:hAnsi="Times New Roman" w:cs="Times New Roman"/>
              <w:b/>
              <w:bCs/>
              <w:caps/>
              <w:sz w:val="28"/>
              <w:szCs w:val="28"/>
            </w:rPr>
            <w:t>AL</w:t>
          </w:r>
          <w:r w:rsidR="00DB7972">
            <w:rPr>
              <w:rFonts w:ascii="Times New Roman" w:eastAsia="Calibri" w:hAnsi="Times New Roman" w:cs="Times New Roman"/>
              <w:b/>
              <w:bCs/>
              <w:caps/>
              <w:sz w:val="28"/>
              <w:szCs w:val="28"/>
            </w:rPr>
            <w:t>1212</w:t>
          </w:r>
          <w:proofErr w:type="spellEnd"/>
          <w:r w:rsidR="00DB7972" w:rsidRPr="006F7095">
            <w:rPr>
              <w:rFonts w:ascii="Times New Roman" w:eastAsia="Calibri" w:hAnsi="Times New Roman" w:cs="Times New Roman"/>
              <w:b/>
              <w:bCs/>
              <w:caps/>
              <w:sz w:val="28"/>
              <w:szCs w:val="28"/>
            </w:rPr>
            <w:t xml:space="preserve"> </w:t>
          </w:r>
          <w:proofErr w:type="spellStart"/>
          <w:r w:rsidR="00DB7972">
            <w:rPr>
              <w:rFonts w:ascii="Times New Roman" w:eastAsia="Calibri" w:hAnsi="Times New Roman" w:cs="Times New Roman"/>
              <w:b/>
              <w:bCs/>
              <w:caps/>
              <w:sz w:val="28"/>
              <w:szCs w:val="28"/>
            </w:rPr>
            <w:t>BALKASODIS</w:t>
          </w:r>
          <w:proofErr w:type="spellEnd"/>
          <w:r w:rsidR="00DB7972">
            <w:rPr>
              <w:rFonts w:ascii="Times New Roman" w:eastAsia="Calibri" w:hAnsi="Times New Roman" w:cs="Times New Roman"/>
              <w:b/>
              <w:bCs/>
              <w:caps/>
              <w:sz w:val="28"/>
              <w:szCs w:val="28"/>
            </w:rPr>
            <w:t xml:space="preserve"> – </w:t>
          </w:r>
          <w:proofErr w:type="spellStart"/>
          <w:r w:rsidR="00DB7972">
            <w:rPr>
              <w:rFonts w:ascii="Times New Roman" w:eastAsia="Calibri" w:hAnsi="Times New Roman" w:cs="Times New Roman"/>
              <w:b/>
              <w:bCs/>
              <w:caps/>
              <w:sz w:val="28"/>
              <w:szCs w:val="28"/>
            </w:rPr>
            <w:t>PLENTA</w:t>
          </w:r>
          <w:proofErr w:type="spellEnd"/>
          <w:r w:rsidR="00DB7972">
            <w:rPr>
              <w:rFonts w:ascii="Times New Roman" w:eastAsia="Calibri" w:hAnsi="Times New Roman" w:cs="Times New Roman"/>
              <w:b/>
              <w:bCs/>
              <w:caps/>
              <w:sz w:val="28"/>
              <w:szCs w:val="28"/>
            </w:rPr>
            <w:t xml:space="preserve"> RUOŽO, </w:t>
          </w:r>
          <w:proofErr w:type="spellStart"/>
          <w:r w:rsidR="00DB7972">
            <w:rPr>
              <w:rFonts w:ascii="Times New Roman" w:eastAsia="Calibri" w:hAnsi="Times New Roman" w:cs="Times New Roman"/>
              <w:b/>
              <w:bCs/>
              <w:caps/>
              <w:sz w:val="28"/>
              <w:szCs w:val="28"/>
            </w:rPr>
            <w:t>BALKASODŽIO</w:t>
          </w:r>
          <w:proofErr w:type="spellEnd"/>
          <w:r w:rsidR="00DB7972">
            <w:rPr>
              <w:rFonts w:ascii="Times New Roman" w:eastAsia="Calibri" w:hAnsi="Times New Roman" w:cs="Times New Roman"/>
              <w:b/>
              <w:bCs/>
              <w:caps/>
              <w:sz w:val="28"/>
              <w:szCs w:val="28"/>
            </w:rPr>
            <w:t xml:space="preserve"> K., MIROSLAVO SEN., ALYTAUS R. SAV.</w:t>
          </w:r>
          <w:r w:rsidR="00DB7972" w:rsidRPr="006F7095">
            <w:rPr>
              <w:rFonts w:ascii="Times New Roman" w:eastAsia="Calibri" w:hAnsi="Times New Roman" w:cs="Times New Roman"/>
              <w:b/>
              <w:bCs/>
              <w:caps/>
              <w:sz w:val="28"/>
              <w:szCs w:val="28"/>
            </w:rPr>
            <w:t xml:space="preserve"> PAPRASTOJO REMONTO DARBAI,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w:t>
      </w:r>
      <w:proofErr w:type="spellStart"/>
      <w:r w:rsidR="003D7399" w:rsidRPr="00DE4E50">
        <w:rPr>
          <w:rFonts w:ascii="Times New Roman" w:hAnsi="Times New Roman" w:cs="Times New Roman"/>
          <w:color w:val="000000" w:themeColor="text1"/>
          <w:sz w:val="24"/>
          <w:szCs w:val="24"/>
        </w:rPr>
        <w:t>CPO</w:t>
      </w:r>
      <w:proofErr w:type="spellEnd"/>
      <w:r w:rsidR="003D7399" w:rsidRPr="00DE4E50">
        <w:rPr>
          <w:rFonts w:ascii="Times New Roman" w:hAnsi="Times New Roman" w:cs="Times New Roman"/>
          <w:color w:val="000000" w:themeColor="text1"/>
          <w:sz w:val="24"/>
          <w:szCs w:val="24"/>
        </w:rPr>
        <w:t xml:space="preserve">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72147E8E"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B7972">
        <w:rPr>
          <w:rFonts w:ascii="Times New Roman" w:eastAsia="Calibri" w:hAnsi="Times New Roman" w:cs="Times New Roman"/>
          <w:color w:val="000000" w:themeColor="text1"/>
          <w:sz w:val="24"/>
          <w:szCs w:val="24"/>
        </w:rPr>
        <w:t xml:space="preserve">Perkančioji organizacija numato </w:t>
      </w:r>
      <w:r w:rsidR="00341DB2" w:rsidRPr="00DB7972">
        <w:rPr>
          <w:rFonts w:ascii="Times New Roman" w:eastAsia="Calibri" w:hAnsi="Times New Roman" w:cs="Times New Roman"/>
          <w:color w:val="000000" w:themeColor="text1"/>
          <w:sz w:val="24"/>
          <w:szCs w:val="24"/>
        </w:rPr>
        <w:t>pirkti</w:t>
      </w:r>
      <w:r w:rsidR="00175E68" w:rsidRPr="00DB7972">
        <w:rPr>
          <w:rFonts w:ascii="Times New Roman" w:eastAsia="Calibri" w:hAnsi="Times New Roman" w:cs="Times New Roman"/>
          <w:color w:val="00B050"/>
          <w:sz w:val="24"/>
          <w:szCs w:val="24"/>
        </w:rPr>
        <w:t xml:space="preserve"> </w:t>
      </w:r>
      <w:bookmarkStart w:id="6" w:name="_Hlk44319858"/>
      <w:bookmarkStart w:id="7" w:name="_Hlk130894864"/>
      <w:r w:rsidR="00DB7972" w:rsidRPr="00DB7972">
        <w:rPr>
          <w:rFonts w:ascii="Times New Roman" w:hAnsi="Times New Roman" w:cs="Times New Roman"/>
          <w:sz w:val="24"/>
          <w:szCs w:val="24"/>
        </w:rPr>
        <w:t xml:space="preserve">Vietinės reikšmės kelio Nr. </w:t>
      </w:r>
      <w:proofErr w:type="spellStart"/>
      <w:r w:rsidR="00DB7972" w:rsidRPr="00DB7972">
        <w:rPr>
          <w:rFonts w:ascii="Times New Roman" w:hAnsi="Times New Roman" w:cs="Times New Roman"/>
          <w:sz w:val="24"/>
          <w:szCs w:val="24"/>
        </w:rPr>
        <w:t>AL1212</w:t>
      </w:r>
      <w:proofErr w:type="spellEnd"/>
      <w:r w:rsidR="00DB7972" w:rsidRPr="00DB7972">
        <w:rPr>
          <w:rFonts w:ascii="Times New Roman" w:hAnsi="Times New Roman" w:cs="Times New Roman"/>
          <w:sz w:val="24"/>
          <w:szCs w:val="24"/>
        </w:rPr>
        <w:t xml:space="preserve"> </w:t>
      </w:r>
      <w:proofErr w:type="spellStart"/>
      <w:r w:rsidR="00DB7972" w:rsidRPr="00DB7972">
        <w:rPr>
          <w:rFonts w:ascii="Times New Roman" w:hAnsi="Times New Roman" w:cs="Times New Roman"/>
          <w:sz w:val="24"/>
          <w:szCs w:val="24"/>
        </w:rPr>
        <w:t>Balkasodis-Plenta</w:t>
      </w:r>
      <w:proofErr w:type="spellEnd"/>
      <w:r w:rsidR="00DB7972" w:rsidRPr="00DB7972">
        <w:rPr>
          <w:rFonts w:ascii="Times New Roman" w:hAnsi="Times New Roman" w:cs="Times New Roman"/>
          <w:sz w:val="24"/>
          <w:szCs w:val="24"/>
        </w:rPr>
        <w:t xml:space="preserve"> ruožo, </w:t>
      </w:r>
      <w:proofErr w:type="spellStart"/>
      <w:r w:rsidR="00DB7972" w:rsidRPr="00DB7972">
        <w:rPr>
          <w:rFonts w:ascii="Times New Roman" w:hAnsi="Times New Roman" w:cs="Times New Roman"/>
          <w:sz w:val="24"/>
          <w:szCs w:val="24"/>
        </w:rPr>
        <w:t>Balkasodžio</w:t>
      </w:r>
      <w:proofErr w:type="spellEnd"/>
      <w:r w:rsidR="00DB7972" w:rsidRPr="00DB7972">
        <w:rPr>
          <w:rFonts w:ascii="Times New Roman" w:hAnsi="Times New Roman" w:cs="Times New Roman"/>
          <w:sz w:val="24"/>
          <w:szCs w:val="24"/>
        </w:rPr>
        <w:t xml:space="preserve"> k., Miroslavo sen., Alytaus r. sav.</w:t>
      </w:r>
      <w:bookmarkEnd w:id="6"/>
      <w:r w:rsidR="00DB7972" w:rsidRPr="00DB7972">
        <w:rPr>
          <w:rFonts w:ascii="Times New Roman" w:hAnsi="Times New Roman" w:cs="Times New Roman"/>
          <w:sz w:val="24"/>
          <w:szCs w:val="24"/>
        </w:rPr>
        <w:t xml:space="preserve"> paprastojo remonto darbai, parengiant paprastojo remonto aprašą</w:t>
      </w:r>
      <w:bookmarkEnd w:id="7"/>
      <w:r w:rsidR="00DB7972" w:rsidRPr="00DB7972">
        <w:rPr>
          <w:rFonts w:ascii="Times New Roman" w:eastAsia="Calibri" w:hAnsi="Times New Roman" w:cs="Times New Roman"/>
          <w:b/>
          <w:sz w:val="24"/>
          <w:szCs w:val="24"/>
        </w:rPr>
        <w:t xml:space="preserve"> </w:t>
      </w:r>
      <w:r w:rsidR="00DB7972" w:rsidRPr="00DD26FA">
        <w:rPr>
          <w:rFonts w:ascii="Times New Roman" w:eastAsia="Calibri" w:hAnsi="Times New Roman" w:cs="Times New Roman"/>
          <w:bCs/>
          <w:sz w:val="24"/>
          <w:szCs w:val="24"/>
        </w:rPr>
        <w:t>(toliau – Darbai).</w:t>
      </w:r>
      <w:r w:rsidR="004637C1" w:rsidRPr="00DB7972">
        <w:rPr>
          <w:rFonts w:ascii="Times New Roman" w:eastAsia="Calibri" w:hAnsi="Times New Roman" w:cs="Times New Roman"/>
          <w:b/>
          <w:sz w:val="24"/>
          <w:szCs w:val="24"/>
        </w:rPr>
        <w:t xml:space="preserve"> </w:t>
      </w:r>
      <w:r w:rsidRPr="00DB7972">
        <w:rPr>
          <w:rFonts w:ascii="Times New Roman" w:hAnsi="Times New Roman" w:cs="Times New Roman"/>
          <w:sz w:val="24"/>
          <w:szCs w:val="24"/>
        </w:rPr>
        <w:t>Reikalavimai</w:t>
      </w:r>
      <w:r w:rsidRPr="00DE4E50">
        <w:rPr>
          <w:rFonts w:ascii="Times New Roman" w:hAnsi="Times New Roman" w:cs="Times New Roman"/>
          <w:sz w:val="24"/>
          <w:szCs w:val="24"/>
        </w:rPr>
        <w:t xml:space="preserve">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bookmarkStart w:id="20"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7"/>
      <w:bookmarkEnd w:id="18"/>
      <w:bookmarkEnd w:id="19"/>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 xml:space="preserve">užpildytas </w:t>
      </w:r>
      <w:proofErr w:type="spellStart"/>
      <w:r w:rsidRPr="008D364D">
        <w:rPr>
          <w:rFonts w:ascii="Times New Roman" w:hAnsi="Times New Roman" w:cs="Times New Roman"/>
          <w:sz w:val="24"/>
          <w:szCs w:val="24"/>
        </w:rPr>
        <w:t>EBVPD</w:t>
      </w:r>
      <w:proofErr w:type="spellEnd"/>
      <w:r w:rsidRPr="008D364D">
        <w:rPr>
          <w:rFonts w:ascii="Times New Roman" w:hAnsi="Times New Roman" w:cs="Times New Roman"/>
          <w:sz w:val="24"/>
          <w:szCs w:val="24"/>
        </w:rPr>
        <w:t xml:space="preserve">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 xml:space="preserve">as pasiūlymą, tiekėjas patvirtina ir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991841"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991841">
        <w:rPr>
          <w:rFonts w:ascii="Times New Roman" w:hAnsi="Times New Roman" w:cs="Times New Roman"/>
          <w:b/>
          <w:sz w:val="24"/>
          <w:szCs w:val="24"/>
        </w:rPr>
        <w:t>Pasiūlymo galiojimo užtikrinimas</w:t>
      </w:r>
      <w:bookmarkEnd w:id="26"/>
      <w:bookmarkEnd w:id="27"/>
      <w:bookmarkEnd w:id="28"/>
    </w:p>
    <w:p w14:paraId="7923CE7C" w14:textId="35D08110" w:rsidR="00391AAF" w:rsidRPr="00991841" w:rsidRDefault="00391AAF" w:rsidP="00391AAF">
      <w:pPr>
        <w:pStyle w:val="Sraopastraipa"/>
        <w:numPr>
          <w:ilvl w:val="1"/>
          <w:numId w:val="5"/>
        </w:numPr>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sidRPr="00991841">
        <w:rPr>
          <w:rFonts w:ascii="Times New Roman" w:hAnsi="Times New Roman" w:cs="Times New Roman"/>
          <w:sz w:val="24"/>
          <w:szCs w:val="24"/>
        </w:rPr>
        <w:t>Tiekėjo teikiamo pasiūlymo galiojimas turi būti užtikrintas Lietuvos Respublikoje ar užsienyje registruoto banko</w:t>
      </w:r>
      <w:r w:rsidR="005B694E" w:rsidRPr="00991841">
        <w:rPr>
          <w:rFonts w:ascii="Times New Roman" w:hAnsi="Times New Roman" w:cs="Times New Roman"/>
          <w:sz w:val="24"/>
          <w:szCs w:val="24"/>
        </w:rPr>
        <w:t>,</w:t>
      </w:r>
      <w:r w:rsidRPr="00991841">
        <w:rPr>
          <w:rFonts w:ascii="Times New Roman" w:hAnsi="Times New Roman" w:cs="Times New Roman"/>
          <w:sz w:val="24"/>
          <w:szCs w:val="24"/>
        </w:rPr>
        <w:t xml:space="preserve"> ar draudimo bendrovės laidavimo raštu</w:t>
      </w:r>
      <w:r w:rsidR="005B694E" w:rsidRPr="00991841">
        <w:rPr>
          <w:rFonts w:ascii="Times New Roman" w:hAnsi="Times New Roman" w:cs="Times New Roman"/>
          <w:sz w:val="24"/>
          <w:szCs w:val="24"/>
        </w:rPr>
        <w:t xml:space="preserve">, ar į Perkančiosios organizacijos banko sąskaitą Nr. </w:t>
      </w:r>
      <w:proofErr w:type="spellStart"/>
      <w:r w:rsidR="005B694E" w:rsidRPr="00991841">
        <w:rPr>
          <w:rFonts w:ascii="Times New Roman" w:hAnsi="Times New Roman" w:cs="Times New Roman"/>
          <w:sz w:val="24"/>
          <w:szCs w:val="24"/>
        </w:rPr>
        <w:t>LT28</w:t>
      </w:r>
      <w:proofErr w:type="spellEnd"/>
      <w:r w:rsidR="005B694E" w:rsidRPr="00991841">
        <w:rPr>
          <w:rFonts w:ascii="Times New Roman" w:hAnsi="Times New Roman" w:cs="Times New Roman"/>
          <w:sz w:val="24"/>
          <w:szCs w:val="24"/>
        </w:rPr>
        <w:t xml:space="preserve"> 7300 0101 8544 0951 pervedamas užstatas</w:t>
      </w:r>
      <w:r w:rsidRPr="00991841">
        <w:rPr>
          <w:rFonts w:ascii="Times New Roman" w:hAnsi="Times New Roman" w:cs="Times New Roman"/>
          <w:sz w:val="24"/>
          <w:szCs w:val="24"/>
        </w:rPr>
        <w:t xml:space="preserve">. Užtikrinimo vertė – </w:t>
      </w:r>
      <w:r w:rsidR="003C4718" w:rsidRPr="00991841">
        <w:rPr>
          <w:rFonts w:ascii="Times New Roman" w:hAnsi="Times New Roman" w:cs="Times New Roman"/>
          <w:sz w:val="24"/>
          <w:szCs w:val="24"/>
        </w:rPr>
        <w:t>3</w:t>
      </w:r>
      <w:r w:rsidRPr="0099184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991841">
        <w:t xml:space="preserve"> </w:t>
      </w:r>
      <w:r w:rsidRPr="00991841">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991841">
        <w:rPr>
          <w:rFonts w:ascii="Times New Roman" w:hAnsi="Times New Roman" w:cs="Times New Roman"/>
          <w:color w:val="000000" w:themeColor="text1"/>
          <w:sz w:val="24"/>
          <w:szCs w:val="24"/>
        </w:rPr>
        <w:t>Dalyvis netenka</w:t>
      </w:r>
      <w:r w:rsidRPr="001A3B67">
        <w:rPr>
          <w:rFonts w:ascii="Times New Roman" w:hAnsi="Times New Roman" w:cs="Times New Roman"/>
          <w:color w:val="000000" w:themeColor="text1"/>
          <w:sz w:val="24"/>
          <w:szCs w:val="24"/>
        </w:rPr>
        <w:t xml:space="preserve">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1A3B67">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Pasiūlymų vertinimas</w:t>
      </w:r>
      <w:bookmarkEnd w:id="34"/>
      <w:bookmarkEnd w:id="35"/>
      <w:bookmarkEnd w:id="36"/>
      <w:bookmarkEnd w:id="37"/>
      <w:bookmarkEnd w:id="38"/>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A6833">
        <w:rPr>
          <w:rFonts w:ascii="Times New Roman" w:eastAsia="Calibri" w:hAnsi="Times New Roman" w:cs="Times New Roman"/>
          <w:sz w:val="24"/>
          <w:szCs w:val="24"/>
        </w:rPr>
        <w:t xml:space="preserve">specialiųjų pirkimo sąlygų </w:t>
      </w:r>
      <w:bookmarkEnd w:id="39"/>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Ref39425999"/>
      <w:bookmarkStart w:id="41" w:name="_Ref39426005"/>
      <w:bookmarkStart w:id="42" w:name="_Toc162954665"/>
      <w:r w:rsidRPr="00DE4E50">
        <w:rPr>
          <w:rFonts w:ascii="Times New Roman" w:hAnsi="Times New Roman" w:cs="Times New Roman"/>
          <w:b/>
          <w:sz w:val="24"/>
          <w:szCs w:val="24"/>
        </w:rPr>
        <w:t>Sutarties sudarymas</w:t>
      </w:r>
      <w:bookmarkEnd w:id="40"/>
      <w:bookmarkEnd w:id="41"/>
      <w:bookmarkEnd w:id="42"/>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3" w:name="_Ref38291379"/>
      <w:bookmarkStart w:id="44" w:name="_Ref38291394"/>
      <w:bookmarkStart w:id="45" w:name="_Ref38898251"/>
      <w:bookmarkStart w:id="46" w:name="_Toc162954670"/>
      <w:bookmarkEnd w:id="20"/>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informuoja pirkimo dalyvius apie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7" w:name="_Ref38539939"/>
      <w:bookmarkStart w:id="48" w:name="_Ref38541068"/>
      <w:bookmarkStart w:id="49" w:name="_Ref38885053"/>
      <w:bookmarkStart w:id="50" w:name="_Ref38899023"/>
      <w:bookmarkStart w:id="51" w:name="_Toc162954667"/>
      <w:bookmarkStart w:id="52" w:name="_Ref38285444"/>
      <w:bookmarkStart w:id="53"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7"/>
      <w:bookmarkEnd w:id="48"/>
      <w:bookmarkEnd w:id="49"/>
      <w:bookmarkEnd w:id="50"/>
      <w:bookmarkEnd w:id="51"/>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4"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2"/>
      <w:bookmarkEnd w:id="53"/>
      <w:bookmarkEnd w:id="54"/>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1D11">
        <w:rPr>
          <w:rFonts w:ascii="Times New Roman" w:eastAsia="Verdana" w:hAnsi="Times New Roman" w:cs="Times New Roman"/>
          <w:sz w:val="24"/>
          <w:szCs w:val="24"/>
        </w:rPr>
        <w:t>Certis</w:t>
      </w:r>
      <w:proofErr w:type="spellEnd"/>
      <w:r w:rsidRPr="007C1D11">
        <w:rPr>
          <w:rFonts w:ascii="Times New Roman" w:eastAsia="Verdana" w:hAnsi="Times New Roman" w:cs="Times New Roman"/>
          <w:sz w:val="24"/>
          <w:szCs w:val="24"/>
        </w:rPr>
        <w:t>“. Lentelės ketvirtame stulpelyje nurodomi doku</w:t>
      </w:r>
      <w:r w:rsidRPr="007C1D1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C1D11">
        <w:rPr>
          <w:rFonts w:ascii="Times New Roman" w:hAnsi="Times New Roman" w:cs="Times New Roman"/>
          <w:sz w:val="24"/>
          <w:szCs w:val="24"/>
        </w:rPr>
        <w:t>Certis</w:t>
      </w:r>
      <w:proofErr w:type="spellEnd"/>
      <w:r w:rsidRPr="007C1D11">
        <w:rPr>
          <w:rFonts w:ascii="Times New Roman" w:hAnsi="Times New Roman" w:cs="Times New Roman"/>
          <w:sz w:val="24"/>
          <w:szCs w:val="24"/>
        </w:rPr>
        <w:t xml:space="preserve">“,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w:t>
            </w:r>
            <w:proofErr w:type="spellStart"/>
            <w:r w:rsidRPr="007C1D11">
              <w:rPr>
                <w:rFonts w:ascii="Times New Roman" w:eastAsia="Yu Mincho" w:hAnsi="Times New Roman" w:cs="Times New Roman"/>
                <w:b/>
                <w:bCs/>
                <w:sz w:val="24"/>
                <w:szCs w:val="24"/>
              </w:rPr>
              <w:t>EBVPD</w:t>
            </w:r>
            <w:proofErr w:type="spellEnd"/>
            <w:r w:rsidRPr="007C1D11">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A1-A6</w:t>
            </w:r>
            <w:proofErr w:type="spellEnd"/>
            <w:r w:rsidRPr="007C1D11">
              <w:rPr>
                <w:rFonts w:ascii="Times New Roman" w:eastAsia="Yu Mincho" w:hAnsi="Times New Roman" w:cs="Times New Roman"/>
                <w:sz w:val="24"/>
                <w:szCs w:val="24"/>
                <w:lang w:eastAsia="en-US"/>
              </w:rPr>
              <w:t xml:space="preserve">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D1</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D2</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Arial"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B1</w:t>
            </w:r>
            <w:proofErr w:type="spellEnd"/>
            <w:r w:rsidRPr="007C1D11">
              <w:rPr>
                <w:rFonts w:ascii="Times New Roman" w:eastAsia="Arial" w:hAnsi="Times New Roman" w:cs="Times New Roman"/>
                <w:sz w:val="24"/>
                <w:szCs w:val="24"/>
              </w:rPr>
              <w:t xml:space="preserve"> ir </w:t>
            </w:r>
            <w:proofErr w:type="spellStart"/>
            <w:r w:rsidRPr="007C1D11">
              <w:rPr>
                <w:rFonts w:ascii="Times New Roman" w:eastAsia="Arial" w:hAnsi="Times New Roman" w:cs="Times New Roman"/>
                <w:sz w:val="24"/>
                <w:szCs w:val="24"/>
              </w:rPr>
              <w:t>B2</w:t>
            </w:r>
            <w:proofErr w:type="spellEnd"/>
            <w:r w:rsidRPr="007C1D11">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C10</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C12</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C13</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C15</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C15</w:t>
            </w:r>
            <w:proofErr w:type="spellEnd"/>
            <w:r w:rsidRPr="007C1D11">
              <w:rPr>
                <w:rFonts w:ascii="Times New Roman" w:eastAsia="Arial" w:hAnsi="Times New Roman" w:cs="Times New Roman"/>
                <w:sz w:val="24"/>
                <w:szCs w:val="24"/>
              </w:rPr>
              <w:t xml:space="preserve">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C14</w:t>
            </w:r>
            <w:proofErr w:type="spellEnd"/>
            <w:r w:rsidRPr="007C1D11">
              <w:rPr>
                <w:rFonts w:ascii="Times New Roman" w:eastAsia="Arial" w:hAnsi="Times New Roman" w:cs="Times New Roman"/>
                <w:sz w:val="24"/>
                <w:szCs w:val="24"/>
              </w:rPr>
              <w:t xml:space="preserve">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C4</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C5</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lastRenderedPageBreak/>
              <w:t>C6</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C7</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C8</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C9</w:t>
            </w:r>
            <w:proofErr w:type="spellEnd"/>
            <w:r w:rsidRPr="007C1D11">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7"/>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8" w:name="_Ref38291223"/>
      <w:bookmarkStart w:id="59" w:name="_Ref38291334"/>
      <w:bookmarkStart w:id="60" w:name="_Ref38533412"/>
      <w:bookmarkStart w:id="61"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B482575" w14:textId="01858642"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991841">
              <w:rPr>
                <w:rFonts w:ascii="Times New Roman" w:eastAsia="Calibri" w:hAnsi="Times New Roman" w:cs="Times New Roman"/>
                <w:sz w:val="24"/>
                <w:szCs w:val="24"/>
                <w:lang w:eastAsia="en-US"/>
              </w:rPr>
              <w:t>89 256,20</w:t>
            </w:r>
            <w:r w:rsidRPr="00294026">
              <w:rPr>
                <w:rFonts w:ascii="Times New Roman" w:eastAsia="Calibri" w:hAnsi="Times New Roman" w:cs="Times New Roman"/>
                <w:sz w:val="24"/>
                <w:szCs w:val="24"/>
                <w:lang w:eastAsia="en-US"/>
              </w:rPr>
              <w:t xml:space="preserve"> Eur be PVM.</w:t>
            </w:r>
          </w:p>
          <w:p w14:paraId="39D1C302"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7C1D11">
          <w:rPr>
            <w:rFonts w:ascii="Times New Roman" w:eastAsia="Calibri" w:hAnsi="Times New Roman" w:cs="Times New Roman"/>
            <w:bCs/>
            <w:i/>
            <w:iCs/>
            <w:color w:val="000000"/>
            <w:sz w:val="24"/>
            <w:szCs w:val="24"/>
          </w:rPr>
          <w:t>e3K</w:t>
        </w:r>
        <w:proofErr w:type="spellEnd"/>
        <w:r w:rsidRPr="007C1D11">
          <w:rPr>
            <w:rFonts w:ascii="Times New Roman" w:eastAsia="Calibri" w:hAnsi="Times New Roman" w:cs="Times New Roman"/>
            <w:bCs/>
            <w:i/>
            <w:iCs/>
            <w:color w:val="000000"/>
            <w:sz w:val="24"/>
            <w:szCs w:val="24"/>
          </w:rPr>
          <w:t>-3-328-469/2022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7C1D11">
        <w:rPr>
          <w:rFonts w:ascii="Times New Roman" w:eastAsia="Calibri" w:hAnsi="Times New Roman" w:cs="Times New Roman"/>
          <w:bCs/>
          <w:i/>
          <w:iCs/>
          <w:color w:val="000000"/>
          <w:sz w:val="24"/>
          <w:szCs w:val="24"/>
        </w:rPr>
        <w:t>1S</w:t>
      </w:r>
      <w:proofErr w:type="spellEnd"/>
      <w:r w:rsidRPr="007C1D11">
        <w:rPr>
          <w:rFonts w:ascii="Times New Roman" w:eastAsia="Calibri" w:hAnsi="Times New Roman" w:cs="Times New Roman"/>
          <w:bCs/>
          <w:i/>
          <w:iCs/>
          <w:color w:val="000000"/>
          <w:sz w:val="24"/>
          <w:szCs w:val="24"/>
        </w:rPr>
        <w:t xml:space="preserve">-240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7C1D11">
              <w:rPr>
                <w:rFonts w:eastAsiaTheme="minorEastAsia"/>
                <w:color w:val="000000"/>
                <w:sz w:val="24"/>
                <w:szCs w:val="24"/>
              </w:rPr>
              <w:lastRenderedPageBreak/>
              <w:t>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w:t>
      </w:r>
      <w:proofErr w:type="spellStart"/>
      <w:r w:rsidRPr="007C1D11">
        <w:rPr>
          <w:rFonts w:ascii="Times New Roman" w:eastAsia="Calibri" w:hAnsi="Times New Roman" w:cs="Times New Roman"/>
          <w:sz w:val="24"/>
          <w:szCs w:val="24"/>
        </w:rPr>
        <w:t>EBVPD</w:t>
      </w:r>
      <w:proofErr w:type="spellEnd"/>
      <w:r w:rsidRPr="007C1D11">
        <w:rPr>
          <w:rFonts w:ascii="Times New Roman" w:eastAsia="Calibri" w:hAnsi="Times New Roman" w:cs="Times New Roman"/>
          <w:sz w:val="24"/>
          <w:szCs w:val="24"/>
        </w:rPr>
        <w:t>“</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2" w:name="_Hlk189214743"/>
      <w:r w:rsidRPr="007C1D11">
        <w:rPr>
          <w:rFonts w:ascii="Times New Roman" w:hAnsi="Times New Roman" w:cs="Times New Roman"/>
          <w:smallCaps/>
          <w:sz w:val="24"/>
          <w:szCs w:val="24"/>
        </w:rPr>
        <w:t>__________</w:t>
      </w:r>
    </w:p>
    <w:bookmarkEnd w:id="43"/>
    <w:bookmarkEnd w:id="44"/>
    <w:bookmarkEnd w:id="45"/>
    <w:bookmarkEnd w:id="46"/>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15346426" w14:textId="77777777" w:rsidR="00F6345A" w:rsidRDefault="00F6345A" w:rsidP="00F6345A">
      <w:pPr>
        <w:rPr>
          <w:rFonts w:ascii="Times New Roman" w:hAnsi="Times New Roman" w:cs="Times New Roman"/>
          <w:sz w:val="24"/>
          <w:szCs w:val="24"/>
        </w:rPr>
      </w:pPr>
    </w:p>
    <w:p w14:paraId="79E5C8B8" w14:textId="09EE475D" w:rsidR="00F6345A" w:rsidRPr="006310B5" w:rsidRDefault="00F6345A" w:rsidP="00F6345A">
      <w:pPr>
        <w:rPr>
          <w:rFonts w:ascii="Times New Roman" w:hAnsi="Times New Roman" w:cs="Times New Roman"/>
          <w:sz w:val="24"/>
          <w:szCs w:val="24"/>
        </w:rPr>
        <w:sectPr w:rsidR="00F6345A" w:rsidRPr="006310B5" w:rsidSect="00F6345A">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EDF208A" w14:textId="77777777" w:rsidR="00693D4F" w:rsidRPr="00DE4E50" w:rsidRDefault="00693D4F" w:rsidP="00DE290C">
      <w:pPr>
        <w:rPr>
          <w:rFonts w:cstheme="minorHAnsi"/>
          <w:color w:val="7030A0"/>
        </w:rPr>
      </w:pP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62954672"/>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7AE5" w14:textId="77777777" w:rsidR="00611668" w:rsidRDefault="00611668" w:rsidP="00D05666">
      <w:r>
        <w:separator/>
      </w:r>
    </w:p>
  </w:endnote>
  <w:endnote w:type="continuationSeparator" w:id="0">
    <w:p w14:paraId="4B93BA5D" w14:textId="77777777" w:rsidR="00611668" w:rsidRDefault="00611668" w:rsidP="00D05666">
      <w:r>
        <w:continuationSeparator/>
      </w:r>
    </w:p>
  </w:endnote>
  <w:endnote w:type="continuationNotice" w:id="1">
    <w:p w14:paraId="1D99FD0E" w14:textId="77777777" w:rsidR="00611668" w:rsidRDefault="00611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4F4E" w14:textId="77777777" w:rsidR="00F6345A" w:rsidRDefault="00F63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292" w14:textId="77777777" w:rsidR="00F6345A" w:rsidRDefault="00F634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A680" w14:textId="77777777" w:rsidR="00F6345A" w:rsidRDefault="00F6345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5A6D" w14:textId="77777777" w:rsidR="00611668" w:rsidRDefault="00611668" w:rsidP="00D05666">
      <w:r>
        <w:separator/>
      </w:r>
    </w:p>
  </w:footnote>
  <w:footnote w:type="continuationSeparator" w:id="0">
    <w:p w14:paraId="43D18B34" w14:textId="77777777" w:rsidR="00611668" w:rsidRDefault="00611668" w:rsidP="00D05666">
      <w:r>
        <w:continuationSeparator/>
      </w:r>
    </w:p>
  </w:footnote>
  <w:footnote w:type="continuationNotice" w:id="1">
    <w:p w14:paraId="298495D9" w14:textId="77777777" w:rsidR="00611668" w:rsidRDefault="00611668">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46BB" w14:textId="77777777" w:rsidR="00F6345A" w:rsidRDefault="00F63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C2E" w14:textId="77777777" w:rsidR="00F6345A" w:rsidRDefault="00F634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B1F" w14:textId="77777777" w:rsidR="00F6345A" w:rsidRDefault="00F63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32D"/>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82C"/>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49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66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202E"/>
    <w:rsid w:val="006E28D7"/>
    <w:rsid w:val="006E2957"/>
    <w:rsid w:val="006E2F05"/>
    <w:rsid w:val="006E3394"/>
    <w:rsid w:val="006E3F2B"/>
    <w:rsid w:val="006E4F21"/>
    <w:rsid w:val="006E5188"/>
    <w:rsid w:val="006E533D"/>
    <w:rsid w:val="006E6883"/>
    <w:rsid w:val="006E75C7"/>
    <w:rsid w:val="006E7679"/>
    <w:rsid w:val="006F051A"/>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41"/>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5CC"/>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C3"/>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AA3"/>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FA"/>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972"/>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0C00"/>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848"/>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5A"/>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63D"/>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21" Type="http://schemas.openxmlformats.org/officeDocument/2006/relationships/hyperlink" Target="https://www.registrucentras.lt/jar/p/"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33" Type="http://schemas.openxmlformats.org/officeDocument/2006/relationships/footer" Target="foot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35976</Words>
  <Characters>20507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606</cp:revision>
  <dcterms:created xsi:type="dcterms:W3CDTF">2023-04-07T07:17:00Z</dcterms:created>
  <dcterms:modified xsi:type="dcterms:W3CDTF">2025-04-28T10:53:00Z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