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7E49AE" w:rsidRDefault="009A43F6" w:rsidP="00E20D4F">
      <w:pPr>
        <w:pStyle w:val="Body2"/>
        <w:jc w:val="center"/>
        <w:rPr>
          <w:rFonts w:eastAsia="Times New Roman" w:cs="Times New Roman"/>
          <w:b/>
          <w:color w:val="auto"/>
          <w:sz w:val="24"/>
          <w:szCs w:val="24"/>
          <w:lang w:val="lt-LT"/>
        </w:rPr>
      </w:pPr>
    </w:p>
    <w:p w14:paraId="388A0233" w14:textId="12F2DE62" w:rsidR="0072416C" w:rsidRPr="007E49AE" w:rsidRDefault="00112F1A" w:rsidP="00E20D4F">
      <w:pPr>
        <w:pStyle w:val="Body2"/>
        <w:jc w:val="center"/>
        <w:rPr>
          <w:rFonts w:eastAsia="Times New Roman" w:cs="Times New Roman"/>
          <w:b/>
          <w:bCs/>
          <w:color w:val="auto"/>
          <w:sz w:val="24"/>
          <w:szCs w:val="24"/>
          <w:lang w:val="lt-LT"/>
        </w:rPr>
      </w:pPr>
      <w:r w:rsidRPr="00112F1A">
        <w:rPr>
          <w:rFonts w:eastAsia="TimesNewRomanPS-BoldMT" w:cs="Times New Roman"/>
          <w:b/>
          <w:bCs/>
          <w:sz w:val="24"/>
          <w:szCs w:val="24"/>
          <w:lang w:val="lt-LT"/>
        </w:rPr>
        <w:t>REAGENTAI IR PAGALBINĖS PRIEMONĖS INFEKCINIŲ LIGŲ IR TUBERKULIOZĖS LABORATORIJAI</w:t>
      </w:r>
      <w:r>
        <w:rPr>
          <w:rFonts w:eastAsia="Times New Roman" w:cs="Times New Roman"/>
          <w:b/>
          <w:bCs/>
          <w:color w:val="auto"/>
          <w:sz w:val="24"/>
          <w:szCs w:val="24"/>
          <w:lang w:val="lt-LT"/>
        </w:rPr>
        <w:t xml:space="preserve"> </w:t>
      </w:r>
      <w:r w:rsidR="00517C19">
        <w:rPr>
          <w:rFonts w:eastAsia="Times New Roman" w:cs="Times New Roman"/>
          <w:b/>
          <w:bCs/>
          <w:color w:val="auto"/>
          <w:sz w:val="24"/>
          <w:szCs w:val="24"/>
          <w:lang w:val="lt-LT"/>
        </w:rPr>
        <w:t>(</w:t>
      </w:r>
      <w:r w:rsidR="00220E1E" w:rsidRPr="007E49AE">
        <w:rPr>
          <w:rFonts w:eastAsia="Times New Roman" w:cs="Times New Roman"/>
          <w:b/>
          <w:bCs/>
          <w:color w:val="auto"/>
          <w:sz w:val="24"/>
          <w:szCs w:val="24"/>
          <w:lang w:val="lt-LT"/>
        </w:rPr>
        <w:t>9</w:t>
      </w:r>
      <w:r w:rsidR="00DB1EB7">
        <w:rPr>
          <w:rFonts w:eastAsia="Times New Roman" w:cs="Times New Roman"/>
          <w:b/>
          <w:bCs/>
          <w:color w:val="auto"/>
          <w:sz w:val="24"/>
          <w:szCs w:val="24"/>
          <w:lang w:val="lt-LT"/>
        </w:rPr>
        <w:t>896</w:t>
      </w:r>
      <w:r w:rsidR="00A678D6">
        <w:rPr>
          <w:rFonts w:eastAsia="Times New Roman" w:cs="Times New Roman"/>
          <w:b/>
          <w:bCs/>
          <w:color w:val="auto"/>
          <w:sz w:val="24"/>
          <w:szCs w:val="24"/>
          <w:lang w:val="lt-LT"/>
        </w:rPr>
        <w:t>)</w:t>
      </w:r>
    </w:p>
    <w:p w14:paraId="761FAAA6" w14:textId="77777777" w:rsidR="00E32FD2" w:rsidRPr="007E49AE" w:rsidRDefault="00E32FD2" w:rsidP="00E20D4F">
      <w:pPr>
        <w:pStyle w:val="Body2"/>
        <w:jc w:val="center"/>
        <w:rPr>
          <w:sz w:val="24"/>
          <w:szCs w:val="24"/>
          <w:lang w:val="lt-LT"/>
        </w:rPr>
      </w:pPr>
    </w:p>
    <w:p w14:paraId="21831D8B" w14:textId="41D86E83"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t>1.</w:t>
      </w:r>
      <w:r w:rsidR="006D4DF7" w:rsidRPr="00DB1EB7">
        <w:rPr>
          <w:rFonts w:cs="Times New Roman"/>
          <w:color w:val="000000" w:themeColor="text1"/>
          <w:sz w:val="24"/>
          <w:szCs w:val="24"/>
          <w:lang w:val="lt-LT"/>
        </w:rPr>
        <w:t xml:space="preserve"> </w:t>
      </w:r>
      <w:r w:rsidR="00F63F6A" w:rsidRPr="00DB1EB7">
        <w:rPr>
          <w:rFonts w:cs="Times New Roman"/>
          <w:color w:val="000000" w:themeColor="text1"/>
          <w:sz w:val="24"/>
          <w:szCs w:val="24"/>
          <w:lang w:val="lt-LT"/>
        </w:rPr>
        <w:t xml:space="preserve">VšĮ Vilniaus universiteto ligoninė Santaros klinikos (toliau - </w:t>
      </w:r>
      <w:r w:rsidR="006D4DF7" w:rsidRPr="00DB1EB7">
        <w:rPr>
          <w:rFonts w:cs="Times New Roman"/>
          <w:color w:val="000000" w:themeColor="text1"/>
          <w:sz w:val="24"/>
          <w:szCs w:val="24"/>
          <w:lang w:val="lt-LT"/>
        </w:rPr>
        <w:t>PO</w:t>
      </w:r>
      <w:r w:rsidR="00F63F6A" w:rsidRPr="00DB1EB7">
        <w:rPr>
          <w:rFonts w:cs="Times New Roman"/>
          <w:color w:val="000000" w:themeColor="text1"/>
          <w:sz w:val="24"/>
          <w:szCs w:val="24"/>
          <w:lang w:val="lt-LT"/>
        </w:rPr>
        <w:t>), vykdydama viešąjį pirkimą numato įsigyti</w:t>
      </w:r>
      <w:r w:rsidRPr="00DB1EB7">
        <w:rPr>
          <w:rFonts w:cs="Times New Roman"/>
          <w:color w:val="000000" w:themeColor="text1"/>
          <w:sz w:val="24"/>
          <w:szCs w:val="24"/>
          <w:lang w:val="lt-LT"/>
        </w:rPr>
        <w:t xml:space="preserve"> </w:t>
      </w:r>
      <w:r w:rsidR="00A22B40">
        <w:rPr>
          <w:rFonts w:cs="Times New Roman"/>
          <w:color w:val="000000" w:themeColor="text1"/>
          <w:sz w:val="24"/>
          <w:szCs w:val="24"/>
          <w:lang w:val="lt-LT"/>
        </w:rPr>
        <w:t>r</w:t>
      </w:r>
      <w:r w:rsidR="00112F1A" w:rsidRPr="00DB1EB7">
        <w:rPr>
          <w:rFonts w:eastAsia="TimesNewRomanPS-BoldMT" w:cs="Times New Roman"/>
          <w:sz w:val="24"/>
          <w:szCs w:val="24"/>
          <w:lang w:val="lt-LT"/>
        </w:rPr>
        <w:t>eagent</w:t>
      </w:r>
      <w:r w:rsidR="00A22B40">
        <w:rPr>
          <w:rFonts w:eastAsia="TimesNewRomanPS-BoldMT" w:cs="Times New Roman"/>
          <w:sz w:val="24"/>
          <w:szCs w:val="24"/>
          <w:lang w:val="lt-LT"/>
        </w:rPr>
        <w:t>us</w:t>
      </w:r>
      <w:r w:rsidR="00112F1A" w:rsidRPr="00DB1EB7">
        <w:rPr>
          <w:rFonts w:eastAsia="TimesNewRomanPS-BoldMT" w:cs="Times New Roman"/>
          <w:sz w:val="24"/>
          <w:szCs w:val="24"/>
          <w:lang w:val="lt-LT"/>
        </w:rPr>
        <w:t xml:space="preserve"> ir pagalbin</w:t>
      </w:r>
      <w:r w:rsidR="00A22B40">
        <w:rPr>
          <w:rFonts w:eastAsia="TimesNewRomanPS-BoldMT" w:cs="Times New Roman"/>
          <w:sz w:val="24"/>
          <w:szCs w:val="24"/>
          <w:lang w:val="lt-LT"/>
        </w:rPr>
        <w:t>e</w:t>
      </w:r>
      <w:r w:rsidR="00112F1A" w:rsidRPr="00DB1EB7">
        <w:rPr>
          <w:rFonts w:eastAsia="TimesNewRomanPS-BoldMT" w:cs="Times New Roman"/>
          <w:sz w:val="24"/>
          <w:szCs w:val="24"/>
          <w:lang w:val="lt-LT"/>
        </w:rPr>
        <w:t>s priemon</w:t>
      </w:r>
      <w:r w:rsidR="00A22B40">
        <w:rPr>
          <w:rFonts w:eastAsia="TimesNewRomanPS-BoldMT" w:cs="Times New Roman"/>
          <w:sz w:val="24"/>
          <w:szCs w:val="24"/>
          <w:lang w:val="lt-LT"/>
        </w:rPr>
        <w:t>e</w:t>
      </w:r>
      <w:r w:rsidR="00112F1A" w:rsidRPr="00DB1EB7">
        <w:rPr>
          <w:rFonts w:eastAsia="TimesNewRomanPS-BoldMT" w:cs="Times New Roman"/>
          <w:sz w:val="24"/>
          <w:szCs w:val="24"/>
          <w:lang w:val="lt-LT"/>
        </w:rPr>
        <w:t>s Infekcinių ligų ir tuberkuliozės laboratorijai</w:t>
      </w:r>
      <w:r w:rsidR="00112F1A" w:rsidRPr="00DB1EB7">
        <w:rPr>
          <w:rFonts w:cs="Times New Roman"/>
          <w:color w:val="000000" w:themeColor="text1"/>
          <w:sz w:val="24"/>
          <w:szCs w:val="24"/>
          <w:lang w:val="lt-LT"/>
        </w:rPr>
        <w:t xml:space="preserve"> </w:t>
      </w:r>
      <w:r w:rsidRPr="00DB1EB7">
        <w:rPr>
          <w:rFonts w:cs="Times New Roman"/>
          <w:color w:val="000000" w:themeColor="text1"/>
          <w:sz w:val="24"/>
          <w:szCs w:val="24"/>
          <w:lang w:val="lt-LT"/>
        </w:rPr>
        <w:t>(toliau - prekės)</w:t>
      </w:r>
      <w:r w:rsidR="00116B0B" w:rsidRPr="00DB1EB7">
        <w:rPr>
          <w:rFonts w:cs="Times New Roman"/>
          <w:color w:val="000000" w:themeColor="text1"/>
          <w:sz w:val="24"/>
          <w:szCs w:val="24"/>
          <w:lang w:val="lt-LT"/>
        </w:rPr>
        <w:t>.</w:t>
      </w:r>
    </w:p>
    <w:p w14:paraId="3E112E1F" w14:textId="77777777"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36C98B12" w:rsidR="00B576ED"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6B7707">
        <w:rPr>
          <w:rFonts w:cs="Times New Roman"/>
          <w:color w:val="000000" w:themeColor="text1"/>
          <w:sz w:val="24"/>
          <w:szCs w:val="24"/>
          <w:lang w:val="lt-LT"/>
        </w:rPr>
        <w:t>14</w:t>
      </w:r>
      <w:r w:rsidR="00B576ED" w:rsidRPr="00DB1EB7">
        <w:rPr>
          <w:rFonts w:cs="Times New Roman"/>
          <w:color w:val="000000" w:themeColor="text1"/>
          <w:sz w:val="24"/>
          <w:szCs w:val="24"/>
          <w:lang w:val="lt-LT"/>
        </w:rPr>
        <w:t>, LT-08406 Vilnius.</w:t>
      </w:r>
    </w:p>
    <w:p w14:paraId="0DF5F758" w14:textId="56CED4F1" w:rsidR="001603A9"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A22B40">
        <w:rPr>
          <w:rFonts w:cs="Times New Roman"/>
          <w:color w:val="000000" w:themeColor="text1"/>
          <w:sz w:val="24"/>
          <w:szCs w:val="24"/>
          <w:lang w:val="lt-LT"/>
        </w:rPr>
        <w:t>r</w:t>
      </w:r>
      <w:r w:rsidR="00DB1EB7" w:rsidRPr="00DB1EB7">
        <w:rPr>
          <w:rFonts w:eastAsia="TimesNewRomanPS-BoldMT" w:cs="Times New Roman"/>
          <w:sz w:val="24"/>
          <w:szCs w:val="24"/>
          <w:lang w:val="lt-LT"/>
        </w:rPr>
        <w:t>eagentai ir pagalbinės priemonės Infekcinių ligų ir tuberkuliozės laboratorijai</w:t>
      </w:r>
      <w:r w:rsidR="006164EC" w:rsidRPr="00DB1EB7">
        <w:rPr>
          <w:rFonts w:cs="Times New Roman"/>
          <w:color w:val="000000" w:themeColor="text1"/>
          <w:sz w:val="24"/>
          <w:szCs w:val="24"/>
          <w:lang w:val="lt-LT"/>
        </w:rPr>
        <w:t>.</w:t>
      </w:r>
      <w:r w:rsidR="001603A9" w:rsidRPr="00DB1EB7">
        <w:rPr>
          <w:rFonts w:cs="Times New Roman"/>
          <w:color w:val="000000" w:themeColor="text1"/>
          <w:sz w:val="24"/>
          <w:szCs w:val="24"/>
          <w:lang w:val="lt-LT"/>
        </w:rPr>
        <w:t xml:space="preserve"> </w:t>
      </w:r>
    </w:p>
    <w:p w14:paraId="266BCF94" w14:textId="1A0D2FBE" w:rsidR="001A2036" w:rsidRPr="006D3D2D" w:rsidRDefault="00B00ADE" w:rsidP="001A2036">
      <w:pPr>
        <w:pStyle w:val="Body2"/>
        <w:ind w:firstLine="720"/>
        <w:rPr>
          <w:sz w:val="24"/>
          <w:szCs w:val="24"/>
          <w:lang w:val="lt-LT"/>
        </w:rPr>
      </w:pPr>
      <w:r w:rsidRPr="00DB1EB7">
        <w:rPr>
          <w:rFonts w:cs="Times New Roman"/>
          <w:color w:val="000000" w:themeColor="text1"/>
          <w:sz w:val="24"/>
          <w:szCs w:val="24"/>
          <w:lang w:val="lt-LT"/>
        </w:rPr>
        <w:t>6</w:t>
      </w:r>
      <w:r w:rsidR="00E87DAD" w:rsidRPr="00DB1EB7">
        <w:rPr>
          <w:rFonts w:cs="Times New Roman"/>
          <w:color w:val="000000" w:themeColor="text1"/>
          <w:sz w:val="24"/>
          <w:szCs w:val="24"/>
          <w:lang w:val="lt-LT"/>
        </w:rPr>
        <w:t xml:space="preserve">. </w:t>
      </w:r>
      <w:r w:rsidR="00D65203" w:rsidRPr="00DB1EB7">
        <w:rPr>
          <w:rFonts w:cs="Times New Roman"/>
          <w:color w:val="000000" w:themeColor="text1"/>
          <w:sz w:val="24"/>
          <w:szCs w:val="24"/>
          <w:lang w:val="lt-LT"/>
        </w:rPr>
        <w:t>Pirkimas</w:t>
      </w:r>
      <w:r w:rsidR="00A678D6" w:rsidRPr="00DB1EB7">
        <w:rPr>
          <w:rFonts w:cs="Times New Roman"/>
          <w:color w:val="000000" w:themeColor="text1"/>
          <w:sz w:val="24"/>
          <w:szCs w:val="24"/>
          <w:lang w:val="lt-LT"/>
        </w:rPr>
        <w:t xml:space="preserve"> </w:t>
      </w:r>
      <w:r w:rsidR="0055376A" w:rsidRPr="00DB1EB7">
        <w:rPr>
          <w:rFonts w:cs="Times New Roman"/>
          <w:color w:val="000000" w:themeColor="text1"/>
          <w:sz w:val="24"/>
          <w:szCs w:val="24"/>
          <w:lang w:val="lt-LT"/>
        </w:rPr>
        <w:t xml:space="preserve">skaidomas į </w:t>
      </w:r>
      <w:r w:rsidR="0075209E" w:rsidRPr="00DB1EB7">
        <w:rPr>
          <w:rFonts w:cs="Times New Roman"/>
          <w:color w:val="000000" w:themeColor="text1"/>
          <w:sz w:val="24"/>
          <w:szCs w:val="24"/>
          <w:lang w:val="lt-LT"/>
        </w:rPr>
        <w:t xml:space="preserve">atskiras </w:t>
      </w:r>
      <w:r w:rsidR="00A22B40">
        <w:rPr>
          <w:rFonts w:cs="Times New Roman"/>
          <w:color w:val="000000" w:themeColor="text1"/>
          <w:sz w:val="24"/>
          <w:szCs w:val="24"/>
          <w:lang w:val="lt-LT"/>
        </w:rPr>
        <w:t>4</w:t>
      </w:r>
      <w:r w:rsidR="00A678D6" w:rsidRPr="00DB1EB7">
        <w:rPr>
          <w:rFonts w:cs="Times New Roman"/>
          <w:color w:val="000000" w:themeColor="text1"/>
          <w:sz w:val="24"/>
          <w:szCs w:val="24"/>
          <w:lang w:val="lt-LT"/>
        </w:rPr>
        <w:t xml:space="preserve"> </w:t>
      </w:r>
      <w:r w:rsidR="005A2609" w:rsidRPr="00DB1EB7">
        <w:rPr>
          <w:rFonts w:cs="Times New Roman"/>
          <w:color w:val="000000" w:themeColor="text1"/>
          <w:sz w:val="24"/>
          <w:szCs w:val="24"/>
          <w:lang w:val="lt-LT"/>
        </w:rPr>
        <w:t>pirkimo dali</w:t>
      </w:r>
      <w:r w:rsidR="00475AEB" w:rsidRPr="00DB1EB7">
        <w:rPr>
          <w:rFonts w:cs="Times New Roman"/>
          <w:color w:val="000000" w:themeColor="text1"/>
          <w:sz w:val="24"/>
          <w:szCs w:val="24"/>
          <w:lang w:val="lt-LT"/>
        </w:rPr>
        <w:t>s</w:t>
      </w:r>
      <w:r w:rsidR="00187BF7" w:rsidRPr="00DB1EB7">
        <w:rPr>
          <w:rFonts w:cs="Times New Roman"/>
          <w:color w:val="000000" w:themeColor="text1"/>
          <w:sz w:val="24"/>
          <w:szCs w:val="24"/>
          <w:lang w:val="lt-LT"/>
        </w:rPr>
        <w:t>.</w:t>
      </w:r>
      <w:r w:rsidR="001A2036" w:rsidRPr="00DB1EB7">
        <w:rPr>
          <w:rFonts w:cs="Times New Roman"/>
          <w:sz w:val="24"/>
          <w:szCs w:val="24"/>
          <w:lang w:val="pt-BR"/>
        </w:rPr>
        <w:t xml:space="preserve"> </w:t>
      </w:r>
      <w:r w:rsidR="001A2036" w:rsidRPr="00DB1EB7">
        <w:rPr>
          <w:rFonts w:cs="Times New Roman"/>
          <w:sz w:val="24"/>
          <w:szCs w:val="24"/>
          <w:lang w:val="lt-LT"/>
        </w:rPr>
        <w:t>Pasiūlymą galima teikti vienai, kelioms ar</w:t>
      </w:r>
      <w:r w:rsidR="001A2036" w:rsidRPr="008D187E">
        <w:rPr>
          <w:sz w:val="24"/>
          <w:szCs w:val="24"/>
          <w:lang w:val="pt-BR"/>
        </w:rPr>
        <w:t xml:space="preserve"> </w:t>
      </w:r>
      <w:r w:rsidR="001A2036" w:rsidRPr="006D3D2D">
        <w:rPr>
          <w:sz w:val="24"/>
          <w:szCs w:val="24"/>
          <w:lang w:val="lt-LT"/>
        </w:rPr>
        <w:t>visoms pirkimo dalims.</w:t>
      </w:r>
    </w:p>
    <w:p w14:paraId="10D4BAEB" w14:textId="77777777" w:rsidR="00AA2E12" w:rsidRPr="007E49AE" w:rsidRDefault="00AA2E12" w:rsidP="0027559A">
      <w:pPr>
        <w:pStyle w:val="Body2"/>
        <w:ind w:firstLine="720"/>
        <w:rPr>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nurodyti SPS 1 priede „Techninė specifikacija“ ir SPS 2 priede „Viešojo pirkimo – pardavimo sutarties projektas“.</w:t>
      </w:r>
    </w:p>
    <w:p w14:paraId="5D2CFCA5" w14:textId="1A251811" w:rsidR="00116B0B"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8. </w:t>
      </w:r>
      <w:r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278519D2" w14:textId="77777777" w:rsidR="00994E71" w:rsidRPr="0070211E" w:rsidRDefault="00994E71" w:rsidP="00994E71">
      <w:pPr>
        <w:ind w:firstLine="720"/>
        <w:jc w:val="both"/>
        <w:rPr>
          <w:rFonts w:eastAsia="Times New Roman"/>
          <w:color w:val="000000"/>
          <w:lang w:val="lt-LT" w:eastAsia="lt-LT"/>
        </w:rPr>
      </w:pPr>
      <w:r w:rsidRPr="0070211E">
        <w:rPr>
          <w:rFonts w:eastAsia="Times New Roman"/>
          <w:color w:val="000000"/>
          <w:shd w:val="clear" w:color="auto" w:fill="FFFFFF"/>
          <w:lang w:val="lt-LT"/>
        </w:rPr>
        <w:t>14. Siekiant patikrinti konkretaus tiekėjo prekių  atitikimą keliamiems reikalavimams, jų tinkamumą ir saugumą naudoti, teikiant sveikatos priežiūros paslaugas, pirkime gali būti reikalaujama per 7 kalendorines dienas pateikti prekių pavyzdžius, kurių PO pareikalaus pasiūlymų vertinimo metu. Tiekėjo prašymu, pavyzdžių pateikimo terminas galės būti pratęstas vieną kartą ne ilgiau kaip 5 d. d. Nepateikus prekių pavyzdžių, pasiūlymas bus atmetamas. P</w:t>
      </w:r>
      <w:r>
        <w:rPr>
          <w:rFonts w:eastAsia="Times New Roman"/>
          <w:color w:val="000000"/>
          <w:shd w:val="clear" w:color="auto" w:fill="FFFFFF"/>
          <w:lang w:val="lt-LT"/>
        </w:rPr>
        <w:t>O</w:t>
      </w:r>
      <w:r w:rsidRPr="0070211E">
        <w:rPr>
          <w:rFonts w:eastAsia="Times New Roman"/>
          <w:color w:val="000000"/>
          <w:shd w:val="clear" w:color="auto" w:fill="FFFFFF"/>
          <w:lang w:val="lt-LT"/>
        </w:rPr>
        <w:t xml:space="preserve"> turi teisę atmesti tiekėjo pasiūlymą, jeigu tikrindama prekių pavyzdžius nustato, kad tiekėjo siūlomos prekės neatitinka techninės specifikacijos reikalavimų ir/arba kelia riziką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atliekamų procedūrų saugumui. P</w:t>
      </w:r>
      <w:r>
        <w:rPr>
          <w:rFonts w:eastAsia="Times New Roman"/>
          <w:color w:val="000000"/>
          <w:shd w:val="clear" w:color="auto" w:fill="FFFFFF"/>
          <w:lang w:val="lt-LT"/>
        </w:rPr>
        <w:t>O</w:t>
      </w:r>
      <w:r w:rsidRPr="0070211E">
        <w:rPr>
          <w:rFonts w:eastAsia="Times New Roman"/>
          <w:color w:val="000000"/>
          <w:shd w:val="clear" w:color="auto" w:fill="FFFFFF"/>
          <w:lang w:val="lt-LT"/>
        </w:rPr>
        <w:t xml:space="preserve"> yra viena didžiausių ligoninių Lietuvoje, teikianti aukščiausio tretinio lygio specializuotas asmens sveikatos priežiūros paslaugas, kurioje atliekamos itin sudėtingos operacijos/procedūros. Atsižvelgiant į tai,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privalo užtikrinti teikiamų medicinos paslaugų kokybę bei pacientų saugumą, todėl perkamos priemonės privalo atitikti tiek techninės specifikacijos reikalavimus, tiek ir  tokių priemonių notifikuotų įstaigų nustatytus kokybinius reikalavimus, atitinkančius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poreikį (kaip pvz., dėl nekokybiškų priemonių negali būti traumuojami paciento audiniai (t. y. negali būti teikiamos nekokybiškos, nesaugios medicinos paslaugos)).</w:t>
      </w:r>
    </w:p>
    <w:p w14:paraId="195B602A" w14:textId="77777777" w:rsidR="00DD671A"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lastRenderedPageBreak/>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38924E90" w14:textId="77777777" w:rsidR="00B01011" w:rsidRDefault="00973B4D" w:rsidP="00B01011">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Pr="00E94FEB">
        <w:rPr>
          <w:color w:val="000000"/>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w:t>
      </w:r>
      <w:r w:rsidR="008F6CC3">
        <w:rPr>
          <w:lang w:val="lt-LT"/>
        </w:rPr>
        <w:t>PO</w:t>
      </w:r>
      <w:r w:rsidRPr="003B18F6">
        <w:rPr>
          <w:lang w:val="lt-LT"/>
        </w:rPr>
        <w:t xml:space="preserve">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00B01011" w:rsidRPr="00AC2251">
        <w:rPr>
          <w:rFonts w:eastAsia="Times New Roman"/>
          <w:bdr w:val="none" w:sz="0" w:space="0" w:color="auto"/>
          <w:lang w:val="lt-LT"/>
        </w:rPr>
        <w:t xml:space="preserve">Maksimali pasiūlymo (vertinamoji) kaina </w:t>
      </w:r>
      <w:r w:rsidR="00B01011">
        <w:rPr>
          <w:rFonts w:eastAsia="Times New Roman"/>
          <w:bdr w:val="none" w:sz="0" w:space="0" w:color="auto"/>
          <w:lang w:val="lt-LT"/>
        </w:rPr>
        <w:t>kiekvienai pirkimo daliai yra tokia: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955"/>
        <w:gridCol w:w="1414"/>
        <w:gridCol w:w="1553"/>
      </w:tblGrid>
      <w:tr w:rsidR="009456DC" w:rsidRPr="0040663D" w14:paraId="5FA2AECB" w14:textId="0FBAE34A" w:rsidTr="0078115A">
        <w:trPr>
          <w:trHeight w:val="1024"/>
        </w:trPr>
        <w:tc>
          <w:tcPr>
            <w:tcW w:w="925" w:type="dxa"/>
            <w:shd w:val="clear" w:color="000000" w:fill="FFFFFF"/>
            <w:vAlign w:val="center"/>
            <w:hideMark/>
          </w:tcPr>
          <w:p w14:paraId="7BD817CC" w14:textId="77777777" w:rsidR="009456DC" w:rsidRPr="0040663D" w:rsidRDefault="009456DC" w:rsidP="009456D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Pirkimo dalies Nr.</w:t>
            </w:r>
          </w:p>
        </w:tc>
        <w:tc>
          <w:tcPr>
            <w:tcW w:w="6011" w:type="dxa"/>
            <w:shd w:val="clear" w:color="000000" w:fill="FFFFFF"/>
            <w:vAlign w:val="center"/>
            <w:hideMark/>
          </w:tcPr>
          <w:p w14:paraId="2C15E944" w14:textId="53BE34FE" w:rsidR="009456DC" w:rsidRPr="0040663D" w:rsidRDefault="009456DC" w:rsidP="009456D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FAE4E40" w14:textId="3CAA1D5A" w:rsidR="009456DC" w:rsidRPr="0040663D" w:rsidRDefault="009456DC" w:rsidP="009456DC">
            <w:pPr>
              <w:rPr>
                <w:rFonts w:eastAsia="Times New Roman"/>
                <w:bdr w:val="none" w:sz="0" w:space="0" w:color="auto"/>
                <w:lang w:val="lt-LT" w:eastAsia="lt-LT"/>
              </w:rPr>
            </w:pPr>
            <w:r w:rsidRPr="0040663D">
              <w:rPr>
                <w:lang w:val="lt-LT"/>
              </w:rPr>
              <w:t>Kaina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2CFCA1DA" w14:textId="37792790" w:rsidR="009456DC" w:rsidRPr="0040663D" w:rsidRDefault="009456DC" w:rsidP="009456DC">
            <w:pPr>
              <w:rPr>
                <w:rFonts w:eastAsia="Times New Roman"/>
                <w:bdr w:val="none" w:sz="0" w:space="0" w:color="auto"/>
                <w:lang w:val="lt-LT" w:eastAsia="lt-LT"/>
              </w:rPr>
            </w:pPr>
            <w:r w:rsidRPr="0040663D">
              <w:rPr>
                <w:lang w:val="lt-LT"/>
              </w:rPr>
              <w:t>Kaina su PVM, Eur</w:t>
            </w:r>
          </w:p>
        </w:tc>
      </w:tr>
      <w:tr w:rsidR="00971B56" w:rsidRPr="0040663D" w14:paraId="60151F5C" w14:textId="77746245" w:rsidTr="00971B56">
        <w:trPr>
          <w:trHeight w:val="276"/>
        </w:trPr>
        <w:tc>
          <w:tcPr>
            <w:tcW w:w="925" w:type="dxa"/>
            <w:shd w:val="clear" w:color="auto" w:fill="auto"/>
            <w:vAlign w:val="center"/>
            <w:hideMark/>
          </w:tcPr>
          <w:p w14:paraId="7F187A75" w14:textId="77777777" w:rsidR="00D25CA3" w:rsidRPr="0040663D"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1</w:t>
            </w:r>
          </w:p>
        </w:tc>
        <w:tc>
          <w:tcPr>
            <w:tcW w:w="6011" w:type="dxa"/>
            <w:shd w:val="clear" w:color="auto" w:fill="auto"/>
            <w:vAlign w:val="center"/>
            <w:hideMark/>
          </w:tcPr>
          <w:p w14:paraId="691EDD1A" w14:textId="23BF8329" w:rsidR="00D25CA3" w:rsidRPr="0040663D" w:rsidRDefault="00FA073F"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0663D">
              <w:rPr>
                <w:rFonts w:eastAsia="Times New Roman"/>
                <w:bdr w:val="none" w:sz="0" w:space="0" w:color="auto"/>
                <w:lang w:val="lt-LT" w:eastAsia="lt-LT"/>
              </w:rPr>
              <w:t>Pagalbinės priemonės greitiesiems molekuliniams testams</w:t>
            </w:r>
          </w:p>
        </w:tc>
        <w:tc>
          <w:tcPr>
            <w:tcW w:w="1418" w:type="dxa"/>
            <w:vAlign w:val="center"/>
          </w:tcPr>
          <w:p w14:paraId="46EAFB16" w14:textId="45B0CCAC" w:rsidR="00FA073F" w:rsidRPr="0040663D" w:rsidRDefault="00FA073F" w:rsidP="00832987">
            <w:pPr>
              <w:rPr>
                <w:rFonts w:eastAsia="Times New Roman"/>
                <w:bdr w:val="none" w:sz="0" w:space="0" w:color="auto"/>
                <w:lang w:val="lt-LT" w:eastAsia="lt-LT"/>
              </w:rPr>
            </w:pPr>
            <w:r w:rsidRPr="0040663D">
              <w:rPr>
                <w:rFonts w:eastAsia="Times New Roman"/>
                <w:bdr w:val="none" w:sz="0" w:space="0" w:color="auto"/>
                <w:lang w:val="lt-LT" w:eastAsia="lt-LT"/>
              </w:rPr>
              <w:t>2250,00</w:t>
            </w:r>
          </w:p>
        </w:tc>
        <w:tc>
          <w:tcPr>
            <w:tcW w:w="1559" w:type="dxa"/>
            <w:vAlign w:val="center"/>
          </w:tcPr>
          <w:p w14:paraId="3FAF44F2" w14:textId="1FE6828F" w:rsidR="00D25CA3" w:rsidRPr="0040663D" w:rsidRDefault="00832987" w:rsidP="00D25CA3">
            <w:pPr>
              <w:rPr>
                <w:rFonts w:eastAsia="Times New Roman"/>
                <w:bdr w:val="none" w:sz="0" w:space="0" w:color="auto"/>
                <w:lang w:val="lt-LT" w:eastAsia="lt-LT"/>
              </w:rPr>
            </w:pPr>
            <w:r w:rsidRPr="0040663D">
              <w:rPr>
                <w:rFonts w:eastAsia="Times New Roman"/>
                <w:bdr w:val="none" w:sz="0" w:space="0" w:color="auto"/>
                <w:lang w:val="lt-LT" w:eastAsia="lt-LT"/>
              </w:rPr>
              <w:t>2362,50</w:t>
            </w:r>
          </w:p>
        </w:tc>
      </w:tr>
      <w:tr w:rsidR="00971B56" w:rsidRPr="0040663D" w14:paraId="5D0AEB7A" w14:textId="3B3CE0C6" w:rsidTr="00971B56">
        <w:trPr>
          <w:trHeight w:val="273"/>
        </w:trPr>
        <w:tc>
          <w:tcPr>
            <w:tcW w:w="925" w:type="dxa"/>
            <w:shd w:val="clear" w:color="auto" w:fill="auto"/>
            <w:vAlign w:val="center"/>
            <w:hideMark/>
          </w:tcPr>
          <w:p w14:paraId="2561025C" w14:textId="77777777" w:rsidR="00D25CA3" w:rsidRPr="0040663D"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2</w:t>
            </w:r>
          </w:p>
        </w:tc>
        <w:tc>
          <w:tcPr>
            <w:tcW w:w="6011" w:type="dxa"/>
            <w:shd w:val="clear" w:color="auto" w:fill="auto"/>
            <w:vAlign w:val="center"/>
            <w:hideMark/>
          </w:tcPr>
          <w:p w14:paraId="15A45984" w14:textId="18B83A1F" w:rsidR="00D25CA3" w:rsidRPr="0040663D" w:rsidRDefault="00832987"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0663D">
              <w:rPr>
                <w:rFonts w:eastAsia="Times New Roman"/>
                <w:bdr w:val="none" w:sz="0" w:space="0" w:color="auto"/>
                <w:lang w:val="lt-LT" w:eastAsia="lt-LT"/>
              </w:rPr>
              <w:t>Reagentai ir pagalbinės  priemonės žarnyno parazitams  išmatose aptikti</w:t>
            </w:r>
          </w:p>
        </w:tc>
        <w:tc>
          <w:tcPr>
            <w:tcW w:w="1418" w:type="dxa"/>
            <w:vAlign w:val="center"/>
          </w:tcPr>
          <w:p w14:paraId="2987E95E" w14:textId="44E59B68" w:rsidR="00D25CA3" w:rsidRPr="0040663D" w:rsidRDefault="00832987" w:rsidP="00D25CA3">
            <w:pPr>
              <w:rPr>
                <w:rFonts w:eastAsia="Times New Roman"/>
                <w:bdr w:val="none" w:sz="0" w:space="0" w:color="auto"/>
                <w:lang w:val="lt-LT" w:eastAsia="lt-LT"/>
              </w:rPr>
            </w:pPr>
            <w:r w:rsidRPr="0040663D">
              <w:rPr>
                <w:rFonts w:eastAsia="Times New Roman"/>
                <w:bdr w:val="none" w:sz="0" w:space="0" w:color="auto"/>
                <w:lang w:val="lt-LT" w:eastAsia="lt-LT"/>
              </w:rPr>
              <w:t>21</w:t>
            </w:r>
            <w:r w:rsidR="00056119" w:rsidRPr="0040663D">
              <w:rPr>
                <w:rFonts w:eastAsia="Times New Roman"/>
                <w:bdr w:val="none" w:sz="0" w:space="0" w:color="auto"/>
                <w:lang w:val="lt-LT" w:eastAsia="lt-LT"/>
              </w:rPr>
              <w:t>670,00</w:t>
            </w:r>
          </w:p>
        </w:tc>
        <w:tc>
          <w:tcPr>
            <w:tcW w:w="1559" w:type="dxa"/>
            <w:vAlign w:val="center"/>
          </w:tcPr>
          <w:p w14:paraId="5E108207" w14:textId="7EFA103D" w:rsidR="00D25CA3" w:rsidRPr="0040663D" w:rsidRDefault="00056119" w:rsidP="00D25CA3">
            <w:pPr>
              <w:rPr>
                <w:rFonts w:eastAsia="Times New Roman"/>
                <w:bdr w:val="none" w:sz="0" w:space="0" w:color="auto"/>
                <w:lang w:val="lt-LT" w:eastAsia="lt-LT"/>
              </w:rPr>
            </w:pPr>
            <w:r w:rsidRPr="0040663D">
              <w:rPr>
                <w:rFonts w:eastAsia="Times New Roman"/>
                <w:bdr w:val="none" w:sz="0" w:space="0" w:color="auto"/>
                <w:lang w:val="lt-LT" w:eastAsia="lt-LT"/>
              </w:rPr>
              <w:t>22753,50</w:t>
            </w:r>
          </w:p>
        </w:tc>
      </w:tr>
      <w:tr w:rsidR="00971B56" w:rsidRPr="0040663D" w14:paraId="338056F3" w14:textId="0701893F" w:rsidTr="00971B56">
        <w:trPr>
          <w:trHeight w:val="276"/>
        </w:trPr>
        <w:tc>
          <w:tcPr>
            <w:tcW w:w="925" w:type="dxa"/>
            <w:shd w:val="clear" w:color="auto" w:fill="auto"/>
            <w:vAlign w:val="center"/>
            <w:hideMark/>
          </w:tcPr>
          <w:p w14:paraId="06F88EF3" w14:textId="77777777" w:rsidR="00D25CA3" w:rsidRPr="0040663D"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3</w:t>
            </w:r>
          </w:p>
        </w:tc>
        <w:tc>
          <w:tcPr>
            <w:tcW w:w="6011" w:type="dxa"/>
            <w:shd w:val="clear" w:color="auto" w:fill="auto"/>
            <w:vAlign w:val="center"/>
            <w:hideMark/>
          </w:tcPr>
          <w:p w14:paraId="0890BBC6" w14:textId="194AB673" w:rsidR="00D25CA3" w:rsidRPr="0040663D" w:rsidRDefault="00056119"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0663D">
              <w:rPr>
                <w:rFonts w:eastAsia="Times New Roman"/>
                <w:bdr w:val="none" w:sz="0" w:space="0" w:color="auto"/>
                <w:lang w:val="lt-LT" w:eastAsia="lt-LT"/>
              </w:rPr>
              <w:t>Reagentai ir papildomos priemonės tinkamos naudojimui su "</w:t>
            </w:r>
            <w:proofErr w:type="spellStart"/>
            <w:r w:rsidRPr="0040663D">
              <w:rPr>
                <w:rFonts w:eastAsia="Times New Roman"/>
                <w:bdr w:val="none" w:sz="0" w:space="0" w:color="auto"/>
                <w:lang w:val="lt-LT" w:eastAsia="lt-LT"/>
              </w:rPr>
              <w:t>Aerospray</w:t>
            </w:r>
            <w:proofErr w:type="spellEnd"/>
            <w:r w:rsidRPr="0040663D">
              <w:rPr>
                <w:rFonts w:eastAsia="Times New Roman"/>
                <w:bdr w:val="none" w:sz="0" w:space="0" w:color="auto"/>
                <w:lang w:val="lt-LT" w:eastAsia="lt-LT"/>
              </w:rPr>
              <w:t xml:space="preserve"> </w:t>
            </w:r>
            <w:proofErr w:type="spellStart"/>
            <w:r w:rsidRPr="0040663D">
              <w:rPr>
                <w:rFonts w:eastAsia="Times New Roman"/>
                <w:bdr w:val="none" w:sz="0" w:space="0" w:color="auto"/>
                <w:lang w:val="lt-LT" w:eastAsia="lt-LT"/>
              </w:rPr>
              <w:t>Hematology</w:t>
            </w:r>
            <w:proofErr w:type="spellEnd"/>
            <w:r w:rsidRPr="0040663D">
              <w:rPr>
                <w:rFonts w:eastAsia="Times New Roman"/>
                <w:bdr w:val="none" w:sz="0" w:space="0" w:color="auto"/>
                <w:lang w:val="lt-LT" w:eastAsia="lt-LT"/>
              </w:rPr>
              <w:t>" tepinėlių dažymo sistema</w:t>
            </w:r>
          </w:p>
        </w:tc>
        <w:tc>
          <w:tcPr>
            <w:tcW w:w="1418" w:type="dxa"/>
            <w:vAlign w:val="center"/>
          </w:tcPr>
          <w:p w14:paraId="60FAE3E4" w14:textId="01771917" w:rsidR="00D25CA3" w:rsidRPr="0040663D" w:rsidRDefault="00573E00" w:rsidP="00D25CA3">
            <w:pPr>
              <w:rPr>
                <w:rFonts w:eastAsia="Times New Roman"/>
                <w:bdr w:val="none" w:sz="0" w:space="0" w:color="auto"/>
                <w:lang w:val="lt-LT" w:eastAsia="lt-LT"/>
              </w:rPr>
            </w:pPr>
            <w:r w:rsidRPr="0040663D">
              <w:rPr>
                <w:rFonts w:eastAsia="Times New Roman"/>
                <w:bdr w:val="none" w:sz="0" w:space="0" w:color="auto"/>
                <w:lang w:val="lt-LT" w:eastAsia="lt-LT"/>
              </w:rPr>
              <w:t>6024,00</w:t>
            </w:r>
          </w:p>
        </w:tc>
        <w:tc>
          <w:tcPr>
            <w:tcW w:w="1559" w:type="dxa"/>
            <w:vAlign w:val="center"/>
          </w:tcPr>
          <w:p w14:paraId="14058FE7" w14:textId="677FAC5E" w:rsidR="00D25CA3" w:rsidRPr="0040663D" w:rsidRDefault="00573E00" w:rsidP="00D25CA3">
            <w:pPr>
              <w:rPr>
                <w:rFonts w:eastAsia="Times New Roman"/>
                <w:bdr w:val="none" w:sz="0" w:space="0" w:color="auto"/>
                <w:lang w:val="lt-LT" w:eastAsia="lt-LT"/>
              </w:rPr>
            </w:pPr>
            <w:r w:rsidRPr="0040663D">
              <w:rPr>
                <w:rFonts w:eastAsia="Times New Roman"/>
                <w:bdr w:val="none" w:sz="0" w:space="0" w:color="auto"/>
                <w:lang w:val="lt-LT" w:eastAsia="lt-LT"/>
              </w:rPr>
              <w:t>6325,20</w:t>
            </w:r>
          </w:p>
        </w:tc>
      </w:tr>
      <w:tr w:rsidR="00971B56" w:rsidRPr="0040663D" w14:paraId="0CA3BAC0" w14:textId="6F53D4AF" w:rsidTr="00971B56">
        <w:trPr>
          <w:trHeight w:val="276"/>
        </w:trPr>
        <w:tc>
          <w:tcPr>
            <w:tcW w:w="925" w:type="dxa"/>
            <w:shd w:val="clear" w:color="auto" w:fill="auto"/>
            <w:vAlign w:val="center"/>
            <w:hideMark/>
          </w:tcPr>
          <w:p w14:paraId="5D946EB5" w14:textId="77777777" w:rsidR="00D25CA3" w:rsidRPr="0040663D"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0663D">
              <w:rPr>
                <w:rFonts w:eastAsia="Times New Roman"/>
                <w:bdr w:val="none" w:sz="0" w:space="0" w:color="auto"/>
                <w:lang w:val="lt-LT" w:eastAsia="lt-LT"/>
              </w:rPr>
              <w:t>4</w:t>
            </w:r>
          </w:p>
        </w:tc>
        <w:tc>
          <w:tcPr>
            <w:tcW w:w="6011" w:type="dxa"/>
            <w:shd w:val="clear" w:color="auto" w:fill="auto"/>
            <w:hideMark/>
          </w:tcPr>
          <w:p w14:paraId="22680C11" w14:textId="7016E815" w:rsidR="00D25CA3" w:rsidRPr="0040663D" w:rsidRDefault="00573E00"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0663D">
              <w:rPr>
                <w:rFonts w:eastAsia="Times New Roman"/>
                <w:bdr w:val="none" w:sz="0" w:space="0" w:color="auto"/>
                <w:lang w:val="lt-LT" w:eastAsia="lt-LT"/>
              </w:rPr>
              <w:t>Vienkartinės plokštelės kraujo grupių nustatymui</w:t>
            </w:r>
          </w:p>
        </w:tc>
        <w:tc>
          <w:tcPr>
            <w:tcW w:w="1418" w:type="dxa"/>
            <w:vAlign w:val="center"/>
          </w:tcPr>
          <w:p w14:paraId="7E1337EE" w14:textId="417B21ED" w:rsidR="00D25CA3" w:rsidRPr="0040663D" w:rsidRDefault="00573E00" w:rsidP="00D25CA3">
            <w:pPr>
              <w:rPr>
                <w:rFonts w:eastAsia="Times New Roman"/>
                <w:bdr w:val="none" w:sz="0" w:space="0" w:color="auto"/>
                <w:lang w:val="lt-LT" w:eastAsia="lt-LT"/>
              </w:rPr>
            </w:pPr>
            <w:r w:rsidRPr="0040663D">
              <w:rPr>
                <w:rFonts w:eastAsia="Times New Roman"/>
                <w:bdr w:val="none" w:sz="0" w:space="0" w:color="auto"/>
                <w:lang w:val="lt-LT" w:eastAsia="lt-LT"/>
              </w:rPr>
              <w:t>3960,00</w:t>
            </w:r>
          </w:p>
        </w:tc>
        <w:tc>
          <w:tcPr>
            <w:tcW w:w="1559" w:type="dxa"/>
            <w:vAlign w:val="center"/>
          </w:tcPr>
          <w:p w14:paraId="42559721" w14:textId="4ED60E41" w:rsidR="00D25CA3" w:rsidRPr="0040663D" w:rsidRDefault="0040663D" w:rsidP="00D25CA3">
            <w:pPr>
              <w:rPr>
                <w:rFonts w:eastAsia="Times New Roman"/>
                <w:bdr w:val="none" w:sz="0" w:space="0" w:color="auto"/>
                <w:lang w:val="lt-LT" w:eastAsia="lt-LT"/>
              </w:rPr>
            </w:pPr>
            <w:r w:rsidRPr="0040663D">
              <w:rPr>
                <w:rFonts w:eastAsia="Times New Roman"/>
                <w:bdr w:val="none" w:sz="0" w:space="0" w:color="auto"/>
                <w:lang w:val="lt-LT" w:eastAsia="lt-LT"/>
              </w:rPr>
              <w:t>4158,00</w:t>
            </w:r>
          </w:p>
        </w:tc>
      </w:tr>
    </w:tbl>
    <w:p w14:paraId="6420E38C" w14:textId="71E24BD6" w:rsidR="00156C23" w:rsidRPr="007E49AE" w:rsidRDefault="00156C23" w:rsidP="00156C23">
      <w:pPr>
        <w:pStyle w:val="Body2"/>
        <w:ind w:firstLine="720"/>
        <w:rPr>
          <w:i/>
          <w:color w:val="000000" w:themeColor="text1"/>
          <w:sz w:val="24"/>
          <w:szCs w:val="24"/>
          <w:lang w:val="lt-LT"/>
        </w:rPr>
      </w:pPr>
      <w:r w:rsidRPr="007E49AE">
        <w:rPr>
          <w:b/>
          <w:i/>
          <w:color w:val="000000" w:themeColor="text1"/>
          <w:sz w:val="24"/>
          <w:szCs w:val="24"/>
          <w:lang w:val="lt-LT"/>
        </w:rPr>
        <w:t>Pastaba.</w:t>
      </w:r>
      <w:r w:rsidRPr="007E49AE">
        <w:rPr>
          <w:i/>
          <w:color w:val="000000" w:themeColor="text1"/>
          <w:sz w:val="24"/>
          <w:szCs w:val="24"/>
          <w:lang w:val="lt-LT"/>
        </w:rPr>
        <w:t xml:space="preserve"> vadovaujantis Pridėtinės vertės mokesčio  įstatymo 19 str. 4 d. nuostatomis, </w:t>
      </w:r>
      <w:r w:rsidR="008C4EF9">
        <w:rPr>
          <w:i/>
          <w:color w:val="000000" w:themeColor="text1"/>
          <w:sz w:val="24"/>
          <w:szCs w:val="24"/>
          <w:lang w:val="lt-LT"/>
        </w:rPr>
        <w:t xml:space="preserve">PO </w:t>
      </w:r>
      <w:r w:rsidR="001405C7">
        <w:rPr>
          <w:i/>
          <w:color w:val="000000" w:themeColor="text1"/>
          <w:sz w:val="24"/>
          <w:szCs w:val="24"/>
          <w:u w:val="single"/>
          <w:lang w:val="lt-LT"/>
        </w:rPr>
        <w:t xml:space="preserve">kaina </w:t>
      </w:r>
      <w:r w:rsidRPr="007E49AE">
        <w:rPr>
          <w:i/>
          <w:color w:val="000000" w:themeColor="text1"/>
          <w:sz w:val="24"/>
          <w:szCs w:val="24"/>
          <w:u w:val="single"/>
          <w:lang w:val="lt-LT"/>
        </w:rPr>
        <w:t xml:space="preserve">suplanuota taikant 5% PVM tarifą. </w:t>
      </w:r>
      <w:r w:rsidRPr="007E49AE">
        <w:rPr>
          <w:i/>
          <w:color w:val="000000" w:themeColor="text1"/>
          <w:sz w:val="24"/>
          <w:szCs w:val="24"/>
          <w:lang w:val="lt-LT"/>
        </w:rPr>
        <w:t>Tais atvejais, kai tiekėjas teikia pasiūlymą ir taiko kitokį nei PO suplanuotas PVM tarifas, tiekėjas kartu su pasiūlymu pateikia laisvos formos dokumentą, kuriame nurodo priežastis, dėl kurių taikomas jo pasirinktas PVM tarifas.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DD671A">
      <w:pPr>
        <w:pStyle w:val="NormalWeb"/>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20FCFFCC" w14:textId="3693B0A2" w:rsidR="00BD3B68" w:rsidRPr="00627225" w:rsidRDefault="00C429A4" w:rsidP="00BD3B68">
      <w:pPr>
        <w:pStyle w:val="NormalWeb"/>
        <w:spacing w:before="0" w:beforeAutospacing="0" w:after="40" w:afterAutospacing="0"/>
        <w:jc w:val="both"/>
        <w:rPr>
          <w:color w:val="000000"/>
        </w:rPr>
      </w:pPr>
      <w:r w:rsidRPr="007E49AE">
        <w:rPr>
          <w:color w:val="000000"/>
        </w:rPr>
        <w:tab/>
      </w:r>
      <w:r w:rsidR="00C37F03">
        <w:rPr>
          <w:color w:val="000000"/>
        </w:rPr>
        <w:t>21</w:t>
      </w:r>
      <w:r w:rsidR="00BD3B68" w:rsidRPr="00627225">
        <w:rPr>
          <w:color w:val="000000"/>
        </w:rPr>
        <w:t>. Šiame pirkime taikomi aplinkos apsaugos kriterijai (žaliųjų pirkimų reikalavimai). Aplinkos apsaugos kriterijai nustatyti pagal Lietuvos Respublikos aplinkos ministro  Lietuvos Respublikos aplinkos ministro 2011 m. birželio 28 d. įsakymu Nr. D1-508 (</w:t>
      </w:r>
      <w:r w:rsidR="00BD3B68" w:rsidRPr="00BD3B68">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00BD3B68" w:rsidRPr="00BD3B68">
        <w:t xml:space="preserve"> </w:t>
      </w:r>
      <w:hyperlink r:id="rId9" w:history="1">
        <w:r w:rsidR="00BD3B68" w:rsidRPr="00BD3B68">
          <w:rPr>
            <w:rStyle w:val="Hyperlink"/>
            <w:rFonts w:eastAsiaTheme="majorEastAsia"/>
          </w:rPr>
          <w:t>https://e-seimas.lrs.lt/portal/legalAct/lt/TAD/TAIS.403512/asr</w:t>
        </w:r>
      </w:hyperlink>
      <w:r w:rsidR="00BD3B68" w:rsidRPr="00BD3B68">
        <w:rPr>
          <w:rStyle w:val="cf01"/>
          <w:rFonts w:ascii="Times New Roman" w:hAnsi="Times New Roman" w:cs="Times New Roman"/>
        </w:rPr>
        <w:t xml:space="preserve"> </w:t>
      </w:r>
      <w:r w:rsidR="00BD3B68" w:rsidRPr="00627225">
        <w:rPr>
          <w:color w:val="000000"/>
        </w:rPr>
        <w:t>4.4.4. papunktį. Aplinkos apsaugos kriterijai nustatyti pirkimo sąlygų viešojo pirkimo – pardavimo sutarties projekte kaip tiekėjo įsipareigojimas.</w:t>
      </w:r>
    </w:p>
    <w:p w14:paraId="56FD88C8" w14:textId="74A5737D" w:rsidR="00BD3B68" w:rsidRPr="00FD6A1F" w:rsidRDefault="00BD3B68" w:rsidP="00BD3B68">
      <w:pPr>
        <w:tabs>
          <w:tab w:val="left" w:pos="709"/>
          <w:tab w:val="left" w:pos="1418"/>
        </w:tabs>
        <w:contextualSpacing/>
        <w:jc w:val="both"/>
        <w:rPr>
          <w:color w:val="000000"/>
          <w:lang w:val="lt-LT"/>
        </w:rPr>
      </w:pPr>
      <w:r w:rsidRPr="00FD6A1F">
        <w:rPr>
          <w:color w:val="000000"/>
          <w:shd w:val="clear" w:color="auto" w:fill="FFFFFF"/>
          <w:lang w:val="lt-LT"/>
        </w:rPr>
        <w:tab/>
        <w:t>2</w:t>
      </w:r>
      <w:r w:rsidR="00C37F03">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4A65885F" w14:textId="77777777" w:rsidR="00BD3B68" w:rsidRPr="00A229BB" w:rsidRDefault="00BD3B68" w:rsidP="00BD3B68">
      <w:pPr>
        <w:pStyle w:val="NormalWeb"/>
        <w:spacing w:before="0" w:beforeAutospacing="0" w:after="40" w:afterAutospacing="0"/>
        <w:ind w:firstLine="720"/>
        <w:jc w:val="both"/>
      </w:pPr>
      <w:r w:rsidRPr="00A229BB">
        <w:rPr>
          <w:color w:val="000000"/>
        </w:rPr>
        <w:t>SPS priedai:</w:t>
      </w:r>
    </w:p>
    <w:p w14:paraId="342D93A2" w14:textId="77777777" w:rsidR="00BD3B68" w:rsidRPr="00A229BB" w:rsidRDefault="00BD3B68" w:rsidP="00BD3B68">
      <w:pPr>
        <w:pStyle w:val="NormalWeb"/>
        <w:spacing w:before="0" w:beforeAutospacing="0" w:after="40" w:afterAutospacing="0"/>
        <w:ind w:firstLine="720"/>
        <w:jc w:val="both"/>
      </w:pPr>
      <w:r w:rsidRPr="00A229BB">
        <w:rPr>
          <w:color w:val="000000"/>
        </w:rPr>
        <w:t>1.</w:t>
      </w:r>
      <w:r>
        <w:rPr>
          <w:color w:val="000000"/>
        </w:rPr>
        <w:t xml:space="preserve"> T</w:t>
      </w:r>
      <w:r w:rsidRPr="00A229BB">
        <w:rPr>
          <w:color w:val="000000"/>
        </w:rPr>
        <w:t xml:space="preserve">echninė specifikacija. </w:t>
      </w:r>
    </w:p>
    <w:p w14:paraId="53856FA3" w14:textId="77777777" w:rsidR="00BD3B68" w:rsidRPr="00D33B5F" w:rsidRDefault="00BD3B68" w:rsidP="00BD3B68">
      <w:pPr>
        <w:pStyle w:val="NormalWeb"/>
        <w:spacing w:before="0" w:beforeAutospacing="0" w:after="40" w:afterAutospacing="0"/>
        <w:ind w:firstLine="720"/>
        <w:jc w:val="both"/>
      </w:pPr>
      <w:r w:rsidRPr="00D33B5F">
        <w:rPr>
          <w:color w:val="000000"/>
        </w:rPr>
        <w:t xml:space="preserve">2. </w:t>
      </w:r>
      <w:r>
        <w:rPr>
          <w:color w:val="000000"/>
        </w:rPr>
        <w:t>Viešojo</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118AC7D" w14:textId="77777777" w:rsidR="00BD3B68" w:rsidRPr="00A229BB" w:rsidRDefault="00BD3B68" w:rsidP="00BD3B68">
      <w:pPr>
        <w:pStyle w:val="NormalWeb"/>
        <w:spacing w:before="0" w:beforeAutospacing="0" w:after="40" w:afterAutospacing="0"/>
        <w:ind w:firstLine="720"/>
        <w:jc w:val="both"/>
      </w:pPr>
      <w:r w:rsidRPr="00A229BB">
        <w:rPr>
          <w:color w:val="000000"/>
        </w:rPr>
        <w:t>3.</w:t>
      </w:r>
      <w:r>
        <w:rPr>
          <w:color w:val="000000"/>
        </w:rPr>
        <w:t xml:space="preserve"> </w:t>
      </w:r>
      <w:r w:rsidRPr="00A229BB">
        <w:rPr>
          <w:color w:val="000000"/>
        </w:rPr>
        <w:t>EBVPD failas/šablonas.</w:t>
      </w:r>
    </w:p>
    <w:p w14:paraId="6A9DFCF1" w14:textId="77777777" w:rsidR="00BD3B68" w:rsidRDefault="00BD3B68" w:rsidP="00BD3B68">
      <w:pPr>
        <w:pStyle w:val="NormalWeb"/>
        <w:spacing w:before="0" w:beforeAutospacing="0" w:after="40" w:afterAutospacing="0"/>
        <w:ind w:firstLine="720"/>
        <w:jc w:val="both"/>
        <w:rPr>
          <w:color w:val="000000"/>
        </w:rPr>
      </w:pPr>
      <w:r w:rsidRPr="00A229BB">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301F" w14:textId="77777777" w:rsidR="006B03C4" w:rsidRDefault="006B03C4">
      <w:r>
        <w:separator/>
      </w:r>
    </w:p>
  </w:endnote>
  <w:endnote w:type="continuationSeparator" w:id="0">
    <w:p w14:paraId="6928278B" w14:textId="77777777" w:rsidR="006B03C4" w:rsidRDefault="006B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E04C" w14:textId="77777777" w:rsidR="006B03C4" w:rsidRDefault="006B03C4">
      <w:r>
        <w:separator/>
      </w:r>
    </w:p>
  </w:footnote>
  <w:footnote w:type="continuationSeparator" w:id="0">
    <w:p w14:paraId="6D9F8975" w14:textId="77777777" w:rsidR="006B03C4" w:rsidRDefault="006B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5453"/>
    <w:rsid w:val="00056119"/>
    <w:rsid w:val="00080014"/>
    <w:rsid w:val="0008148D"/>
    <w:rsid w:val="000958EE"/>
    <w:rsid w:val="000C085F"/>
    <w:rsid w:val="000D0227"/>
    <w:rsid w:val="000E028C"/>
    <w:rsid w:val="000E0D87"/>
    <w:rsid w:val="000E2526"/>
    <w:rsid w:val="000E3752"/>
    <w:rsid w:val="000E4515"/>
    <w:rsid w:val="000F0BAD"/>
    <w:rsid w:val="000F6DC7"/>
    <w:rsid w:val="000F7EA2"/>
    <w:rsid w:val="001017CE"/>
    <w:rsid w:val="00112F1A"/>
    <w:rsid w:val="00116B0B"/>
    <w:rsid w:val="00127DF1"/>
    <w:rsid w:val="00131C18"/>
    <w:rsid w:val="00133E2B"/>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74BA"/>
    <w:rsid w:val="001C795D"/>
    <w:rsid w:val="001D54F8"/>
    <w:rsid w:val="001D7A16"/>
    <w:rsid w:val="001E0538"/>
    <w:rsid w:val="001E44BB"/>
    <w:rsid w:val="001F5A47"/>
    <w:rsid w:val="0020073A"/>
    <w:rsid w:val="00214BEF"/>
    <w:rsid w:val="00220E1E"/>
    <w:rsid w:val="0022150C"/>
    <w:rsid w:val="00256216"/>
    <w:rsid w:val="002617E9"/>
    <w:rsid w:val="002713AB"/>
    <w:rsid w:val="0027244C"/>
    <w:rsid w:val="00272888"/>
    <w:rsid w:val="0027559A"/>
    <w:rsid w:val="00287403"/>
    <w:rsid w:val="002A03B5"/>
    <w:rsid w:val="002A7CF2"/>
    <w:rsid w:val="002B07D0"/>
    <w:rsid w:val="002B4C14"/>
    <w:rsid w:val="002B7BE9"/>
    <w:rsid w:val="002C4556"/>
    <w:rsid w:val="002D0B86"/>
    <w:rsid w:val="002D0FA2"/>
    <w:rsid w:val="002D5179"/>
    <w:rsid w:val="002E4ACB"/>
    <w:rsid w:val="002F107B"/>
    <w:rsid w:val="00314035"/>
    <w:rsid w:val="00331E8A"/>
    <w:rsid w:val="00335B15"/>
    <w:rsid w:val="00351DB8"/>
    <w:rsid w:val="00353EBE"/>
    <w:rsid w:val="00357350"/>
    <w:rsid w:val="003672B1"/>
    <w:rsid w:val="0037386C"/>
    <w:rsid w:val="003761E5"/>
    <w:rsid w:val="00377BDB"/>
    <w:rsid w:val="00382B06"/>
    <w:rsid w:val="00384B55"/>
    <w:rsid w:val="00390579"/>
    <w:rsid w:val="003C7703"/>
    <w:rsid w:val="003E4E2D"/>
    <w:rsid w:val="003E5822"/>
    <w:rsid w:val="003F1878"/>
    <w:rsid w:val="003F7207"/>
    <w:rsid w:val="0040663D"/>
    <w:rsid w:val="0040759E"/>
    <w:rsid w:val="00412C92"/>
    <w:rsid w:val="00417E46"/>
    <w:rsid w:val="004208D8"/>
    <w:rsid w:val="004245A8"/>
    <w:rsid w:val="004405B8"/>
    <w:rsid w:val="00446FA4"/>
    <w:rsid w:val="0045220C"/>
    <w:rsid w:val="00453693"/>
    <w:rsid w:val="00466648"/>
    <w:rsid w:val="00467A31"/>
    <w:rsid w:val="0047219E"/>
    <w:rsid w:val="00475AEB"/>
    <w:rsid w:val="0048623D"/>
    <w:rsid w:val="004B7C0A"/>
    <w:rsid w:val="004D2AE6"/>
    <w:rsid w:val="004D35E3"/>
    <w:rsid w:val="004E4A85"/>
    <w:rsid w:val="004F0EB7"/>
    <w:rsid w:val="004F4283"/>
    <w:rsid w:val="004F5045"/>
    <w:rsid w:val="004F5638"/>
    <w:rsid w:val="004F5AF3"/>
    <w:rsid w:val="0050068E"/>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A2609"/>
    <w:rsid w:val="005A5407"/>
    <w:rsid w:val="005B1B4D"/>
    <w:rsid w:val="005B1EC4"/>
    <w:rsid w:val="005C583C"/>
    <w:rsid w:val="005F1D03"/>
    <w:rsid w:val="00601B14"/>
    <w:rsid w:val="006108E2"/>
    <w:rsid w:val="006124AA"/>
    <w:rsid w:val="006164EC"/>
    <w:rsid w:val="00621098"/>
    <w:rsid w:val="00627213"/>
    <w:rsid w:val="006301B2"/>
    <w:rsid w:val="00632F9A"/>
    <w:rsid w:val="006538A5"/>
    <w:rsid w:val="00661473"/>
    <w:rsid w:val="006631D2"/>
    <w:rsid w:val="00667602"/>
    <w:rsid w:val="00667801"/>
    <w:rsid w:val="006769C0"/>
    <w:rsid w:val="00677A72"/>
    <w:rsid w:val="00681E55"/>
    <w:rsid w:val="006B03C4"/>
    <w:rsid w:val="006B648A"/>
    <w:rsid w:val="006B7707"/>
    <w:rsid w:val="006C06A7"/>
    <w:rsid w:val="006D18B0"/>
    <w:rsid w:val="006D4DF7"/>
    <w:rsid w:val="006D6A2E"/>
    <w:rsid w:val="006E4D01"/>
    <w:rsid w:val="006F122D"/>
    <w:rsid w:val="006F7E9C"/>
    <w:rsid w:val="007074B0"/>
    <w:rsid w:val="00713BDD"/>
    <w:rsid w:val="007236BF"/>
    <w:rsid w:val="0072416C"/>
    <w:rsid w:val="0075209E"/>
    <w:rsid w:val="00753A55"/>
    <w:rsid w:val="007605AB"/>
    <w:rsid w:val="007708E5"/>
    <w:rsid w:val="007756DF"/>
    <w:rsid w:val="00776ADC"/>
    <w:rsid w:val="00786CE7"/>
    <w:rsid w:val="007926DD"/>
    <w:rsid w:val="007D0829"/>
    <w:rsid w:val="007D2299"/>
    <w:rsid w:val="007D4B46"/>
    <w:rsid w:val="007D700D"/>
    <w:rsid w:val="007E49AE"/>
    <w:rsid w:val="008167AE"/>
    <w:rsid w:val="0082227C"/>
    <w:rsid w:val="00832987"/>
    <w:rsid w:val="008358AA"/>
    <w:rsid w:val="00851EA1"/>
    <w:rsid w:val="0085744B"/>
    <w:rsid w:val="00860B6C"/>
    <w:rsid w:val="00861445"/>
    <w:rsid w:val="00871D93"/>
    <w:rsid w:val="0088254A"/>
    <w:rsid w:val="00886469"/>
    <w:rsid w:val="00896F95"/>
    <w:rsid w:val="008A4FBD"/>
    <w:rsid w:val="008B3D56"/>
    <w:rsid w:val="008B51F0"/>
    <w:rsid w:val="008C1E0B"/>
    <w:rsid w:val="008C4EF9"/>
    <w:rsid w:val="008D7AF7"/>
    <w:rsid w:val="008E21AD"/>
    <w:rsid w:val="008E4CA7"/>
    <w:rsid w:val="008F6CC3"/>
    <w:rsid w:val="009054BD"/>
    <w:rsid w:val="00907C5F"/>
    <w:rsid w:val="009262FF"/>
    <w:rsid w:val="009456DC"/>
    <w:rsid w:val="00966EF0"/>
    <w:rsid w:val="00970B38"/>
    <w:rsid w:val="00971B56"/>
    <w:rsid w:val="00973B4D"/>
    <w:rsid w:val="009761EC"/>
    <w:rsid w:val="00985CE7"/>
    <w:rsid w:val="00994E71"/>
    <w:rsid w:val="009A43F6"/>
    <w:rsid w:val="009B20DB"/>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2B40"/>
    <w:rsid w:val="00A461CC"/>
    <w:rsid w:val="00A54290"/>
    <w:rsid w:val="00A5504C"/>
    <w:rsid w:val="00A57580"/>
    <w:rsid w:val="00A66DA9"/>
    <w:rsid w:val="00A678D6"/>
    <w:rsid w:val="00A71EB8"/>
    <w:rsid w:val="00A81E15"/>
    <w:rsid w:val="00A86B80"/>
    <w:rsid w:val="00AA2E12"/>
    <w:rsid w:val="00AC4912"/>
    <w:rsid w:val="00AC615D"/>
    <w:rsid w:val="00AE2039"/>
    <w:rsid w:val="00AF09A3"/>
    <w:rsid w:val="00AF5BBF"/>
    <w:rsid w:val="00B00ADE"/>
    <w:rsid w:val="00B01011"/>
    <w:rsid w:val="00B33266"/>
    <w:rsid w:val="00B343C9"/>
    <w:rsid w:val="00B353D9"/>
    <w:rsid w:val="00B40AEA"/>
    <w:rsid w:val="00B576ED"/>
    <w:rsid w:val="00B65B18"/>
    <w:rsid w:val="00B708EE"/>
    <w:rsid w:val="00B72716"/>
    <w:rsid w:val="00B929A8"/>
    <w:rsid w:val="00B97B40"/>
    <w:rsid w:val="00BC2384"/>
    <w:rsid w:val="00BC3AFF"/>
    <w:rsid w:val="00BC6DE0"/>
    <w:rsid w:val="00BD0585"/>
    <w:rsid w:val="00BD0B3D"/>
    <w:rsid w:val="00BD3B68"/>
    <w:rsid w:val="00BD49F9"/>
    <w:rsid w:val="00BE0A8E"/>
    <w:rsid w:val="00BE5828"/>
    <w:rsid w:val="00C206ED"/>
    <w:rsid w:val="00C37F03"/>
    <w:rsid w:val="00C429A4"/>
    <w:rsid w:val="00C54CB2"/>
    <w:rsid w:val="00C632FD"/>
    <w:rsid w:val="00C9529E"/>
    <w:rsid w:val="00CA406C"/>
    <w:rsid w:val="00CB2544"/>
    <w:rsid w:val="00CC53AA"/>
    <w:rsid w:val="00CD7763"/>
    <w:rsid w:val="00CE1224"/>
    <w:rsid w:val="00CE4E42"/>
    <w:rsid w:val="00CF205C"/>
    <w:rsid w:val="00D004D5"/>
    <w:rsid w:val="00D02676"/>
    <w:rsid w:val="00D22B53"/>
    <w:rsid w:val="00D25CA3"/>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66E0"/>
    <w:rsid w:val="00E17092"/>
    <w:rsid w:val="00E20D4F"/>
    <w:rsid w:val="00E24FCE"/>
    <w:rsid w:val="00E31F46"/>
    <w:rsid w:val="00E32FD2"/>
    <w:rsid w:val="00E42AA5"/>
    <w:rsid w:val="00E437CF"/>
    <w:rsid w:val="00E47006"/>
    <w:rsid w:val="00E52C9C"/>
    <w:rsid w:val="00E62263"/>
    <w:rsid w:val="00E85857"/>
    <w:rsid w:val="00E87DAD"/>
    <w:rsid w:val="00EA3630"/>
    <w:rsid w:val="00EB1182"/>
    <w:rsid w:val="00EB4F9B"/>
    <w:rsid w:val="00EC28FA"/>
    <w:rsid w:val="00ED2D6B"/>
    <w:rsid w:val="00ED5F7C"/>
    <w:rsid w:val="00ED60C2"/>
    <w:rsid w:val="00EE48FC"/>
    <w:rsid w:val="00EE4984"/>
    <w:rsid w:val="00EF05F4"/>
    <w:rsid w:val="00EF43BC"/>
    <w:rsid w:val="00F03852"/>
    <w:rsid w:val="00F1560A"/>
    <w:rsid w:val="00F30977"/>
    <w:rsid w:val="00F55203"/>
    <w:rsid w:val="00F63E59"/>
    <w:rsid w:val="00F63F6A"/>
    <w:rsid w:val="00F93837"/>
    <w:rsid w:val="00FA073F"/>
    <w:rsid w:val="00FA2D22"/>
    <w:rsid w:val="00FC49B9"/>
    <w:rsid w:val="00FD2BF1"/>
    <w:rsid w:val="00FD2D3E"/>
    <w:rsid w:val="00FD4126"/>
    <w:rsid w:val="00FD48EC"/>
    <w:rsid w:val="00FD618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4016</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15</cp:revision>
  <dcterms:created xsi:type="dcterms:W3CDTF">2025-04-28T10:28:00Z</dcterms:created>
  <dcterms:modified xsi:type="dcterms:W3CDTF">2025-04-28T10:40:00Z</dcterms:modified>
</cp:coreProperties>
</file>