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DB72B" w14:textId="6AB459BA" w:rsidR="001B3F77" w:rsidRPr="00D46575" w:rsidRDefault="001B3F77" w:rsidP="001B3F77">
      <w:pPr>
        <w:keepNext/>
        <w:ind w:firstLine="180"/>
        <w:rPr>
          <w:rFonts w:cs="Times New Roman"/>
          <w:b/>
          <w:bCs/>
          <w:sz w:val="22"/>
          <w:szCs w:val="22"/>
        </w:rPr>
      </w:pPr>
    </w:p>
    <w:tbl>
      <w:tblPr>
        <w:tblW w:w="1502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7"/>
        <w:gridCol w:w="3343"/>
        <w:gridCol w:w="6530"/>
        <w:gridCol w:w="4536"/>
      </w:tblGrid>
      <w:tr w:rsidR="00420E79" w:rsidRPr="00D46575" w14:paraId="06A85C0B" w14:textId="77777777" w:rsidTr="00420E79">
        <w:trPr>
          <w:trHeight w:val="836"/>
        </w:trPr>
        <w:tc>
          <w:tcPr>
            <w:tcW w:w="617" w:type="dxa"/>
            <w:vAlign w:val="center"/>
          </w:tcPr>
          <w:p w14:paraId="3388EB8D" w14:textId="77777777" w:rsidR="00420E79" w:rsidRPr="00D46575" w:rsidRDefault="00420E79" w:rsidP="001E25A8">
            <w:pPr>
              <w:spacing w:after="0" w:line="240" w:lineRule="auto"/>
              <w:jc w:val="center"/>
              <w:rPr>
                <w:rFonts w:cs="Times New Roman"/>
                <w:b/>
                <w:sz w:val="22"/>
                <w:szCs w:val="22"/>
              </w:rPr>
            </w:pPr>
            <w:r w:rsidRPr="00D46575">
              <w:rPr>
                <w:rFonts w:cs="Times New Roman"/>
                <w:b/>
                <w:sz w:val="22"/>
                <w:szCs w:val="22"/>
              </w:rPr>
              <w:t>Eil.</w:t>
            </w:r>
          </w:p>
          <w:p w14:paraId="26C14EAD" w14:textId="77777777" w:rsidR="00420E79" w:rsidRPr="00D46575" w:rsidRDefault="00420E79" w:rsidP="001E25A8">
            <w:pPr>
              <w:spacing w:after="0" w:line="240" w:lineRule="auto"/>
              <w:jc w:val="center"/>
              <w:rPr>
                <w:rFonts w:cs="Times New Roman"/>
                <w:b/>
                <w:sz w:val="22"/>
                <w:szCs w:val="22"/>
              </w:rPr>
            </w:pPr>
            <w:r w:rsidRPr="00D46575">
              <w:rPr>
                <w:rFonts w:cs="Times New Roman"/>
                <w:b/>
                <w:sz w:val="22"/>
                <w:szCs w:val="22"/>
              </w:rPr>
              <w:t>Nr.</w:t>
            </w:r>
          </w:p>
        </w:tc>
        <w:tc>
          <w:tcPr>
            <w:tcW w:w="3343" w:type="dxa"/>
            <w:vAlign w:val="center"/>
          </w:tcPr>
          <w:p w14:paraId="60F3FD24" w14:textId="77777777" w:rsidR="00420E79" w:rsidRPr="00D46575" w:rsidRDefault="00420E79" w:rsidP="001E25A8">
            <w:pPr>
              <w:spacing w:after="0" w:line="240" w:lineRule="auto"/>
              <w:jc w:val="center"/>
              <w:rPr>
                <w:rFonts w:cs="Times New Roman"/>
                <w:b/>
                <w:sz w:val="22"/>
                <w:szCs w:val="22"/>
              </w:rPr>
            </w:pPr>
            <w:r w:rsidRPr="00D46575">
              <w:rPr>
                <w:rFonts w:cs="Times New Roman"/>
                <w:b/>
                <w:sz w:val="22"/>
                <w:szCs w:val="22"/>
              </w:rPr>
              <w:t>Parametrai (specifikacija)</w:t>
            </w:r>
          </w:p>
        </w:tc>
        <w:tc>
          <w:tcPr>
            <w:tcW w:w="6530" w:type="dxa"/>
            <w:vAlign w:val="center"/>
          </w:tcPr>
          <w:p w14:paraId="0B43340F" w14:textId="77777777" w:rsidR="00420E79" w:rsidRPr="00D46575" w:rsidRDefault="00420E79" w:rsidP="001E25A8">
            <w:pPr>
              <w:spacing w:after="0" w:line="240" w:lineRule="auto"/>
              <w:ind w:left="360"/>
              <w:jc w:val="center"/>
              <w:rPr>
                <w:rFonts w:cs="Times New Roman"/>
                <w:b/>
                <w:sz w:val="22"/>
                <w:szCs w:val="22"/>
                <w:lang w:val="pt-PT"/>
              </w:rPr>
            </w:pPr>
            <w:r w:rsidRPr="00D46575">
              <w:rPr>
                <w:rFonts w:cs="Times New Roman"/>
                <w:b/>
                <w:sz w:val="22"/>
                <w:szCs w:val="22"/>
                <w:lang w:val="pt-PT"/>
              </w:rPr>
              <w:t>Reikalaujami parametrai ir reikalaujamos parametrų reikšmės</w:t>
            </w:r>
          </w:p>
        </w:tc>
        <w:tc>
          <w:tcPr>
            <w:tcW w:w="4536" w:type="dxa"/>
          </w:tcPr>
          <w:p w14:paraId="2C30DF18" w14:textId="77777777" w:rsidR="00420E79" w:rsidRPr="00D46575" w:rsidRDefault="00420E79" w:rsidP="001E25A8">
            <w:pPr>
              <w:spacing w:after="0" w:line="240" w:lineRule="auto"/>
              <w:ind w:left="-18"/>
              <w:jc w:val="center"/>
              <w:rPr>
                <w:rFonts w:cs="Times New Roman"/>
                <w:b/>
                <w:bCs/>
                <w:sz w:val="22"/>
                <w:szCs w:val="22"/>
                <w:lang w:val="pt-PT"/>
              </w:rPr>
            </w:pPr>
            <w:r w:rsidRPr="00D46575">
              <w:rPr>
                <w:rFonts w:cs="Times New Roman"/>
                <w:b/>
                <w:bCs/>
                <w:sz w:val="22"/>
                <w:szCs w:val="22"/>
                <w:lang w:val="pt-PT"/>
              </w:rPr>
              <w:t>Siūlomos įrangos parametrai ir parametrų reikšmės</w:t>
            </w:r>
          </w:p>
        </w:tc>
      </w:tr>
      <w:tr w:rsidR="00420E79" w:rsidRPr="00D46575" w14:paraId="390CBF70" w14:textId="77777777" w:rsidTr="00420E79">
        <w:trPr>
          <w:trHeight w:val="593"/>
        </w:trPr>
        <w:tc>
          <w:tcPr>
            <w:tcW w:w="617" w:type="dxa"/>
            <w:vAlign w:val="center"/>
          </w:tcPr>
          <w:p w14:paraId="03DFBC56" w14:textId="35465ABC" w:rsidR="00420E79" w:rsidRPr="00D46575" w:rsidRDefault="00420E79" w:rsidP="001E25A8">
            <w:pPr>
              <w:spacing w:line="240" w:lineRule="auto"/>
              <w:jc w:val="center"/>
              <w:rPr>
                <w:rFonts w:cs="Times New Roman"/>
                <w:b/>
                <w:sz w:val="22"/>
                <w:szCs w:val="22"/>
              </w:rPr>
            </w:pPr>
          </w:p>
        </w:tc>
        <w:tc>
          <w:tcPr>
            <w:tcW w:w="3343" w:type="dxa"/>
            <w:vAlign w:val="center"/>
          </w:tcPr>
          <w:p w14:paraId="3948D468" w14:textId="77777777" w:rsidR="00420E79" w:rsidRPr="00D46575" w:rsidRDefault="00420E79" w:rsidP="001E25A8">
            <w:pPr>
              <w:spacing w:line="240" w:lineRule="auto"/>
              <w:rPr>
                <w:rFonts w:cs="Times New Roman"/>
                <w:b/>
                <w:sz w:val="22"/>
                <w:szCs w:val="22"/>
                <w:lang w:val="pt-PT"/>
              </w:rPr>
            </w:pPr>
            <w:r w:rsidRPr="00D46575">
              <w:rPr>
                <w:rFonts w:eastAsia="Calibri" w:cs="Times New Roman"/>
                <w:b/>
                <w:bCs/>
                <w:sz w:val="22"/>
                <w:szCs w:val="22"/>
              </w:rPr>
              <w:t>Operacinė lemp</w:t>
            </w:r>
            <w:r>
              <w:rPr>
                <w:rFonts w:eastAsia="Calibri" w:cs="Times New Roman"/>
                <w:b/>
                <w:bCs/>
                <w:sz w:val="22"/>
                <w:szCs w:val="22"/>
              </w:rPr>
              <w:t>a</w:t>
            </w:r>
          </w:p>
        </w:tc>
        <w:tc>
          <w:tcPr>
            <w:tcW w:w="6530" w:type="dxa"/>
            <w:vAlign w:val="center"/>
          </w:tcPr>
          <w:p w14:paraId="3A097738" w14:textId="77777777" w:rsidR="00420E79" w:rsidRPr="00D46575" w:rsidRDefault="00420E79" w:rsidP="001E25A8">
            <w:pPr>
              <w:spacing w:line="240" w:lineRule="auto"/>
              <w:ind w:left="360" w:hanging="288"/>
              <w:rPr>
                <w:rFonts w:cs="Times New Roman"/>
                <w:b/>
                <w:sz w:val="22"/>
                <w:szCs w:val="22"/>
              </w:rPr>
            </w:pPr>
            <w:r w:rsidRPr="00D46575">
              <w:rPr>
                <w:rFonts w:cs="Times New Roman"/>
                <w:b/>
                <w:sz w:val="22"/>
                <w:szCs w:val="22"/>
              </w:rPr>
              <w:t>1 vnt.</w:t>
            </w:r>
          </w:p>
        </w:tc>
        <w:tc>
          <w:tcPr>
            <w:tcW w:w="4536" w:type="dxa"/>
            <w:vAlign w:val="center"/>
          </w:tcPr>
          <w:p w14:paraId="182F663B" w14:textId="77777777" w:rsidR="00420E79" w:rsidRPr="00D46575" w:rsidRDefault="00420E79" w:rsidP="001E25A8">
            <w:pPr>
              <w:spacing w:after="0" w:line="240" w:lineRule="auto"/>
              <w:ind w:left="-18"/>
              <w:jc w:val="center"/>
              <w:rPr>
                <w:rFonts w:cs="Times New Roman"/>
                <w:b/>
                <w:sz w:val="22"/>
                <w:szCs w:val="22"/>
              </w:rPr>
            </w:pPr>
            <w:r w:rsidRPr="00D46575">
              <w:rPr>
                <w:rFonts w:cs="Times New Roman"/>
                <w:i/>
                <w:iCs/>
                <w:sz w:val="22"/>
                <w:szCs w:val="22"/>
              </w:rPr>
              <w:t>(Siūlomos įrangos modelis, gamintojas)</w:t>
            </w:r>
          </w:p>
        </w:tc>
      </w:tr>
      <w:tr w:rsidR="00420E79" w:rsidRPr="00D46575" w14:paraId="70AD8821" w14:textId="77777777" w:rsidTr="00420E79">
        <w:trPr>
          <w:trHeight w:val="278"/>
        </w:trPr>
        <w:tc>
          <w:tcPr>
            <w:tcW w:w="617" w:type="dxa"/>
          </w:tcPr>
          <w:p w14:paraId="39190E38" w14:textId="77777777" w:rsidR="00420E79" w:rsidRPr="00D46575" w:rsidRDefault="00420E79" w:rsidP="001E25A8">
            <w:pPr>
              <w:spacing w:after="0"/>
              <w:jc w:val="center"/>
              <w:rPr>
                <w:rFonts w:cs="Times New Roman"/>
                <w:sz w:val="22"/>
                <w:szCs w:val="22"/>
              </w:rPr>
            </w:pPr>
            <w:r w:rsidRPr="00D46575">
              <w:rPr>
                <w:rFonts w:cs="Times New Roman"/>
                <w:sz w:val="22"/>
                <w:szCs w:val="22"/>
              </w:rPr>
              <w:t>1.</w:t>
            </w:r>
          </w:p>
        </w:tc>
        <w:tc>
          <w:tcPr>
            <w:tcW w:w="3343" w:type="dxa"/>
          </w:tcPr>
          <w:p w14:paraId="11434EB7" w14:textId="77777777" w:rsidR="00420E79" w:rsidRPr="00D46575" w:rsidRDefault="00420E79" w:rsidP="001E25A8">
            <w:pPr>
              <w:spacing w:after="0" w:line="240" w:lineRule="auto"/>
              <w:rPr>
                <w:rFonts w:cs="Times New Roman"/>
                <w:sz w:val="22"/>
                <w:szCs w:val="22"/>
                <w:lang w:val="pt-PT"/>
              </w:rPr>
            </w:pPr>
            <w:r w:rsidRPr="00883227">
              <w:rPr>
                <w:rFonts w:eastAsia="Calibri"/>
                <w:sz w:val="22"/>
                <w:szCs w:val="22"/>
              </w:rPr>
              <w:t>Šviesos šaltinis</w:t>
            </w:r>
          </w:p>
        </w:tc>
        <w:tc>
          <w:tcPr>
            <w:tcW w:w="6530" w:type="dxa"/>
          </w:tcPr>
          <w:p w14:paraId="5E2F8A2F" w14:textId="77777777" w:rsidR="00420E79" w:rsidRPr="00D46575" w:rsidRDefault="00420E79" w:rsidP="001E25A8">
            <w:pPr>
              <w:spacing w:after="0" w:line="240" w:lineRule="auto"/>
              <w:rPr>
                <w:rFonts w:cs="Times New Roman"/>
                <w:sz w:val="22"/>
                <w:szCs w:val="22"/>
                <w:lang w:val="pt-PT"/>
              </w:rPr>
            </w:pPr>
            <w:r w:rsidRPr="00883227">
              <w:rPr>
                <w:rFonts w:eastAsia="Calibri"/>
                <w:sz w:val="22"/>
                <w:szCs w:val="22"/>
              </w:rPr>
              <w:t>Didelio intensyvumo šviesą skleidžiantys diodai</w:t>
            </w:r>
          </w:p>
        </w:tc>
        <w:tc>
          <w:tcPr>
            <w:tcW w:w="4536" w:type="dxa"/>
          </w:tcPr>
          <w:p w14:paraId="60D526C2"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58DA6AD9" w14:textId="77777777" w:rsidTr="00420E79">
        <w:trPr>
          <w:trHeight w:val="620"/>
        </w:trPr>
        <w:tc>
          <w:tcPr>
            <w:tcW w:w="617" w:type="dxa"/>
          </w:tcPr>
          <w:p w14:paraId="4C4C547F" w14:textId="77777777" w:rsidR="00420E79" w:rsidRPr="00D46575" w:rsidRDefault="00420E79" w:rsidP="001E25A8">
            <w:pPr>
              <w:spacing w:after="0"/>
              <w:jc w:val="center"/>
              <w:rPr>
                <w:rFonts w:cs="Times New Roman"/>
                <w:color w:val="FF0000"/>
                <w:sz w:val="22"/>
                <w:szCs w:val="22"/>
              </w:rPr>
            </w:pPr>
            <w:r w:rsidRPr="003B0205">
              <w:rPr>
                <w:rFonts w:cs="Times New Roman"/>
                <w:sz w:val="22"/>
                <w:szCs w:val="22"/>
              </w:rPr>
              <w:t>2.</w:t>
            </w:r>
          </w:p>
        </w:tc>
        <w:tc>
          <w:tcPr>
            <w:tcW w:w="3343" w:type="dxa"/>
          </w:tcPr>
          <w:p w14:paraId="27526561" w14:textId="77777777" w:rsidR="00420E79" w:rsidRPr="00F422F9" w:rsidRDefault="00420E79" w:rsidP="001E25A8">
            <w:pPr>
              <w:spacing w:after="0" w:line="240" w:lineRule="auto"/>
              <w:rPr>
                <w:rFonts w:cs="Times New Roman"/>
                <w:sz w:val="22"/>
                <w:szCs w:val="22"/>
                <w:lang w:val="pt-PT"/>
              </w:rPr>
            </w:pPr>
            <w:r w:rsidRPr="00F422F9">
              <w:rPr>
                <w:rFonts w:eastAsia="Calibri"/>
                <w:sz w:val="22"/>
                <w:szCs w:val="22"/>
              </w:rPr>
              <w:t xml:space="preserve">Operacinės lempos modulių („kupolų“) kiekis </w:t>
            </w:r>
          </w:p>
        </w:tc>
        <w:tc>
          <w:tcPr>
            <w:tcW w:w="6530" w:type="dxa"/>
          </w:tcPr>
          <w:p w14:paraId="1F07FA87" w14:textId="77777777" w:rsidR="00420E79" w:rsidRPr="00F422F9" w:rsidRDefault="00420E79" w:rsidP="001E25A8">
            <w:pPr>
              <w:spacing w:after="0" w:line="240" w:lineRule="auto"/>
              <w:rPr>
                <w:rFonts w:cs="Times New Roman"/>
                <w:sz w:val="22"/>
                <w:szCs w:val="22"/>
                <w:lang w:val="pt-PT"/>
              </w:rPr>
            </w:pPr>
            <w:r w:rsidRPr="00F422F9">
              <w:rPr>
                <w:rFonts w:eastAsia="Calibri"/>
                <w:sz w:val="22"/>
                <w:szCs w:val="22"/>
              </w:rPr>
              <w:t>Du moduliai (abu atitinkantys techninės specifikacijos 3-12 punktuose pateiktus reikalavimus)</w:t>
            </w:r>
          </w:p>
        </w:tc>
        <w:tc>
          <w:tcPr>
            <w:tcW w:w="4536" w:type="dxa"/>
          </w:tcPr>
          <w:p w14:paraId="1022E10A"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3D10A454" w14:textId="77777777" w:rsidTr="00420E79">
        <w:trPr>
          <w:trHeight w:val="530"/>
        </w:trPr>
        <w:tc>
          <w:tcPr>
            <w:tcW w:w="617" w:type="dxa"/>
          </w:tcPr>
          <w:p w14:paraId="4E41DE33" w14:textId="77777777" w:rsidR="00420E79" w:rsidRPr="003B0205" w:rsidRDefault="00420E79" w:rsidP="001E25A8">
            <w:pPr>
              <w:spacing w:after="0"/>
              <w:jc w:val="center"/>
              <w:rPr>
                <w:rFonts w:cs="Times New Roman"/>
                <w:sz w:val="22"/>
                <w:szCs w:val="22"/>
              </w:rPr>
            </w:pPr>
            <w:r w:rsidRPr="003B0205">
              <w:rPr>
                <w:rFonts w:cs="Times New Roman"/>
                <w:sz w:val="22"/>
                <w:szCs w:val="22"/>
              </w:rPr>
              <w:t>3.</w:t>
            </w:r>
          </w:p>
        </w:tc>
        <w:tc>
          <w:tcPr>
            <w:tcW w:w="3343" w:type="dxa"/>
          </w:tcPr>
          <w:p w14:paraId="4FF61C6C" w14:textId="77777777" w:rsidR="00420E79" w:rsidRPr="003B0205" w:rsidRDefault="00420E79" w:rsidP="001E25A8">
            <w:pPr>
              <w:spacing w:after="0" w:line="240" w:lineRule="auto"/>
              <w:rPr>
                <w:rFonts w:cs="Times New Roman"/>
                <w:sz w:val="22"/>
                <w:szCs w:val="22"/>
                <w:lang w:val="pt-PT"/>
              </w:rPr>
            </w:pPr>
            <w:r w:rsidRPr="003B0205">
              <w:rPr>
                <w:rFonts w:eastAsia="Calibri"/>
                <w:sz w:val="22"/>
                <w:szCs w:val="22"/>
              </w:rPr>
              <w:t>Modulio maksimali apšvieta, matuojant 1 m atstume</w:t>
            </w:r>
          </w:p>
        </w:tc>
        <w:tc>
          <w:tcPr>
            <w:tcW w:w="6530" w:type="dxa"/>
          </w:tcPr>
          <w:p w14:paraId="2FAD4988" w14:textId="77777777" w:rsidR="00420E79" w:rsidRPr="003B0205" w:rsidRDefault="00420E79" w:rsidP="001E25A8">
            <w:pPr>
              <w:spacing w:after="0" w:line="240" w:lineRule="auto"/>
              <w:rPr>
                <w:rFonts w:cs="Times New Roman"/>
                <w:sz w:val="22"/>
                <w:szCs w:val="22"/>
                <w:lang w:val="pt-PT"/>
              </w:rPr>
            </w:pPr>
            <w:r w:rsidRPr="003B0205">
              <w:rPr>
                <w:rFonts w:eastAsia="Calibri"/>
                <w:sz w:val="22"/>
                <w:szCs w:val="22"/>
              </w:rPr>
              <w:t>≥ 160 000 liuksų</w:t>
            </w:r>
          </w:p>
        </w:tc>
        <w:tc>
          <w:tcPr>
            <w:tcW w:w="4536" w:type="dxa"/>
          </w:tcPr>
          <w:p w14:paraId="25EAA845"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5BAA94BD" w14:textId="77777777" w:rsidTr="00420E79">
        <w:trPr>
          <w:trHeight w:val="791"/>
        </w:trPr>
        <w:tc>
          <w:tcPr>
            <w:tcW w:w="617" w:type="dxa"/>
          </w:tcPr>
          <w:p w14:paraId="427CF3F2" w14:textId="77777777" w:rsidR="00420E79" w:rsidRPr="003B0205" w:rsidRDefault="00420E79" w:rsidP="001E25A8">
            <w:pPr>
              <w:spacing w:after="0"/>
              <w:jc w:val="center"/>
              <w:rPr>
                <w:rFonts w:cs="Times New Roman"/>
                <w:sz w:val="22"/>
                <w:szCs w:val="22"/>
              </w:rPr>
            </w:pPr>
            <w:r w:rsidRPr="003B0205">
              <w:rPr>
                <w:rFonts w:cs="Times New Roman"/>
                <w:sz w:val="22"/>
                <w:szCs w:val="22"/>
              </w:rPr>
              <w:t>4.</w:t>
            </w:r>
          </w:p>
        </w:tc>
        <w:tc>
          <w:tcPr>
            <w:tcW w:w="3343" w:type="dxa"/>
          </w:tcPr>
          <w:p w14:paraId="4EA7650D" w14:textId="77777777" w:rsidR="00420E79" w:rsidRPr="003B0205" w:rsidRDefault="00420E79" w:rsidP="001E25A8">
            <w:pPr>
              <w:spacing w:after="0" w:line="240" w:lineRule="auto"/>
              <w:rPr>
                <w:rFonts w:cs="Times New Roman"/>
                <w:sz w:val="22"/>
                <w:szCs w:val="22"/>
              </w:rPr>
            </w:pPr>
            <w:r w:rsidRPr="003B0205">
              <w:rPr>
                <w:rFonts w:cs="Times New Roman"/>
                <w:sz w:val="22"/>
                <w:szCs w:val="22"/>
              </w:rPr>
              <w:t xml:space="preserve">Apšvietimo gylis (vienalytės šviesos stulpo aukštis L1+L2 prie 60 %) </w:t>
            </w:r>
          </w:p>
        </w:tc>
        <w:tc>
          <w:tcPr>
            <w:tcW w:w="6530" w:type="dxa"/>
          </w:tcPr>
          <w:p w14:paraId="06DC9146" w14:textId="77777777" w:rsidR="00420E79" w:rsidRPr="003B0205" w:rsidRDefault="00420E79" w:rsidP="001E25A8">
            <w:pPr>
              <w:spacing w:after="0" w:line="240" w:lineRule="auto"/>
              <w:rPr>
                <w:rFonts w:cs="Times New Roman"/>
                <w:sz w:val="22"/>
                <w:szCs w:val="22"/>
              </w:rPr>
            </w:pPr>
            <w:r w:rsidRPr="003B0205">
              <w:rPr>
                <w:rFonts w:cs="Times New Roman"/>
                <w:sz w:val="22"/>
                <w:szCs w:val="22"/>
              </w:rPr>
              <w:t>≥ 490 mm</w:t>
            </w:r>
          </w:p>
        </w:tc>
        <w:tc>
          <w:tcPr>
            <w:tcW w:w="4536" w:type="dxa"/>
          </w:tcPr>
          <w:p w14:paraId="56BDCCF8" w14:textId="77777777" w:rsidR="00420E79" w:rsidRPr="00194C6A" w:rsidRDefault="00420E79" w:rsidP="001E25A8">
            <w:pPr>
              <w:spacing w:after="0" w:line="240" w:lineRule="auto"/>
              <w:rPr>
                <w:rFonts w:cs="Times New Roman"/>
                <w:color w:val="FF0000"/>
                <w:sz w:val="22"/>
                <w:szCs w:val="22"/>
              </w:rPr>
            </w:pPr>
          </w:p>
        </w:tc>
      </w:tr>
      <w:tr w:rsidR="00420E79" w:rsidRPr="00D46575" w14:paraId="6A5714E4" w14:textId="77777777" w:rsidTr="00420E79">
        <w:trPr>
          <w:trHeight w:val="377"/>
        </w:trPr>
        <w:tc>
          <w:tcPr>
            <w:tcW w:w="617" w:type="dxa"/>
          </w:tcPr>
          <w:p w14:paraId="3A19034F" w14:textId="77777777" w:rsidR="00420E79" w:rsidRPr="003B0205" w:rsidRDefault="00420E79" w:rsidP="001E25A8">
            <w:pPr>
              <w:spacing w:after="0"/>
              <w:jc w:val="center"/>
              <w:rPr>
                <w:rFonts w:cs="Times New Roman"/>
                <w:sz w:val="22"/>
                <w:szCs w:val="22"/>
              </w:rPr>
            </w:pPr>
            <w:r w:rsidRPr="003B0205">
              <w:rPr>
                <w:rFonts w:cs="Times New Roman"/>
                <w:sz w:val="22"/>
                <w:szCs w:val="22"/>
              </w:rPr>
              <w:t>5.</w:t>
            </w:r>
          </w:p>
        </w:tc>
        <w:tc>
          <w:tcPr>
            <w:tcW w:w="3343" w:type="dxa"/>
          </w:tcPr>
          <w:p w14:paraId="6CA0AFB5" w14:textId="77777777" w:rsidR="00420E79" w:rsidRPr="003B0205" w:rsidRDefault="00420E79" w:rsidP="001E25A8">
            <w:pPr>
              <w:spacing w:after="0" w:line="240" w:lineRule="auto"/>
              <w:rPr>
                <w:rFonts w:cs="Times New Roman"/>
                <w:sz w:val="22"/>
                <w:szCs w:val="22"/>
              </w:rPr>
            </w:pPr>
            <w:r w:rsidRPr="003B0205">
              <w:rPr>
                <w:rFonts w:cs="Times New Roman"/>
                <w:sz w:val="22"/>
                <w:szCs w:val="22"/>
              </w:rPr>
              <w:t xml:space="preserve">Apšvietimo gylis (vienalytės šviesos stulpo aukštis L1+L2 prie 20 %) </w:t>
            </w:r>
          </w:p>
        </w:tc>
        <w:tc>
          <w:tcPr>
            <w:tcW w:w="6530" w:type="dxa"/>
          </w:tcPr>
          <w:p w14:paraId="6B81B3EE" w14:textId="77777777" w:rsidR="00420E79" w:rsidRPr="003B0205" w:rsidRDefault="00420E79" w:rsidP="001E25A8">
            <w:pPr>
              <w:spacing w:after="0" w:line="240" w:lineRule="auto"/>
              <w:rPr>
                <w:rFonts w:cs="Times New Roman"/>
                <w:sz w:val="22"/>
                <w:szCs w:val="22"/>
              </w:rPr>
            </w:pPr>
            <w:r w:rsidRPr="003B0205">
              <w:rPr>
                <w:rFonts w:cs="Times New Roman"/>
                <w:sz w:val="22"/>
                <w:szCs w:val="22"/>
              </w:rPr>
              <w:t>≥ 1190 mm</w:t>
            </w:r>
          </w:p>
        </w:tc>
        <w:tc>
          <w:tcPr>
            <w:tcW w:w="4536" w:type="dxa"/>
          </w:tcPr>
          <w:p w14:paraId="69E090FE" w14:textId="77777777" w:rsidR="00420E79" w:rsidRPr="00194C6A" w:rsidRDefault="00420E79" w:rsidP="001E25A8">
            <w:pPr>
              <w:spacing w:after="0" w:line="240" w:lineRule="auto"/>
              <w:rPr>
                <w:rFonts w:cs="Times New Roman"/>
                <w:color w:val="FF0000"/>
                <w:sz w:val="22"/>
                <w:szCs w:val="22"/>
              </w:rPr>
            </w:pPr>
          </w:p>
        </w:tc>
      </w:tr>
      <w:tr w:rsidR="00420E79" w:rsidRPr="00D46575" w14:paraId="41343D69" w14:textId="77777777" w:rsidTr="00420E79">
        <w:trPr>
          <w:trHeight w:val="377"/>
        </w:trPr>
        <w:tc>
          <w:tcPr>
            <w:tcW w:w="617" w:type="dxa"/>
          </w:tcPr>
          <w:p w14:paraId="29C95568" w14:textId="77777777" w:rsidR="00420E79" w:rsidRPr="001E5669" w:rsidRDefault="00420E79" w:rsidP="001E25A8">
            <w:pPr>
              <w:spacing w:after="0"/>
              <w:jc w:val="center"/>
              <w:rPr>
                <w:rFonts w:cs="Times New Roman"/>
                <w:sz w:val="22"/>
                <w:szCs w:val="22"/>
              </w:rPr>
            </w:pPr>
            <w:r w:rsidRPr="001E5669">
              <w:rPr>
                <w:rFonts w:cs="Times New Roman"/>
                <w:sz w:val="22"/>
                <w:szCs w:val="22"/>
              </w:rPr>
              <w:t>6.</w:t>
            </w:r>
          </w:p>
        </w:tc>
        <w:tc>
          <w:tcPr>
            <w:tcW w:w="3343" w:type="dxa"/>
          </w:tcPr>
          <w:p w14:paraId="2BDE43CF" w14:textId="77777777" w:rsidR="00420E79" w:rsidRPr="001E5669" w:rsidRDefault="00420E79" w:rsidP="001E25A8">
            <w:pPr>
              <w:spacing w:after="0" w:line="240" w:lineRule="auto"/>
              <w:rPr>
                <w:rFonts w:cs="Times New Roman"/>
                <w:sz w:val="22"/>
                <w:szCs w:val="22"/>
              </w:rPr>
            </w:pPr>
            <w:r w:rsidRPr="001E5669">
              <w:rPr>
                <w:sz w:val="22"/>
                <w:szCs w:val="22"/>
              </w:rPr>
              <w:t xml:space="preserve">Apšvietimo lauko dydis </w:t>
            </w:r>
          </w:p>
        </w:tc>
        <w:tc>
          <w:tcPr>
            <w:tcW w:w="6530" w:type="dxa"/>
          </w:tcPr>
          <w:p w14:paraId="08DC2B8D" w14:textId="5702E098" w:rsidR="00420E79" w:rsidRPr="00192525" w:rsidRDefault="00420E79" w:rsidP="001E25A8">
            <w:pPr>
              <w:spacing w:after="0" w:line="240" w:lineRule="auto"/>
              <w:rPr>
                <w:rFonts w:cs="Times New Roman"/>
                <w:color w:val="000000" w:themeColor="text1"/>
                <w:sz w:val="22"/>
                <w:szCs w:val="22"/>
                <w:lang w:val="pt-PT"/>
              </w:rPr>
            </w:pPr>
            <w:r w:rsidRPr="00192525">
              <w:rPr>
                <w:color w:val="000000" w:themeColor="text1"/>
                <w:sz w:val="22"/>
                <w:szCs w:val="22"/>
              </w:rPr>
              <w:t>Reguliuojamas ne siauresnėse kaip 200–</w:t>
            </w:r>
            <w:r w:rsidRPr="00192525">
              <w:rPr>
                <w:color w:val="000000" w:themeColor="text1"/>
                <w:sz w:val="22"/>
                <w:szCs w:val="22"/>
                <w:lang w:val="pt-PT"/>
              </w:rPr>
              <w:t>280</w:t>
            </w:r>
            <w:r w:rsidRPr="00192525">
              <w:rPr>
                <w:color w:val="000000" w:themeColor="text1"/>
                <w:sz w:val="22"/>
                <w:szCs w:val="22"/>
              </w:rPr>
              <w:t xml:space="preserve"> mm ribose</w:t>
            </w:r>
          </w:p>
        </w:tc>
        <w:tc>
          <w:tcPr>
            <w:tcW w:w="4536" w:type="dxa"/>
          </w:tcPr>
          <w:p w14:paraId="017F816A"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145CC8B8" w14:textId="77777777" w:rsidTr="00420E79">
        <w:trPr>
          <w:trHeight w:val="377"/>
        </w:trPr>
        <w:tc>
          <w:tcPr>
            <w:tcW w:w="617" w:type="dxa"/>
          </w:tcPr>
          <w:p w14:paraId="0C24B6B5" w14:textId="77777777" w:rsidR="00420E79" w:rsidRPr="001E5669" w:rsidRDefault="00420E79" w:rsidP="001E25A8">
            <w:pPr>
              <w:spacing w:after="0"/>
              <w:jc w:val="center"/>
              <w:rPr>
                <w:rFonts w:cs="Times New Roman"/>
                <w:sz w:val="22"/>
                <w:szCs w:val="22"/>
              </w:rPr>
            </w:pPr>
            <w:r w:rsidRPr="001E5669">
              <w:rPr>
                <w:rFonts w:cs="Times New Roman"/>
                <w:sz w:val="22"/>
                <w:szCs w:val="22"/>
              </w:rPr>
              <w:t>7.</w:t>
            </w:r>
          </w:p>
        </w:tc>
        <w:tc>
          <w:tcPr>
            <w:tcW w:w="3343" w:type="dxa"/>
          </w:tcPr>
          <w:p w14:paraId="7781F98B" w14:textId="77777777" w:rsidR="00420E79" w:rsidRPr="001E5669" w:rsidRDefault="00420E79" w:rsidP="001E25A8">
            <w:pPr>
              <w:spacing w:after="0" w:line="240" w:lineRule="auto"/>
              <w:rPr>
                <w:rFonts w:cs="Times New Roman"/>
                <w:sz w:val="22"/>
                <w:szCs w:val="22"/>
                <w:lang w:val="pt-PT"/>
              </w:rPr>
            </w:pPr>
            <w:r w:rsidRPr="001E5669">
              <w:rPr>
                <w:rFonts w:cs="Times New Roman"/>
                <w:sz w:val="22"/>
                <w:szCs w:val="22"/>
                <w:lang w:val="pt-PT"/>
              </w:rPr>
              <w:t xml:space="preserve">Apšvietos reguliavimo ribos </w:t>
            </w:r>
          </w:p>
        </w:tc>
        <w:tc>
          <w:tcPr>
            <w:tcW w:w="6530" w:type="dxa"/>
          </w:tcPr>
          <w:p w14:paraId="504F47C0" w14:textId="77777777" w:rsidR="00420E79" w:rsidRPr="001E5669" w:rsidRDefault="00420E79" w:rsidP="001E25A8">
            <w:pPr>
              <w:spacing w:after="0" w:line="240" w:lineRule="auto"/>
              <w:rPr>
                <w:rFonts w:cs="Times New Roman"/>
                <w:sz w:val="22"/>
                <w:szCs w:val="22"/>
                <w:lang w:val="pt-PT"/>
              </w:rPr>
            </w:pPr>
            <w:r w:rsidRPr="001E5669">
              <w:rPr>
                <w:rFonts w:cs="Times New Roman"/>
                <w:sz w:val="22"/>
                <w:szCs w:val="22"/>
                <w:lang w:val="pt-PT"/>
              </w:rPr>
              <w:t>Ne siauresnės kaip 50-100%</w:t>
            </w:r>
          </w:p>
        </w:tc>
        <w:tc>
          <w:tcPr>
            <w:tcW w:w="4536" w:type="dxa"/>
          </w:tcPr>
          <w:p w14:paraId="0C806D24"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3892BA84" w14:textId="77777777" w:rsidTr="00420E79">
        <w:trPr>
          <w:trHeight w:val="791"/>
        </w:trPr>
        <w:tc>
          <w:tcPr>
            <w:tcW w:w="617" w:type="dxa"/>
          </w:tcPr>
          <w:p w14:paraId="468CEF71" w14:textId="77777777" w:rsidR="00420E79" w:rsidRPr="001E5669" w:rsidRDefault="00420E79" w:rsidP="001E25A8">
            <w:pPr>
              <w:spacing w:after="0"/>
              <w:jc w:val="center"/>
              <w:rPr>
                <w:rFonts w:cs="Times New Roman"/>
                <w:sz w:val="22"/>
                <w:szCs w:val="22"/>
              </w:rPr>
            </w:pPr>
            <w:r w:rsidRPr="001E5669">
              <w:rPr>
                <w:rFonts w:cs="Times New Roman"/>
                <w:sz w:val="22"/>
                <w:szCs w:val="22"/>
              </w:rPr>
              <w:t>8.</w:t>
            </w:r>
          </w:p>
        </w:tc>
        <w:tc>
          <w:tcPr>
            <w:tcW w:w="3343" w:type="dxa"/>
          </w:tcPr>
          <w:p w14:paraId="27CAAF86" w14:textId="77777777" w:rsidR="00420E79" w:rsidRPr="001E5669" w:rsidRDefault="00420E79" w:rsidP="001E25A8">
            <w:pPr>
              <w:spacing w:after="0" w:line="240" w:lineRule="auto"/>
              <w:rPr>
                <w:rFonts w:cs="Times New Roman"/>
                <w:sz w:val="22"/>
                <w:szCs w:val="22"/>
                <w:lang w:val="pt-PT"/>
              </w:rPr>
            </w:pPr>
            <w:r w:rsidRPr="001E5669">
              <w:rPr>
                <w:rFonts w:eastAsia="Calibri"/>
                <w:sz w:val="22"/>
                <w:szCs w:val="22"/>
              </w:rPr>
              <w:t>Modulio pritaikymas naudojimui minimaliai invazinių operacijų metu (endoskopinis darbo režimas)</w:t>
            </w:r>
          </w:p>
        </w:tc>
        <w:tc>
          <w:tcPr>
            <w:tcW w:w="6530" w:type="dxa"/>
          </w:tcPr>
          <w:p w14:paraId="25BC699E" w14:textId="77777777" w:rsidR="00420E79" w:rsidRPr="001E5669" w:rsidRDefault="00420E79" w:rsidP="001E25A8">
            <w:pPr>
              <w:spacing w:after="0" w:line="240" w:lineRule="auto"/>
              <w:rPr>
                <w:rFonts w:cs="Times New Roman"/>
                <w:sz w:val="22"/>
                <w:szCs w:val="22"/>
                <w:lang w:val="pt-PT"/>
              </w:rPr>
            </w:pPr>
            <w:r w:rsidRPr="001E5669">
              <w:rPr>
                <w:rFonts w:eastAsia="Calibri"/>
                <w:sz w:val="22"/>
                <w:szCs w:val="22"/>
              </w:rPr>
              <w:t>Būtinas („</w:t>
            </w:r>
            <w:proofErr w:type="spellStart"/>
            <w:r w:rsidRPr="001E5669">
              <w:rPr>
                <w:rFonts w:eastAsia="Calibri"/>
                <w:i/>
                <w:iCs/>
                <w:sz w:val="22"/>
                <w:szCs w:val="22"/>
              </w:rPr>
              <w:t>Endo</w:t>
            </w:r>
            <w:proofErr w:type="spellEnd"/>
            <w:r w:rsidRPr="001E5669">
              <w:rPr>
                <w:rFonts w:eastAsia="Calibri"/>
                <w:i/>
                <w:iCs/>
                <w:sz w:val="22"/>
                <w:szCs w:val="22"/>
              </w:rPr>
              <w:t xml:space="preserve"> </w:t>
            </w:r>
            <w:proofErr w:type="spellStart"/>
            <w:r w:rsidRPr="001E5669">
              <w:rPr>
                <w:rFonts w:eastAsia="Calibri"/>
                <w:i/>
                <w:iCs/>
                <w:sz w:val="22"/>
                <w:szCs w:val="22"/>
              </w:rPr>
              <w:t>light</w:t>
            </w:r>
            <w:proofErr w:type="spellEnd"/>
            <w:r w:rsidRPr="001E5669">
              <w:rPr>
                <w:rFonts w:eastAsia="Calibri"/>
                <w:sz w:val="22"/>
                <w:szCs w:val="22"/>
              </w:rPr>
              <w:t>“ arba lygiavertis režimas)</w:t>
            </w:r>
          </w:p>
        </w:tc>
        <w:tc>
          <w:tcPr>
            <w:tcW w:w="4536" w:type="dxa"/>
          </w:tcPr>
          <w:p w14:paraId="482CA63E"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730A01DD" w14:textId="77777777" w:rsidTr="00420E79">
        <w:trPr>
          <w:trHeight w:val="566"/>
        </w:trPr>
        <w:tc>
          <w:tcPr>
            <w:tcW w:w="617" w:type="dxa"/>
          </w:tcPr>
          <w:p w14:paraId="700A30A4" w14:textId="77777777" w:rsidR="00420E79" w:rsidRPr="001E5669" w:rsidRDefault="00420E79" w:rsidP="001E25A8">
            <w:pPr>
              <w:spacing w:after="0"/>
              <w:jc w:val="center"/>
              <w:rPr>
                <w:rFonts w:cs="Times New Roman"/>
                <w:sz w:val="22"/>
                <w:szCs w:val="22"/>
              </w:rPr>
            </w:pPr>
            <w:r w:rsidRPr="001E5669">
              <w:rPr>
                <w:rFonts w:cs="Times New Roman"/>
                <w:sz w:val="22"/>
                <w:szCs w:val="22"/>
              </w:rPr>
              <w:t>9.</w:t>
            </w:r>
          </w:p>
        </w:tc>
        <w:tc>
          <w:tcPr>
            <w:tcW w:w="3343" w:type="dxa"/>
          </w:tcPr>
          <w:p w14:paraId="51F909D9" w14:textId="77777777" w:rsidR="00420E79" w:rsidRPr="001E5669" w:rsidRDefault="00420E79" w:rsidP="001E25A8">
            <w:pPr>
              <w:spacing w:after="0" w:line="240" w:lineRule="auto"/>
              <w:rPr>
                <w:rFonts w:cs="Times New Roman"/>
                <w:sz w:val="22"/>
                <w:szCs w:val="22"/>
                <w:lang w:val="pt-PT"/>
              </w:rPr>
            </w:pPr>
            <w:r w:rsidRPr="001E5669">
              <w:rPr>
                <w:rFonts w:cs="Times New Roman"/>
                <w:sz w:val="22"/>
                <w:szCs w:val="22"/>
                <w:lang w:val="pt-PT"/>
              </w:rPr>
              <w:t>Skleidžiamos šviesos spalvinis indeksas (Ra)</w:t>
            </w:r>
          </w:p>
        </w:tc>
        <w:tc>
          <w:tcPr>
            <w:tcW w:w="6530" w:type="dxa"/>
          </w:tcPr>
          <w:p w14:paraId="59FBB6DA" w14:textId="77777777" w:rsidR="00420E79" w:rsidRPr="001E5669" w:rsidRDefault="00420E79" w:rsidP="001E25A8">
            <w:pPr>
              <w:spacing w:after="0" w:line="240" w:lineRule="auto"/>
              <w:rPr>
                <w:rFonts w:cs="Times New Roman"/>
                <w:sz w:val="22"/>
                <w:szCs w:val="22"/>
                <w:lang w:val="pt-PT"/>
              </w:rPr>
            </w:pPr>
            <w:r w:rsidRPr="001E5669">
              <w:rPr>
                <w:rFonts w:cs="Times New Roman"/>
                <w:sz w:val="22"/>
                <w:szCs w:val="22"/>
              </w:rPr>
              <w:t xml:space="preserve">≥ </w:t>
            </w:r>
            <w:r w:rsidRPr="001E5669">
              <w:rPr>
                <w:rFonts w:cs="Times New Roman"/>
                <w:sz w:val="22"/>
                <w:szCs w:val="22"/>
                <w:lang w:val="pt-PT"/>
              </w:rPr>
              <w:t>95</w:t>
            </w:r>
          </w:p>
        </w:tc>
        <w:tc>
          <w:tcPr>
            <w:tcW w:w="4536" w:type="dxa"/>
          </w:tcPr>
          <w:p w14:paraId="28A2AE0D"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3F14F4F0" w14:textId="77777777" w:rsidTr="00420E79">
        <w:trPr>
          <w:trHeight w:val="1034"/>
        </w:trPr>
        <w:tc>
          <w:tcPr>
            <w:tcW w:w="617" w:type="dxa"/>
          </w:tcPr>
          <w:p w14:paraId="61F68095" w14:textId="77777777" w:rsidR="00420E79" w:rsidRPr="001E5669" w:rsidRDefault="00420E79" w:rsidP="001E25A8">
            <w:pPr>
              <w:spacing w:after="0"/>
              <w:jc w:val="center"/>
              <w:rPr>
                <w:rFonts w:cs="Times New Roman"/>
                <w:sz w:val="22"/>
                <w:szCs w:val="22"/>
              </w:rPr>
            </w:pPr>
            <w:r w:rsidRPr="001E5669">
              <w:rPr>
                <w:rFonts w:cs="Times New Roman"/>
                <w:sz w:val="22"/>
                <w:szCs w:val="22"/>
              </w:rPr>
              <w:t>10.</w:t>
            </w:r>
          </w:p>
        </w:tc>
        <w:tc>
          <w:tcPr>
            <w:tcW w:w="3343" w:type="dxa"/>
          </w:tcPr>
          <w:p w14:paraId="48AFB35D" w14:textId="77777777" w:rsidR="00420E79" w:rsidRPr="001E5669" w:rsidRDefault="00420E79" w:rsidP="001E25A8">
            <w:pPr>
              <w:spacing w:after="0" w:line="240" w:lineRule="auto"/>
              <w:rPr>
                <w:rFonts w:cs="Times New Roman"/>
                <w:sz w:val="22"/>
                <w:szCs w:val="22"/>
                <w:lang w:val="pt-PT"/>
              </w:rPr>
            </w:pPr>
            <w:r w:rsidRPr="001E5669">
              <w:rPr>
                <w:rFonts w:eastAsia="Calibri"/>
                <w:sz w:val="22"/>
                <w:szCs w:val="22"/>
              </w:rPr>
              <w:t>Skleidžiamos šviesos spalvinės temperatūros keitimas</w:t>
            </w:r>
          </w:p>
        </w:tc>
        <w:tc>
          <w:tcPr>
            <w:tcW w:w="6530" w:type="dxa"/>
          </w:tcPr>
          <w:p w14:paraId="1780CB75" w14:textId="7220E609" w:rsidR="00420E79" w:rsidRPr="00192525" w:rsidRDefault="00420E79" w:rsidP="001B3F77">
            <w:pPr>
              <w:pStyle w:val="Sraopastraipa"/>
              <w:numPr>
                <w:ilvl w:val="0"/>
                <w:numId w:val="2"/>
              </w:numPr>
              <w:spacing w:after="0" w:line="240" w:lineRule="auto"/>
              <w:ind w:left="342"/>
              <w:rPr>
                <w:rFonts w:cs="Times New Roman"/>
                <w:color w:val="000000" w:themeColor="text1"/>
                <w:sz w:val="22"/>
                <w:szCs w:val="22"/>
                <w:lang w:val="pt-PT"/>
              </w:rPr>
            </w:pPr>
            <w:r w:rsidRPr="00192525">
              <w:rPr>
                <w:rFonts w:cs="Times New Roman"/>
                <w:color w:val="000000" w:themeColor="text1"/>
                <w:sz w:val="22"/>
                <w:szCs w:val="22"/>
                <w:lang w:val="pt-PT"/>
              </w:rPr>
              <w:t xml:space="preserve">Reguliuojama ne siauresnėse kaip 3800 – 4750 K ribose; </w:t>
            </w:r>
          </w:p>
          <w:p w14:paraId="430A04B8" w14:textId="2B136C28" w:rsidR="00420E79" w:rsidRPr="001E5669" w:rsidRDefault="00420E79" w:rsidP="001B3F77">
            <w:pPr>
              <w:pStyle w:val="Sraopastraipa"/>
              <w:numPr>
                <w:ilvl w:val="0"/>
                <w:numId w:val="2"/>
              </w:numPr>
              <w:spacing w:after="0" w:line="240" w:lineRule="auto"/>
              <w:ind w:left="342"/>
              <w:rPr>
                <w:rFonts w:cs="Times New Roman"/>
                <w:sz w:val="22"/>
                <w:szCs w:val="22"/>
                <w:lang w:val="pt-PT"/>
              </w:rPr>
            </w:pPr>
            <w:r w:rsidRPr="00192525">
              <w:rPr>
                <w:rFonts w:cs="Times New Roman"/>
                <w:color w:val="000000" w:themeColor="text1"/>
                <w:sz w:val="22"/>
                <w:szCs w:val="22"/>
                <w:lang w:val="pt-PT"/>
              </w:rPr>
              <w:t>Ne mažiau kaip 4 skirtingos spalvinės temperatūros parinktys.</w:t>
            </w:r>
          </w:p>
        </w:tc>
        <w:tc>
          <w:tcPr>
            <w:tcW w:w="4536" w:type="dxa"/>
          </w:tcPr>
          <w:p w14:paraId="7263F00A"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3824C219" w14:textId="77777777" w:rsidTr="00420E79">
        <w:trPr>
          <w:trHeight w:val="377"/>
        </w:trPr>
        <w:tc>
          <w:tcPr>
            <w:tcW w:w="617" w:type="dxa"/>
          </w:tcPr>
          <w:p w14:paraId="22057088" w14:textId="77777777" w:rsidR="00420E79" w:rsidRPr="00D46575" w:rsidRDefault="00420E79" w:rsidP="001E25A8">
            <w:pPr>
              <w:spacing w:after="0"/>
              <w:jc w:val="center"/>
              <w:rPr>
                <w:rFonts w:cs="Times New Roman"/>
                <w:color w:val="FF0000"/>
                <w:sz w:val="22"/>
                <w:szCs w:val="22"/>
              </w:rPr>
            </w:pPr>
            <w:r w:rsidRPr="00715382">
              <w:rPr>
                <w:rFonts w:cs="Times New Roman"/>
                <w:sz w:val="22"/>
                <w:szCs w:val="22"/>
              </w:rPr>
              <w:t>11.</w:t>
            </w:r>
          </w:p>
        </w:tc>
        <w:tc>
          <w:tcPr>
            <w:tcW w:w="3343" w:type="dxa"/>
          </w:tcPr>
          <w:p w14:paraId="45BAE6F9" w14:textId="77777777" w:rsidR="00420E79" w:rsidRPr="00D46575" w:rsidRDefault="00420E79" w:rsidP="001E25A8">
            <w:pPr>
              <w:spacing w:after="0" w:line="240" w:lineRule="auto"/>
              <w:rPr>
                <w:rFonts w:cs="Times New Roman"/>
                <w:color w:val="FF0000"/>
                <w:sz w:val="22"/>
                <w:szCs w:val="22"/>
                <w:lang w:val="pt-PT"/>
              </w:rPr>
            </w:pPr>
            <w:r w:rsidRPr="00FB7977">
              <w:rPr>
                <w:rFonts w:eastAsia="Calibri"/>
                <w:sz w:val="22"/>
                <w:szCs w:val="22"/>
              </w:rPr>
              <w:t>Šviesos diodų darbinis resursas</w:t>
            </w:r>
          </w:p>
        </w:tc>
        <w:tc>
          <w:tcPr>
            <w:tcW w:w="6530" w:type="dxa"/>
          </w:tcPr>
          <w:p w14:paraId="2E3BC8EE" w14:textId="77777777" w:rsidR="00420E79" w:rsidRPr="00D46575" w:rsidRDefault="00420E79" w:rsidP="001E25A8">
            <w:pPr>
              <w:spacing w:after="0" w:line="240" w:lineRule="auto"/>
              <w:rPr>
                <w:rFonts w:cs="Times New Roman"/>
                <w:color w:val="FF0000"/>
                <w:sz w:val="22"/>
                <w:szCs w:val="22"/>
                <w:lang w:val="pt-PT"/>
              </w:rPr>
            </w:pPr>
            <w:r w:rsidRPr="00FB7977">
              <w:rPr>
                <w:rFonts w:eastAsia="Calibri"/>
                <w:sz w:val="22"/>
                <w:szCs w:val="22"/>
              </w:rPr>
              <w:t xml:space="preserve">≥ </w:t>
            </w:r>
            <w:r>
              <w:rPr>
                <w:rFonts w:eastAsia="Calibri"/>
                <w:sz w:val="22"/>
                <w:szCs w:val="22"/>
              </w:rPr>
              <w:t>6</w:t>
            </w:r>
            <w:r w:rsidRPr="00FB7977">
              <w:rPr>
                <w:rFonts w:eastAsia="Calibri"/>
                <w:sz w:val="22"/>
                <w:szCs w:val="22"/>
              </w:rPr>
              <w:t>0 000 valandų</w:t>
            </w:r>
          </w:p>
        </w:tc>
        <w:tc>
          <w:tcPr>
            <w:tcW w:w="4536" w:type="dxa"/>
          </w:tcPr>
          <w:p w14:paraId="46983092"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42BC153E" w14:textId="77777777" w:rsidTr="00420E79">
        <w:trPr>
          <w:trHeight w:val="377"/>
        </w:trPr>
        <w:tc>
          <w:tcPr>
            <w:tcW w:w="617" w:type="dxa"/>
          </w:tcPr>
          <w:p w14:paraId="75371CA9" w14:textId="77777777" w:rsidR="00420E79" w:rsidRPr="00206BBE" w:rsidRDefault="00420E79" w:rsidP="001E25A8">
            <w:pPr>
              <w:spacing w:after="0"/>
              <w:jc w:val="center"/>
              <w:rPr>
                <w:rFonts w:cs="Times New Roman"/>
                <w:sz w:val="22"/>
                <w:szCs w:val="22"/>
              </w:rPr>
            </w:pPr>
            <w:r w:rsidRPr="00206BBE">
              <w:rPr>
                <w:rFonts w:cs="Times New Roman"/>
                <w:sz w:val="22"/>
                <w:szCs w:val="22"/>
              </w:rPr>
              <w:lastRenderedPageBreak/>
              <w:t>12.</w:t>
            </w:r>
          </w:p>
        </w:tc>
        <w:tc>
          <w:tcPr>
            <w:tcW w:w="3343" w:type="dxa"/>
          </w:tcPr>
          <w:p w14:paraId="5E536898" w14:textId="77777777" w:rsidR="00420E79" w:rsidRPr="00206BBE" w:rsidRDefault="00420E79" w:rsidP="001E25A8">
            <w:pPr>
              <w:spacing w:after="0" w:line="240" w:lineRule="auto"/>
              <w:rPr>
                <w:rFonts w:cs="Times New Roman"/>
                <w:sz w:val="22"/>
                <w:szCs w:val="22"/>
                <w:lang w:val="pt-PT"/>
              </w:rPr>
            </w:pPr>
            <w:r w:rsidRPr="00206BBE">
              <w:rPr>
                <w:rFonts w:eastAsia="Calibri"/>
                <w:sz w:val="22"/>
                <w:szCs w:val="22"/>
              </w:rPr>
              <w:t>Sterilus operacinės lempos modulio skleidžiamo šviesos srauto krypties reguliavimas</w:t>
            </w:r>
          </w:p>
        </w:tc>
        <w:tc>
          <w:tcPr>
            <w:tcW w:w="6530" w:type="dxa"/>
          </w:tcPr>
          <w:p w14:paraId="40E069F5" w14:textId="77777777" w:rsidR="00420E79" w:rsidRDefault="00420E79" w:rsidP="001B3F77">
            <w:pPr>
              <w:pStyle w:val="Sraopastraipa"/>
              <w:numPr>
                <w:ilvl w:val="0"/>
                <w:numId w:val="3"/>
              </w:numPr>
              <w:spacing w:after="0" w:line="276" w:lineRule="auto"/>
              <w:ind w:left="321" w:hanging="321"/>
              <w:rPr>
                <w:rFonts w:eastAsia="Calibri"/>
                <w:sz w:val="22"/>
                <w:szCs w:val="22"/>
              </w:rPr>
            </w:pPr>
            <w:r w:rsidRPr="00FB7977">
              <w:rPr>
                <w:rFonts w:eastAsia="Calibri"/>
                <w:sz w:val="22"/>
                <w:szCs w:val="22"/>
              </w:rPr>
              <w:t>Reguliuojama nuimamos konstrukcijos, sterilizuojama rankena;</w:t>
            </w:r>
          </w:p>
          <w:p w14:paraId="7C4DB491" w14:textId="77777777" w:rsidR="00420E79" w:rsidRPr="00206BBE" w:rsidRDefault="00420E79" w:rsidP="001B3F77">
            <w:pPr>
              <w:pStyle w:val="Sraopastraipa"/>
              <w:numPr>
                <w:ilvl w:val="0"/>
                <w:numId w:val="3"/>
              </w:numPr>
              <w:spacing w:after="0" w:line="276" w:lineRule="auto"/>
              <w:ind w:left="321" w:hanging="321"/>
              <w:rPr>
                <w:rFonts w:eastAsia="Calibri"/>
                <w:sz w:val="22"/>
                <w:szCs w:val="22"/>
              </w:rPr>
            </w:pPr>
            <w:r w:rsidRPr="00206BBE">
              <w:rPr>
                <w:rFonts w:eastAsia="Calibri"/>
                <w:sz w:val="22"/>
                <w:szCs w:val="22"/>
              </w:rPr>
              <w:t>Kiekvienam operacinės lempos moduliui pateikiama po 3 vnt. rankenų (operacinei lempai – viso 6 vnt.).</w:t>
            </w:r>
          </w:p>
        </w:tc>
        <w:tc>
          <w:tcPr>
            <w:tcW w:w="4536" w:type="dxa"/>
          </w:tcPr>
          <w:p w14:paraId="4C151357"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37C777FD" w14:textId="77777777" w:rsidTr="00420E79">
        <w:trPr>
          <w:trHeight w:val="1349"/>
        </w:trPr>
        <w:tc>
          <w:tcPr>
            <w:tcW w:w="617" w:type="dxa"/>
          </w:tcPr>
          <w:p w14:paraId="4487C8A9" w14:textId="77777777" w:rsidR="00420E79" w:rsidRPr="00206BBE" w:rsidRDefault="00420E79" w:rsidP="001E25A8">
            <w:pPr>
              <w:spacing w:after="0"/>
              <w:jc w:val="center"/>
              <w:rPr>
                <w:rFonts w:cs="Times New Roman"/>
                <w:sz w:val="22"/>
                <w:szCs w:val="22"/>
              </w:rPr>
            </w:pPr>
            <w:r w:rsidRPr="00206BBE">
              <w:rPr>
                <w:rFonts w:cs="Times New Roman"/>
                <w:sz w:val="22"/>
                <w:szCs w:val="22"/>
              </w:rPr>
              <w:t>13.</w:t>
            </w:r>
          </w:p>
        </w:tc>
        <w:tc>
          <w:tcPr>
            <w:tcW w:w="3343" w:type="dxa"/>
          </w:tcPr>
          <w:p w14:paraId="2829CCC5" w14:textId="77777777" w:rsidR="00420E79" w:rsidRPr="0005684A" w:rsidRDefault="00420E79" w:rsidP="001E25A8">
            <w:pPr>
              <w:spacing w:after="0" w:line="240" w:lineRule="auto"/>
              <w:rPr>
                <w:rFonts w:cs="Times New Roman"/>
                <w:sz w:val="22"/>
                <w:szCs w:val="22"/>
              </w:rPr>
            </w:pPr>
            <w:r w:rsidRPr="0005684A">
              <w:rPr>
                <w:rFonts w:cs="Times New Roman"/>
                <w:sz w:val="22"/>
                <w:szCs w:val="22"/>
              </w:rPr>
              <w:t xml:space="preserve">Galimybė sterilia lempos rankena (arba rankena ir kitais jos elementais) keisti operacinės lempos </w:t>
            </w:r>
            <w:r w:rsidRPr="0005684A">
              <w:rPr>
                <w:rFonts w:cs="Times New Roman"/>
                <w:color w:val="000000" w:themeColor="text1"/>
                <w:sz w:val="22"/>
                <w:szCs w:val="22"/>
              </w:rPr>
              <w:t xml:space="preserve">apšvietos intensyvumą ir/arba apšvietimo lauko diametrą </w:t>
            </w:r>
          </w:p>
        </w:tc>
        <w:tc>
          <w:tcPr>
            <w:tcW w:w="6530" w:type="dxa"/>
          </w:tcPr>
          <w:p w14:paraId="66A15F15" w14:textId="77777777" w:rsidR="00420E79" w:rsidRPr="00206BBE" w:rsidRDefault="00420E79" w:rsidP="001E25A8">
            <w:pPr>
              <w:spacing w:after="0" w:line="240" w:lineRule="auto"/>
              <w:rPr>
                <w:rFonts w:cs="Times New Roman"/>
                <w:sz w:val="22"/>
                <w:szCs w:val="22"/>
              </w:rPr>
            </w:pPr>
            <w:r w:rsidRPr="00206BBE">
              <w:rPr>
                <w:rFonts w:cs="Times New Roman"/>
                <w:sz w:val="22"/>
                <w:szCs w:val="22"/>
              </w:rPr>
              <w:t>Būtina</w:t>
            </w:r>
          </w:p>
        </w:tc>
        <w:tc>
          <w:tcPr>
            <w:tcW w:w="4536" w:type="dxa"/>
          </w:tcPr>
          <w:p w14:paraId="57C98756" w14:textId="77777777" w:rsidR="00420E79" w:rsidRPr="00206BBE" w:rsidRDefault="00420E79" w:rsidP="001E25A8">
            <w:pPr>
              <w:spacing w:after="0" w:line="240" w:lineRule="auto"/>
              <w:rPr>
                <w:rFonts w:cs="Times New Roman"/>
                <w:color w:val="FF0000"/>
                <w:sz w:val="22"/>
                <w:szCs w:val="22"/>
              </w:rPr>
            </w:pPr>
          </w:p>
        </w:tc>
      </w:tr>
      <w:tr w:rsidR="00420E79" w:rsidRPr="00D46575" w14:paraId="3D296AC1" w14:textId="77777777" w:rsidTr="00420E79">
        <w:trPr>
          <w:trHeight w:val="1349"/>
        </w:trPr>
        <w:tc>
          <w:tcPr>
            <w:tcW w:w="617" w:type="dxa"/>
          </w:tcPr>
          <w:p w14:paraId="7A52E51F" w14:textId="77777777" w:rsidR="00420E79" w:rsidRPr="00206BBE" w:rsidRDefault="00420E79" w:rsidP="001E25A8">
            <w:pPr>
              <w:spacing w:after="0"/>
              <w:jc w:val="center"/>
              <w:rPr>
                <w:rFonts w:cs="Times New Roman"/>
                <w:sz w:val="22"/>
                <w:szCs w:val="22"/>
              </w:rPr>
            </w:pPr>
            <w:r w:rsidRPr="00206BBE">
              <w:rPr>
                <w:rFonts w:cs="Times New Roman"/>
                <w:sz w:val="22"/>
                <w:szCs w:val="22"/>
              </w:rPr>
              <w:t>14.</w:t>
            </w:r>
          </w:p>
        </w:tc>
        <w:tc>
          <w:tcPr>
            <w:tcW w:w="3343" w:type="dxa"/>
          </w:tcPr>
          <w:p w14:paraId="592CC9A6" w14:textId="77777777" w:rsidR="00420E79" w:rsidRPr="00894483" w:rsidRDefault="00420E79" w:rsidP="001E25A8">
            <w:pPr>
              <w:spacing w:after="0" w:line="240" w:lineRule="auto"/>
              <w:rPr>
                <w:rFonts w:cs="Times New Roman"/>
                <w:sz w:val="22"/>
                <w:szCs w:val="22"/>
              </w:rPr>
            </w:pPr>
            <w:r w:rsidRPr="00894483">
              <w:rPr>
                <w:rFonts w:eastAsia="Calibri"/>
                <w:sz w:val="22"/>
                <w:szCs w:val="22"/>
              </w:rPr>
              <w:t>Operacinės lempos modulio („kupolo“)</w:t>
            </w:r>
            <w:r w:rsidRPr="00894483">
              <w:rPr>
                <w:rFonts w:cs="Times New Roman"/>
                <w:sz w:val="22"/>
                <w:szCs w:val="22"/>
              </w:rPr>
              <w:t xml:space="preserve"> valdymo pultas </w:t>
            </w:r>
          </w:p>
        </w:tc>
        <w:tc>
          <w:tcPr>
            <w:tcW w:w="6530" w:type="dxa"/>
          </w:tcPr>
          <w:p w14:paraId="2640DB05" w14:textId="1CC4348F" w:rsidR="00420E79" w:rsidRPr="00894483" w:rsidRDefault="00420E79" w:rsidP="001E25A8">
            <w:pPr>
              <w:spacing w:after="0" w:line="240" w:lineRule="auto"/>
              <w:rPr>
                <w:rFonts w:cs="Times New Roman"/>
                <w:sz w:val="22"/>
                <w:szCs w:val="22"/>
              </w:rPr>
            </w:pPr>
            <w:r w:rsidRPr="0005684A">
              <w:rPr>
                <w:rFonts w:eastAsia="Calibri"/>
                <w:color w:val="000000" w:themeColor="text1"/>
                <w:sz w:val="22"/>
                <w:szCs w:val="22"/>
              </w:rPr>
              <w:t xml:space="preserve">Operacinė lempa </w:t>
            </w:r>
            <w:r w:rsidRPr="0005684A">
              <w:rPr>
                <w:rFonts w:cs="Times New Roman"/>
                <w:color w:val="000000" w:themeColor="text1"/>
                <w:sz w:val="22"/>
                <w:szCs w:val="22"/>
              </w:rPr>
              <w:t xml:space="preserve">valdoma valdymo pultu, sumontuotu ant </w:t>
            </w:r>
            <w:r w:rsidRPr="0005684A">
              <w:rPr>
                <w:rFonts w:eastAsia="Calibri"/>
                <w:color w:val="000000" w:themeColor="text1"/>
                <w:sz w:val="22"/>
                <w:szCs w:val="22"/>
              </w:rPr>
              <w:t>modulį („kupolą“)</w:t>
            </w:r>
            <w:r w:rsidRPr="0005684A">
              <w:rPr>
                <w:rFonts w:cs="Times New Roman"/>
                <w:color w:val="000000" w:themeColor="text1"/>
                <w:sz w:val="22"/>
                <w:szCs w:val="22"/>
              </w:rPr>
              <w:t xml:space="preserve"> laikančios konstrukcijos (arba sumontuotu ant pačio operacinės lempos modulio („kupolo“)) </w:t>
            </w:r>
          </w:p>
        </w:tc>
        <w:tc>
          <w:tcPr>
            <w:tcW w:w="4536" w:type="dxa"/>
          </w:tcPr>
          <w:p w14:paraId="211F1002" w14:textId="77777777" w:rsidR="00420E79" w:rsidRPr="00206BBE" w:rsidRDefault="00420E79" w:rsidP="001E25A8">
            <w:pPr>
              <w:spacing w:after="0" w:line="240" w:lineRule="auto"/>
              <w:rPr>
                <w:rFonts w:cs="Times New Roman"/>
                <w:color w:val="FF0000"/>
                <w:sz w:val="22"/>
                <w:szCs w:val="22"/>
              </w:rPr>
            </w:pPr>
          </w:p>
        </w:tc>
      </w:tr>
      <w:tr w:rsidR="00420E79" w:rsidRPr="00D46575" w14:paraId="3E8E6300" w14:textId="77777777" w:rsidTr="00420E79">
        <w:trPr>
          <w:trHeight w:val="1070"/>
        </w:trPr>
        <w:tc>
          <w:tcPr>
            <w:tcW w:w="617" w:type="dxa"/>
          </w:tcPr>
          <w:p w14:paraId="78F1342B" w14:textId="77777777" w:rsidR="00420E79" w:rsidRPr="00894483" w:rsidRDefault="00420E79" w:rsidP="001E25A8">
            <w:pPr>
              <w:spacing w:after="0"/>
              <w:jc w:val="center"/>
              <w:rPr>
                <w:rFonts w:cs="Times New Roman"/>
                <w:sz w:val="22"/>
                <w:szCs w:val="22"/>
              </w:rPr>
            </w:pPr>
            <w:r w:rsidRPr="00894483">
              <w:rPr>
                <w:rFonts w:cs="Times New Roman"/>
                <w:sz w:val="22"/>
                <w:szCs w:val="22"/>
              </w:rPr>
              <w:t>15.</w:t>
            </w:r>
          </w:p>
        </w:tc>
        <w:tc>
          <w:tcPr>
            <w:tcW w:w="3343" w:type="dxa"/>
          </w:tcPr>
          <w:p w14:paraId="586B4F74" w14:textId="77777777" w:rsidR="00420E79" w:rsidRPr="00E76FFD" w:rsidRDefault="00420E79" w:rsidP="001E25A8">
            <w:pPr>
              <w:spacing w:after="0" w:line="240" w:lineRule="auto"/>
              <w:rPr>
                <w:rFonts w:cs="Times New Roman"/>
                <w:sz w:val="22"/>
                <w:szCs w:val="22"/>
                <w:lang w:val="pt-PT"/>
              </w:rPr>
            </w:pPr>
            <w:r w:rsidRPr="00E76FFD">
              <w:rPr>
                <w:rFonts w:eastAsia="Calibri"/>
                <w:sz w:val="22"/>
                <w:szCs w:val="22"/>
              </w:rPr>
              <w:t xml:space="preserve">Operacinės lempos </w:t>
            </w:r>
            <w:r w:rsidRPr="00E76FFD">
              <w:rPr>
                <w:rFonts w:cs="Times New Roman"/>
                <w:sz w:val="22"/>
                <w:szCs w:val="22"/>
                <w:lang w:val="pt-PT"/>
              </w:rPr>
              <w:t>sinchronizacijos funkcija</w:t>
            </w:r>
          </w:p>
        </w:tc>
        <w:tc>
          <w:tcPr>
            <w:tcW w:w="6530" w:type="dxa"/>
          </w:tcPr>
          <w:p w14:paraId="27D3FC78" w14:textId="77777777" w:rsidR="00420E79" w:rsidRPr="00E76FFD" w:rsidRDefault="00420E79" w:rsidP="001E25A8">
            <w:pPr>
              <w:spacing w:after="0" w:line="240" w:lineRule="auto"/>
              <w:rPr>
                <w:rFonts w:cs="Times New Roman"/>
                <w:sz w:val="22"/>
                <w:szCs w:val="22"/>
                <w:lang w:val="pt-PT"/>
              </w:rPr>
            </w:pPr>
            <w:r w:rsidRPr="00E76FFD">
              <w:rPr>
                <w:rFonts w:cs="Times New Roman"/>
                <w:sz w:val="22"/>
                <w:szCs w:val="22"/>
                <w:lang w:val="pt-PT"/>
              </w:rPr>
              <w:t xml:space="preserve">Galimybė keičiant vieno </w:t>
            </w:r>
            <w:r w:rsidRPr="00E76FFD">
              <w:rPr>
                <w:rFonts w:eastAsia="Calibri"/>
                <w:sz w:val="22"/>
                <w:szCs w:val="22"/>
              </w:rPr>
              <w:t>operacinės lempos modulio („kupolo“)</w:t>
            </w:r>
            <w:r w:rsidRPr="00E76FFD">
              <w:rPr>
                <w:rFonts w:cs="Times New Roman"/>
                <w:sz w:val="22"/>
                <w:szCs w:val="22"/>
              </w:rPr>
              <w:t xml:space="preserve"> </w:t>
            </w:r>
            <w:r w:rsidRPr="00E76FFD">
              <w:rPr>
                <w:rFonts w:cs="Times New Roman"/>
                <w:sz w:val="22"/>
                <w:szCs w:val="22"/>
                <w:lang w:val="pt-PT"/>
              </w:rPr>
              <w:t xml:space="preserve">spalvinę temperatūrą ar apšvietos intensyvumą automatiškai pakeisti ir kito </w:t>
            </w:r>
            <w:r w:rsidRPr="00E76FFD">
              <w:rPr>
                <w:rFonts w:eastAsia="Calibri"/>
                <w:sz w:val="22"/>
                <w:szCs w:val="22"/>
              </w:rPr>
              <w:t>operacinės lempos modulio („kupolo“)</w:t>
            </w:r>
            <w:r w:rsidRPr="00E76FFD">
              <w:rPr>
                <w:rFonts w:cs="Times New Roman"/>
                <w:sz w:val="22"/>
                <w:szCs w:val="22"/>
                <w:lang w:val="pt-PT"/>
              </w:rPr>
              <w:t xml:space="preserve"> atitinkamą parametrą.</w:t>
            </w:r>
          </w:p>
        </w:tc>
        <w:tc>
          <w:tcPr>
            <w:tcW w:w="4536" w:type="dxa"/>
          </w:tcPr>
          <w:p w14:paraId="0A894D95"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5F264426" w14:textId="77777777" w:rsidTr="00420E79">
        <w:trPr>
          <w:trHeight w:val="3311"/>
        </w:trPr>
        <w:tc>
          <w:tcPr>
            <w:tcW w:w="617" w:type="dxa"/>
          </w:tcPr>
          <w:p w14:paraId="3F626E98" w14:textId="40C2487B" w:rsidR="00420E79" w:rsidRPr="00E76FFD" w:rsidRDefault="00420E79" w:rsidP="001E25A8">
            <w:pPr>
              <w:spacing w:after="0"/>
              <w:jc w:val="center"/>
              <w:rPr>
                <w:rFonts w:cs="Times New Roman"/>
                <w:sz w:val="22"/>
                <w:szCs w:val="22"/>
              </w:rPr>
            </w:pPr>
            <w:r w:rsidRPr="00E76FFD">
              <w:rPr>
                <w:rFonts w:cs="Times New Roman"/>
                <w:sz w:val="22"/>
                <w:szCs w:val="22"/>
              </w:rPr>
              <w:t>1</w:t>
            </w:r>
            <w:r>
              <w:rPr>
                <w:rFonts w:cs="Times New Roman"/>
                <w:sz w:val="22"/>
                <w:szCs w:val="22"/>
              </w:rPr>
              <w:t>6</w:t>
            </w:r>
            <w:r w:rsidRPr="00E76FFD">
              <w:rPr>
                <w:rFonts w:cs="Times New Roman"/>
                <w:sz w:val="22"/>
                <w:szCs w:val="22"/>
              </w:rPr>
              <w:t>.</w:t>
            </w:r>
          </w:p>
        </w:tc>
        <w:tc>
          <w:tcPr>
            <w:tcW w:w="3343" w:type="dxa"/>
          </w:tcPr>
          <w:p w14:paraId="3E399303" w14:textId="77777777" w:rsidR="00420E79" w:rsidRPr="00E76FFD" w:rsidRDefault="00420E79" w:rsidP="001E25A8">
            <w:pPr>
              <w:spacing w:after="0" w:line="240" w:lineRule="auto"/>
              <w:rPr>
                <w:rFonts w:cs="Times New Roman"/>
                <w:sz w:val="22"/>
                <w:szCs w:val="22"/>
                <w:lang w:val="pt-PT"/>
              </w:rPr>
            </w:pPr>
            <w:r w:rsidRPr="00E76FFD">
              <w:rPr>
                <w:rFonts w:cs="Times New Roman"/>
                <w:sz w:val="22"/>
                <w:szCs w:val="22"/>
              </w:rPr>
              <w:t>Operacinės lempos tvirtinimas</w:t>
            </w:r>
          </w:p>
        </w:tc>
        <w:tc>
          <w:tcPr>
            <w:tcW w:w="6530" w:type="dxa"/>
          </w:tcPr>
          <w:p w14:paraId="41C9B31B" w14:textId="77777777" w:rsidR="00420E79" w:rsidRPr="00F422F9" w:rsidRDefault="00420E79" w:rsidP="001B3F77">
            <w:pPr>
              <w:pStyle w:val="Sraopastraipa"/>
              <w:numPr>
                <w:ilvl w:val="0"/>
                <w:numId w:val="4"/>
              </w:numPr>
              <w:spacing w:after="0" w:line="240" w:lineRule="auto"/>
              <w:ind w:left="342"/>
              <w:rPr>
                <w:rFonts w:cs="Times New Roman"/>
                <w:sz w:val="22"/>
                <w:szCs w:val="22"/>
                <w:lang w:val="pt-PT"/>
              </w:rPr>
            </w:pPr>
            <w:r w:rsidRPr="00F422F9">
              <w:rPr>
                <w:rFonts w:cs="Times New Roman"/>
                <w:sz w:val="22"/>
                <w:szCs w:val="22"/>
                <w:lang w:val="pt-PT"/>
              </w:rPr>
              <w:t xml:space="preserve">Operacinė lempa turi būti su jos tvirtinimui prie lubų optimaliai parinktais konstrukciniais elementais pagal lubų tipą ir patalpos bendrą aukštį. </w:t>
            </w:r>
            <w:r w:rsidRPr="00F422F9">
              <w:rPr>
                <w:rFonts w:cs="Times New Roman"/>
                <w:b/>
                <w:bCs/>
                <w:i/>
                <w:iCs/>
                <w:sz w:val="22"/>
                <w:szCs w:val="22"/>
                <w:lang w:val="pt-PT"/>
              </w:rPr>
              <w:t>Būtinas atitinkamas tiekėjo patvirtinimas.</w:t>
            </w:r>
            <w:r w:rsidRPr="00F422F9">
              <w:rPr>
                <w:rFonts w:cs="Times New Roman"/>
                <w:sz w:val="22"/>
                <w:szCs w:val="22"/>
                <w:lang w:val="pt-PT"/>
              </w:rPr>
              <w:t xml:space="preserve"> (</w:t>
            </w:r>
            <w:r w:rsidRPr="00F422F9">
              <w:rPr>
                <w:rFonts w:cs="Times New Roman"/>
                <w:i/>
                <w:iCs/>
                <w:sz w:val="22"/>
                <w:szCs w:val="22"/>
                <w:lang w:val="pt-PT"/>
              </w:rPr>
              <w:t>Pastaba: Informacija apie operacinių patalpų lubų tipą bei patalpų aukštį bus pateikti operacinių lempų užsakymo metu);</w:t>
            </w:r>
          </w:p>
          <w:p w14:paraId="71E8E48D" w14:textId="77777777" w:rsidR="00420E79" w:rsidRPr="00F422F9" w:rsidRDefault="00420E79" w:rsidP="001B3F77">
            <w:pPr>
              <w:pStyle w:val="Sraopastraipa"/>
              <w:numPr>
                <w:ilvl w:val="0"/>
                <w:numId w:val="4"/>
              </w:numPr>
              <w:spacing w:after="0" w:line="240" w:lineRule="auto"/>
              <w:ind w:left="342"/>
              <w:rPr>
                <w:rFonts w:cs="Times New Roman"/>
                <w:sz w:val="22"/>
                <w:szCs w:val="22"/>
                <w:lang w:val="pt-PT"/>
              </w:rPr>
            </w:pPr>
            <w:r w:rsidRPr="00F422F9">
              <w:rPr>
                <w:rFonts w:cs="Times New Roman"/>
                <w:sz w:val="22"/>
                <w:szCs w:val="22"/>
                <w:lang w:val="pt-PT"/>
              </w:rPr>
              <w:t xml:space="preserve">Operacinė lempa turi būti pritaikyta patalpoms, kurioje bus instaluojama, aukščiui. </w:t>
            </w:r>
            <w:r w:rsidRPr="00F422F9">
              <w:rPr>
                <w:rFonts w:cs="Times New Roman"/>
                <w:b/>
                <w:bCs/>
                <w:i/>
                <w:iCs/>
                <w:sz w:val="22"/>
                <w:szCs w:val="22"/>
                <w:lang w:val="pt-PT"/>
              </w:rPr>
              <w:t>Būtinas atitinkamas tiekėjo patvirtinimas</w:t>
            </w:r>
            <w:r>
              <w:rPr>
                <w:rFonts w:cs="Times New Roman"/>
                <w:b/>
                <w:bCs/>
                <w:i/>
                <w:iCs/>
                <w:sz w:val="22"/>
                <w:szCs w:val="22"/>
                <w:lang w:val="pt-PT"/>
              </w:rPr>
              <w:t>;</w:t>
            </w:r>
          </w:p>
          <w:p w14:paraId="0E94FBF2" w14:textId="77777777" w:rsidR="00420E79" w:rsidRPr="00F422F9" w:rsidRDefault="00420E79" w:rsidP="001B3F77">
            <w:pPr>
              <w:pStyle w:val="Sraopastraipa"/>
              <w:numPr>
                <w:ilvl w:val="0"/>
                <w:numId w:val="4"/>
              </w:numPr>
              <w:spacing w:after="0" w:line="240" w:lineRule="auto"/>
              <w:ind w:left="342"/>
              <w:rPr>
                <w:rFonts w:cs="Times New Roman"/>
                <w:sz w:val="22"/>
                <w:szCs w:val="22"/>
                <w:lang w:val="pt-PT"/>
              </w:rPr>
            </w:pPr>
            <w:r w:rsidRPr="00F422F9">
              <w:rPr>
                <w:rFonts w:cs="Times New Roman"/>
                <w:sz w:val="22"/>
                <w:szCs w:val="22"/>
                <w:lang w:val="pt-PT"/>
              </w:rPr>
              <w:t xml:space="preserve">Atsiradus būtinybei operacinę lempą </w:t>
            </w:r>
            <w:r>
              <w:rPr>
                <w:rFonts w:cs="Times New Roman"/>
                <w:sz w:val="22"/>
                <w:szCs w:val="22"/>
                <w:lang w:val="pt-PT"/>
              </w:rPr>
              <w:t xml:space="preserve">galima </w:t>
            </w:r>
            <w:r w:rsidRPr="00F422F9">
              <w:rPr>
                <w:rFonts w:cs="Times New Roman"/>
                <w:sz w:val="22"/>
                <w:szCs w:val="22"/>
                <w:lang w:val="pt-PT"/>
              </w:rPr>
              <w:t xml:space="preserve">tvirtinti kiaurai perdangą, </w:t>
            </w:r>
            <w:r>
              <w:rPr>
                <w:rFonts w:cs="Times New Roman"/>
                <w:sz w:val="22"/>
                <w:szCs w:val="22"/>
                <w:lang w:val="pt-PT"/>
              </w:rPr>
              <w:t xml:space="preserve">tačiau </w:t>
            </w:r>
            <w:r w:rsidRPr="00F422F9">
              <w:rPr>
                <w:rFonts w:cs="Times New Roman"/>
                <w:sz w:val="22"/>
                <w:szCs w:val="22"/>
                <w:lang w:val="pt-PT"/>
              </w:rPr>
              <w:t>tiekėjas įsipareigoja atstatyti patalpų stovį į pradinį</w:t>
            </w:r>
            <w:r>
              <w:rPr>
                <w:rFonts w:cs="Times New Roman"/>
                <w:sz w:val="22"/>
                <w:szCs w:val="22"/>
                <w:lang w:val="pt-PT"/>
              </w:rPr>
              <w:t>.</w:t>
            </w:r>
            <w:r>
              <w:t xml:space="preserve"> </w:t>
            </w:r>
            <w:r w:rsidRPr="00F422F9">
              <w:rPr>
                <w:rFonts w:cs="Times New Roman"/>
                <w:b/>
                <w:bCs/>
                <w:i/>
                <w:iCs/>
                <w:sz w:val="22"/>
                <w:szCs w:val="22"/>
                <w:lang w:val="pt-PT"/>
              </w:rPr>
              <w:t>Būtinas atitinkamas tiekėjo patvirtinimas.</w:t>
            </w:r>
          </w:p>
        </w:tc>
        <w:tc>
          <w:tcPr>
            <w:tcW w:w="4536" w:type="dxa"/>
          </w:tcPr>
          <w:p w14:paraId="04923D2C" w14:textId="77777777" w:rsidR="00420E79" w:rsidRPr="00D46575" w:rsidRDefault="00420E79" w:rsidP="001E25A8">
            <w:pPr>
              <w:spacing w:after="0" w:line="240" w:lineRule="auto"/>
              <w:rPr>
                <w:rFonts w:cs="Times New Roman"/>
                <w:color w:val="FF0000"/>
                <w:sz w:val="22"/>
                <w:szCs w:val="22"/>
                <w:lang w:val="pt-PT"/>
              </w:rPr>
            </w:pPr>
          </w:p>
        </w:tc>
      </w:tr>
      <w:tr w:rsidR="00420E79" w:rsidRPr="00D46575" w14:paraId="75AA042E" w14:textId="77777777" w:rsidTr="00420E79">
        <w:trPr>
          <w:trHeight w:val="2060"/>
        </w:trPr>
        <w:tc>
          <w:tcPr>
            <w:tcW w:w="617" w:type="dxa"/>
          </w:tcPr>
          <w:p w14:paraId="5A115945" w14:textId="19BB3809" w:rsidR="00420E79" w:rsidRPr="00F422F9" w:rsidRDefault="00420E79" w:rsidP="001E25A8">
            <w:pPr>
              <w:spacing w:after="0"/>
              <w:jc w:val="center"/>
              <w:rPr>
                <w:rFonts w:cs="Times New Roman"/>
                <w:sz w:val="22"/>
                <w:szCs w:val="22"/>
              </w:rPr>
            </w:pPr>
            <w:r w:rsidRPr="00F422F9">
              <w:rPr>
                <w:rFonts w:cs="Times New Roman"/>
                <w:sz w:val="22"/>
                <w:szCs w:val="22"/>
              </w:rPr>
              <w:t>1</w:t>
            </w:r>
            <w:r>
              <w:rPr>
                <w:rFonts w:cs="Times New Roman"/>
                <w:sz w:val="22"/>
                <w:szCs w:val="22"/>
              </w:rPr>
              <w:t>7</w:t>
            </w:r>
            <w:r w:rsidRPr="00F422F9">
              <w:rPr>
                <w:rFonts w:cs="Times New Roman"/>
                <w:sz w:val="22"/>
                <w:szCs w:val="22"/>
              </w:rPr>
              <w:t>.</w:t>
            </w:r>
          </w:p>
        </w:tc>
        <w:tc>
          <w:tcPr>
            <w:tcW w:w="3343" w:type="dxa"/>
          </w:tcPr>
          <w:p w14:paraId="669A8262" w14:textId="77777777" w:rsidR="00420E79" w:rsidRPr="00F422F9" w:rsidRDefault="00420E79" w:rsidP="001E25A8">
            <w:pPr>
              <w:spacing w:after="0" w:line="240" w:lineRule="auto"/>
              <w:rPr>
                <w:rFonts w:cs="Times New Roman"/>
                <w:sz w:val="22"/>
                <w:szCs w:val="22"/>
                <w:lang w:val="pt-PT"/>
              </w:rPr>
            </w:pPr>
            <w:r w:rsidRPr="00F422F9">
              <w:rPr>
                <w:rFonts w:eastAsia="Times New Roman" w:cs="Times New Roman"/>
                <w:bCs/>
                <w:sz w:val="22"/>
                <w:szCs w:val="22"/>
              </w:rPr>
              <w:t>Garantinio aptarnavimo laikotarpis</w:t>
            </w:r>
          </w:p>
        </w:tc>
        <w:tc>
          <w:tcPr>
            <w:tcW w:w="6530" w:type="dxa"/>
          </w:tcPr>
          <w:p w14:paraId="5088CD08" w14:textId="77777777" w:rsidR="00420E79" w:rsidRPr="00F422F9" w:rsidRDefault="00420E79" w:rsidP="001E25A8">
            <w:pPr>
              <w:pStyle w:val="Porat"/>
              <w:tabs>
                <w:tab w:val="left" w:pos="1296"/>
              </w:tabs>
              <w:contextualSpacing/>
              <w:rPr>
                <w:bCs/>
                <w:sz w:val="22"/>
                <w:szCs w:val="22"/>
              </w:rPr>
            </w:pPr>
            <w:r w:rsidRPr="00F422F9">
              <w:rPr>
                <w:bCs/>
                <w:sz w:val="22"/>
                <w:szCs w:val="22"/>
              </w:rPr>
              <w:t xml:space="preserve">Ne mažiau kaip 24 mėnesiai. </w:t>
            </w:r>
          </w:p>
          <w:p w14:paraId="2B2E872C" w14:textId="77777777" w:rsidR="00420E79" w:rsidRPr="00972E9D" w:rsidRDefault="00420E79" w:rsidP="001E25A8">
            <w:pPr>
              <w:spacing w:after="0" w:line="240" w:lineRule="auto"/>
              <w:rPr>
                <w:rFonts w:cs="Times New Roman"/>
                <w:sz w:val="22"/>
                <w:szCs w:val="22"/>
              </w:rPr>
            </w:pPr>
            <w:r w:rsidRPr="00F422F9">
              <w:rPr>
                <w:rFonts w:cs="Times New Roman"/>
                <w:bCs/>
                <w:sz w:val="22"/>
                <w:szCs w:val="22"/>
              </w:rPr>
              <w:t>Garantinio laikotarpio metu garantuojamas nemokamas siūlomų prekių remontas, įskaitant, bet neapsiribojant remontui atlikti reikalingas detales bei medžiagas, techninę apžiūrą bei techninės būklės patikrinimą (gamintojo rekomenduojamu periodiškumu), įskaitant techninei priežiūrai atlikti reikalingas detales ir medžiagas.</w:t>
            </w:r>
          </w:p>
        </w:tc>
        <w:tc>
          <w:tcPr>
            <w:tcW w:w="4536" w:type="dxa"/>
          </w:tcPr>
          <w:p w14:paraId="33045F9A" w14:textId="77777777" w:rsidR="00420E79" w:rsidRPr="00972E9D" w:rsidRDefault="00420E79" w:rsidP="00420E79">
            <w:pPr>
              <w:spacing w:after="0" w:line="240" w:lineRule="auto"/>
              <w:rPr>
                <w:rFonts w:cs="Times New Roman"/>
                <w:color w:val="FF0000"/>
                <w:sz w:val="22"/>
                <w:szCs w:val="22"/>
              </w:rPr>
            </w:pPr>
          </w:p>
        </w:tc>
      </w:tr>
      <w:tr w:rsidR="00420E79" w:rsidRPr="00D46575" w14:paraId="2F45FDB6" w14:textId="77777777" w:rsidTr="00420E79">
        <w:trPr>
          <w:trHeight w:val="1601"/>
        </w:trPr>
        <w:tc>
          <w:tcPr>
            <w:tcW w:w="617" w:type="dxa"/>
          </w:tcPr>
          <w:p w14:paraId="166F54A5" w14:textId="3B9BEB74" w:rsidR="00420E79" w:rsidRPr="00F422F9" w:rsidRDefault="00420E79" w:rsidP="001E25A8">
            <w:pPr>
              <w:spacing w:after="0"/>
              <w:jc w:val="center"/>
              <w:rPr>
                <w:rFonts w:cs="Times New Roman"/>
                <w:sz w:val="22"/>
                <w:szCs w:val="22"/>
              </w:rPr>
            </w:pPr>
            <w:r w:rsidRPr="00F422F9">
              <w:rPr>
                <w:rFonts w:cs="Times New Roman"/>
                <w:sz w:val="22"/>
                <w:szCs w:val="22"/>
              </w:rPr>
              <w:t>1</w:t>
            </w:r>
            <w:r>
              <w:rPr>
                <w:rFonts w:cs="Times New Roman"/>
                <w:sz w:val="22"/>
                <w:szCs w:val="22"/>
              </w:rPr>
              <w:t>8</w:t>
            </w:r>
            <w:r w:rsidRPr="00F422F9">
              <w:rPr>
                <w:rFonts w:cs="Times New Roman"/>
                <w:sz w:val="22"/>
                <w:szCs w:val="22"/>
              </w:rPr>
              <w:t>.</w:t>
            </w:r>
          </w:p>
        </w:tc>
        <w:tc>
          <w:tcPr>
            <w:tcW w:w="3343" w:type="dxa"/>
          </w:tcPr>
          <w:p w14:paraId="480F0233" w14:textId="77777777" w:rsidR="00420E79" w:rsidRPr="00F422F9" w:rsidRDefault="00420E79" w:rsidP="001E25A8">
            <w:pPr>
              <w:spacing w:after="0" w:line="240" w:lineRule="auto"/>
              <w:rPr>
                <w:rFonts w:cs="Times New Roman"/>
                <w:sz w:val="22"/>
                <w:szCs w:val="22"/>
                <w:lang w:val="pt-PT"/>
              </w:rPr>
            </w:pPr>
            <w:r w:rsidRPr="00F422F9">
              <w:rPr>
                <w:rFonts w:cs="Times New Roman"/>
                <w:sz w:val="22"/>
                <w:szCs w:val="22"/>
              </w:rPr>
              <w:t>Įrangos žymėjimas CE ženklu</w:t>
            </w:r>
          </w:p>
        </w:tc>
        <w:tc>
          <w:tcPr>
            <w:tcW w:w="6530" w:type="dxa"/>
          </w:tcPr>
          <w:p w14:paraId="02D44A94" w14:textId="77777777" w:rsidR="00420E79" w:rsidRPr="00F422F9" w:rsidRDefault="00420E79" w:rsidP="001E25A8">
            <w:pPr>
              <w:spacing w:after="0" w:line="240" w:lineRule="auto"/>
              <w:rPr>
                <w:rFonts w:cs="Times New Roman"/>
                <w:sz w:val="22"/>
                <w:szCs w:val="22"/>
              </w:rPr>
            </w:pPr>
            <w:r w:rsidRPr="00F422F9">
              <w:rPr>
                <w:rFonts w:cs="Times New Roman"/>
                <w:sz w:val="22"/>
                <w:szCs w:val="22"/>
              </w:rPr>
              <w:t xml:space="preserve">Būtinas. Kartu su preke būtina pateikti galiojančio paskelbtosios (notifikuotos) įstaigos išduoto CE sertifikato (arba siūlomų prekių gamintojo EB atitikties deklaracijos) pagal Europos Parlamento ir Tarybos reglamentą (ES) 2017/745 dėl medicinos priemonių kopija originalo kalba kartu su vertimu į lietuvių kalbą. </w:t>
            </w:r>
          </w:p>
        </w:tc>
        <w:tc>
          <w:tcPr>
            <w:tcW w:w="4536" w:type="dxa"/>
          </w:tcPr>
          <w:p w14:paraId="253DC065" w14:textId="77777777" w:rsidR="00420E79" w:rsidRPr="00F422F9" w:rsidRDefault="00420E79" w:rsidP="001E25A8">
            <w:pPr>
              <w:spacing w:after="0" w:line="240" w:lineRule="auto"/>
              <w:rPr>
                <w:rFonts w:cs="Times New Roman"/>
                <w:color w:val="FF0000"/>
                <w:sz w:val="22"/>
                <w:szCs w:val="22"/>
              </w:rPr>
            </w:pPr>
          </w:p>
        </w:tc>
      </w:tr>
      <w:tr w:rsidR="00420E79" w:rsidRPr="00D46575" w14:paraId="5DD5E67B" w14:textId="77777777" w:rsidTr="00420E79">
        <w:trPr>
          <w:trHeight w:val="629"/>
        </w:trPr>
        <w:tc>
          <w:tcPr>
            <w:tcW w:w="617" w:type="dxa"/>
          </w:tcPr>
          <w:p w14:paraId="2B230C68" w14:textId="1B6C3D4F" w:rsidR="00420E79" w:rsidRPr="00F422F9" w:rsidRDefault="00420E79" w:rsidP="001E25A8">
            <w:pPr>
              <w:jc w:val="center"/>
              <w:rPr>
                <w:rFonts w:cs="Times New Roman"/>
                <w:sz w:val="22"/>
                <w:szCs w:val="22"/>
              </w:rPr>
            </w:pPr>
            <w:r>
              <w:rPr>
                <w:rFonts w:cs="Times New Roman"/>
                <w:sz w:val="22"/>
                <w:szCs w:val="22"/>
              </w:rPr>
              <w:t>19</w:t>
            </w:r>
            <w:r w:rsidRPr="00F422F9">
              <w:rPr>
                <w:rFonts w:cs="Times New Roman"/>
                <w:sz w:val="22"/>
                <w:szCs w:val="22"/>
              </w:rPr>
              <w:t>.</w:t>
            </w:r>
          </w:p>
        </w:tc>
        <w:tc>
          <w:tcPr>
            <w:tcW w:w="3343" w:type="dxa"/>
          </w:tcPr>
          <w:p w14:paraId="7A9FAAB9" w14:textId="77777777" w:rsidR="00420E79" w:rsidRPr="00F422F9" w:rsidRDefault="00420E79" w:rsidP="001E25A8">
            <w:pPr>
              <w:autoSpaceDE w:val="0"/>
              <w:autoSpaceDN w:val="0"/>
              <w:adjustRightInd w:val="0"/>
              <w:spacing w:after="0" w:line="240" w:lineRule="auto"/>
              <w:rPr>
                <w:rFonts w:cs="Times New Roman"/>
                <w:sz w:val="22"/>
                <w:szCs w:val="22"/>
              </w:rPr>
            </w:pPr>
            <w:r w:rsidRPr="00F422F9">
              <w:rPr>
                <w:rFonts w:cs="Times New Roman"/>
                <w:sz w:val="22"/>
                <w:szCs w:val="22"/>
              </w:rPr>
              <w:t>Kartu su įranga pateikiama:</w:t>
            </w:r>
          </w:p>
        </w:tc>
        <w:tc>
          <w:tcPr>
            <w:tcW w:w="6530" w:type="dxa"/>
          </w:tcPr>
          <w:p w14:paraId="5A657D35" w14:textId="77777777" w:rsidR="00420E79" w:rsidRPr="00F422F9" w:rsidRDefault="00420E79" w:rsidP="001B3F77">
            <w:pPr>
              <w:pStyle w:val="Sraopastraipa"/>
              <w:widowControl w:val="0"/>
              <w:numPr>
                <w:ilvl w:val="0"/>
                <w:numId w:val="1"/>
              </w:numPr>
              <w:suppressAutoHyphens/>
              <w:autoSpaceDE w:val="0"/>
              <w:spacing w:after="0" w:line="276" w:lineRule="auto"/>
              <w:ind w:left="339" w:hanging="339"/>
              <w:contextualSpacing w:val="0"/>
              <w:rPr>
                <w:rFonts w:cs="Times New Roman"/>
                <w:sz w:val="22"/>
                <w:szCs w:val="22"/>
                <w:lang w:val="pt-PT"/>
              </w:rPr>
            </w:pPr>
            <w:r w:rsidRPr="00F422F9">
              <w:rPr>
                <w:rFonts w:cs="Times New Roman"/>
                <w:sz w:val="22"/>
                <w:szCs w:val="22"/>
                <w:lang w:val="pt-PT"/>
              </w:rPr>
              <w:t>Naudojimo instrukcija lietuvių ir anglų kalbomis;</w:t>
            </w:r>
          </w:p>
          <w:p w14:paraId="028139CB" w14:textId="77777777" w:rsidR="00420E79" w:rsidRPr="00F422F9" w:rsidRDefault="00420E79" w:rsidP="001B3F77">
            <w:pPr>
              <w:pStyle w:val="Sraopastraipa"/>
              <w:widowControl w:val="0"/>
              <w:numPr>
                <w:ilvl w:val="0"/>
                <w:numId w:val="1"/>
              </w:numPr>
              <w:suppressAutoHyphens/>
              <w:autoSpaceDE w:val="0"/>
              <w:spacing w:after="0" w:line="276" w:lineRule="auto"/>
              <w:ind w:left="339" w:hanging="339"/>
              <w:contextualSpacing w:val="0"/>
              <w:rPr>
                <w:rFonts w:cs="Times New Roman"/>
                <w:sz w:val="22"/>
                <w:szCs w:val="22"/>
                <w:lang w:val="pt-PT"/>
              </w:rPr>
            </w:pPr>
            <w:r w:rsidRPr="00F422F9">
              <w:rPr>
                <w:rFonts w:cs="Times New Roman"/>
                <w:sz w:val="22"/>
                <w:szCs w:val="22"/>
                <w:lang w:val="pt-PT"/>
              </w:rPr>
              <w:t>Serviso dokumentacija lietuvių arba anglų kalba.</w:t>
            </w:r>
          </w:p>
        </w:tc>
        <w:tc>
          <w:tcPr>
            <w:tcW w:w="4536" w:type="dxa"/>
          </w:tcPr>
          <w:p w14:paraId="3292C490" w14:textId="77777777" w:rsidR="00420E79" w:rsidRPr="00D46575" w:rsidRDefault="00420E79" w:rsidP="001E25A8">
            <w:pPr>
              <w:spacing w:after="0" w:line="240" w:lineRule="auto"/>
              <w:rPr>
                <w:rFonts w:cs="Times New Roman"/>
                <w:color w:val="FF0000"/>
                <w:sz w:val="22"/>
                <w:szCs w:val="22"/>
              </w:rPr>
            </w:pPr>
          </w:p>
        </w:tc>
      </w:tr>
      <w:tr w:rsidR="00420E79" w:rsidRPr="00D46575" w14:paraId="079A7827" w14:textId="77777777" w:rsidTr="00420E79">
        <w:trPr>
          <w:trHeight w:val="1340"/>
        </w:trPr>
        <w:tc>
          <w:tcPr>
            <w:tcW w:w="617" w:type="dxa"/>
          </w:tcPr>
          <w:p w14:paraId="71F7E6A1" w14:textId="0AA420DA" w:rsidR="00420E79" w:rsidRPr="00F422F9" w:rsidRDefault="00420E79" w:rsidP="001E25A8">
            <w:pPr>
              <w:jc w:val="center"/>
              <w:rPr>
                <w:rFonts w:cs="Times New Roman"/>
                <w:sz w:val="22"/>
                <w:szCs w:val="22"/>
              </w:rPr>
            </w:pPr>
            <w:r w:rsidRPr="00F422F9">
              <w:rPr>
                <w:rFonts w:cs="Times New Roman"/>
                <w:sz w:val="22"/>
                <w:szCs w:val="22"/>
              </w:rPr>
              <w:t>2</w:t>
            </w:r>
            <w:r>
              <w:rPr>
                <w:rFonts w:cs="Times New Roman"/>
                <w:sz w:val="22"/>
                <w:szCs w:val="22"/>
              </w:rPr>
              <w:t>0</w:t>
            </w:r>
            <w:r w:rsidRPr="00F422F9">
              <w:rPr>
                <w:rFonts w:cs="Times New Roman"/>
                <w:sz w:val="22"/>
                <w:szCs w:val="22"/>
              </w:rPr>
              <w:t>.</w:t>
            </w:r>
          </w:p>
        </w:tc>
        <w:tc>
          <w:tcPr>
            <w:tcW w:w="3343" w:type="dxa"/>
          </w:tcPr>
          <w:p w14:paraId="4E57A88C" w14:textId="77777777" w:rsidR="00420E79" w:rsidRPr="00F422F9" w:rsidRDefault="00420E79" w:rsidP="001E25A8">
            <w:pPr>
              <w:autoSpaceDE w:val="0"/>
              <w:autoSpaceDN w:val="0"/>
              <w:adjustRightInd w:val="0"/>
              <w:spacing w:after="0" w:line="240" w:lineRule="auto"/>
              <w:rPr>
                <w:rFonts w:cs="Times New Roman"/>
                <w:sz w:val="22"/>
                <w:szCs w:val="22"/>
              </w:rPr>
            </w:pPr>
            <w:r w:rsidRPr="00F422F9">
              <w:rPr>
                <w:rFonts w:cs="Times New Roman"/>
                <w:sz w:val="22"/>
                <w:szCs w:val="22"/>
              </w:rPr>
              <w:t xml:space="preserve">Įrangos pristatymas, iškrovimas, pervežimas į eksploatavimo vietą, sumontavimas, po montavimo likusių įpakavimo medžiagų išvežimas (utilizavimas) </w:t>
            </w:r>
          </w:p>
        </w:tc>
        <w:tc>
          <w:tcPr>
            <w:tcW w:w="6530" w:type="dxa"/>
          </w:tcPr>
          <w:p w14:paraId="13E9D8A8" w14:textId="77777777" w:rsidR="00420E79" w:rsidRPr="00F422F9" w:rsidRDefault="00420E79" w:rsidP="001E25A8">
            <w:pPr>
              <w:autoSpaceDE w:val="0"/>
              <w:autoSpaceDN w:val="0"/>
              <w:adjustRightInd w:val="0"/>
              <w:spacing w:after="0" w:line="240" w:lineRule="auto"/>
              <w:rPr>
                <w:rFonts w:cs="Times New Roman"/>
                <w:sz w:val="22"/>
                <w:szCs w:val="22"/>
              </w:rPr>
            </w:pPr>
            <w:r w:rsidRPr="00F422F9">
              <w:rPr>
                <w:rFonts w:cs="Times New Roman"/>
                <w:sz w:val="22"/>
                <w:szCs w:val="22"/>
              </w:rPr>
              <w:t>Įrangos pristatymo, iškrovimo, pervežimo į eksploatavimo vietą, sumontavimo, po montavimo likusių įpakavimo medžiagų išvežimo (utilizavimo) išlaidos įskaičiuotos į pasiūlymo kainą.</w:t>
            </w:r>
          </w:p>
        </w:tc>
        <w:tc>
          <w:tcPr>
            <w:tcW w:w="4536" w:type="dxa"/>
          </w:tcPr>
          <w:p w14:paraId="0D2957B0" w14:textId="77777777" w:rsidR="00420E79" w:rsidRPr="00D46575" w:rsidRDefault="00420E79" w:rsidP="001E25A8">
            <w:pPr>
              <w:spacing w:after="0" w:line="240" w:lineRule="auto"/>
              <w:rPr>
                <w:rFonts w:cs="Times New Roman"/>
                <w:color w:val="FF0000"/>
                <w:sz w:val="22"/>
                <w:szCs w:val="22"/>
              </w:rPr>
            </w:pPr>
          </w:p>
        </w:tc>
      </w:tr>
      <w:tr w:rsidR="00420E79" w:rsidRPr="00D46575" w14:paraId="0EF2FE27" w14:textId="77777777" w:rsidTr="00420E79">
        <w:trPr>
          <w:trHeight w:val="620"/>
        </w:trPr>
        <w:tc>
          <w:tcPr>
            <w:tcW w:w="617" w:type="dxa"/>
          </w:tcPr>
          <w:p w14:paraId="4C0013E9" w14:textId="1DF31412" w:rsidR="00420E79" w:rsidRPr="00F422F9" w:rsidRDefault="00420E79" w:rsidP="001E25A8">
            <w:pPr>
              <w:jc w:val="center"/>
              <w:rPr>
                <w:rFonts w:cs="Times New Roman"/>
                <w:sz w:val="22"/>
                <w:szCs w:val="22"/>
              </w:rPr>
            </w:pPr>
            <w:r w:rsidRPr="00F422F9">
              <w:rPr>
                <w:rFonts w:cs="Times New Roman"/>
                <w:sz w:val="22"/>
                <w:szCs w:val="22"/>
              </w:rPr>
              <w:t>2</w:t>
            </w:r>
            <w:r>
              <w:rPr>
                <w:rFonts w:cs="Times New Roman"/>
                <w:sz w:val="22"/>
                <w:szCs w:val="22"/>
              </w:rPr>
              <w:t>1</w:t>
            </w:r>
            <w:r w:rsidRPr="00F422F9">
              <w:rPr>
                <w:rFonts w:cs="Times New Roman"/>
                <w:sz w:val="22"/>
                <w:szCs w:val="22"/>
              </w:rPr>
              <w:t>.</w:t>
            </w:r>
          </w:p>
        </w:tc>
        <w:tc>
          <w:tcPr>
            <w:tcW w:w="3343" w:type="dxa"/>
          </w:tcPr>
          <w:p w14:paraId="3A089DC6" w14:textId="77777777" w:rsidR="00420E79" w:rsidRPr="00F422F9" w:rsidRDefault="00420E79" w:rsidP="001E25A8">
            <w:pPr>
              <w:autoSpaceDE w:val="0"/>
              <w:autoSpaceDN w:val="0"/>
              <w:adjustRightInd w:val="0"/>
              <w:spacing w:after="0" w:line="240" w:lineRule="auto"/>
              <w:rPr>
                <w:rFonts w:cs="Times New Roman"/>
                <w:sz w:val="22"/>
                <w:szCs w:val="22"/>
              </w:rPr>
            </w:pPr>
            <w:r w:rsidRPr="00F422F9">
              <w:rPr>
                <w:rFonts w:cs="Times New Roman"/>
                <w:sz w:val="22"/>
                <w:szCs w:val="22"/>
              </w:rPr>
              <w:t>Medicininio personalo apmokymas</w:t>
            </w:r>
          </w:p>
        </w:tc>
        <w:tc>
          <w:tcPr>
            <w:tcW w:w="6530" w:type="dxa"/>
          </w:tcPr>
          <w:p w14:paraId="77997D62" w14:textId="77777777" w:rsidR="00420E79" w:rsidRPr="00F422F9" w:rsidRDefault="00420E79" w:rsidP="001E25A8">
            <w:pPr>
              <w:widowControl w:val="0"/>
              <w:suppressAutoHyphens/>
              <w:autoSpaceDE w:val="0"/>
              <w:spacing w:after="0" w:line="276" w:lineRule="auto"/>
              <w:rPr>
                <w:rFonts w:cs="Times New Roman"/>
                <w:sz w:val="22"/>
                <w:szCs w:val="22"/>
                <w:lang w:val="pt-PT"/>
              </w:rPr>
            </w:pPr>
            <w:r w:rsidRPr="00F422F9">
              <w:rPr>
                <w:rFonts w:cs="Times New Roman"/>
                <w:sz w:val="22"/>
                <w:szCs w:val="22"/>
                <w:lang w:val="pt-PT"/>
              </w:rPr>
              <w:t>Medicininio personalo apmokymas naudoti</w:t>
            </w:r>
            <w:r>
              <w:rPr>
                <w:rFonts w:cs="Times New Roman"/>
                <w:sz w:val="22"/>
                <w:szCs w:val="22"/>
                <w:lang w:val="pt-PT"/>
              </w:rPr>
              <w:t>s</w:t>
            </w:r>
            <w:r w:rsidRPr="00F422F9">
              <w:rPr>
                <w:rFonts w:cs="Times New Roman"/>
                <w:sz w:val="22"/>
                <w:szCs w:val="22"/>
                <w:lang w:val="pt-PT"/>
              </w:rPr>
              <w:t xml:space="preserve"> įrang</w:t>
            </w:r>
            <w:r>
              <w:rPr>
                <w:rFonts w:cs="Times New Roman"/>
                <w:sz w:val="22"/>
                <w:szCs w:val="22"/>
                <w:lang w:val="pt-PT"/>
              </w:rPr>
              <w:t>a</w:t>
            </w:r>
            <w:r w:rsidRPr="00F422F9">
              <w:rPr>
                <w:rFonts w:cs="Times New Roman"/>
                <w:sz w:val="22"/>
                <w:szCs w:val="22"/>
                <w:lang w:val="pt-PT"/>
              </w:rPr>
              <w:t xml:space="preserve"> įskaičiuotas į pasiūlymo kainą.</w:t>
            </w:r>
          </w:p>
        </w:tc>
        <w:tc>
          <w:tcPr>
            <w:tcW w:w="4536" w:type="dxa"/>
          </w:tcPr>
          <w:p w14:paraId="566C0B3E" w14:textId="77777777" w:rsidR="00420E79" w:rsidRPr="00D46575" w:rsidRDefault="00420E79" w:rsidP="001E25A8">
            <w:pPr>
              <w:spacing w:after="0" w:line="240" w:lineRule="auto"/>
              <w:rPr>
                <w:rFonts w:cs="Times New Roman"/>
                <w:color w:val="FF0000"/>
                <w:sz w:val="22"/>
                <w:szCs w:val="22"/>
                <w:lang w:val="pt-PT"/>
              </w:rPr>
            </w:pPr>
          </w:p>
        </w:tc>
      </w:tr>
    </w:tbl>
    <w:p w14:paraId="1B0CC6B5" w14:textId="77777777" w:rsidR="001B3F77" w:rsidRPr="00D46575" w:rsidRDefault="001B3F77" w:rsidP="001B3F77">
      <w:pPr>
        <w:rPr>
          <w:color w:val="FF0000"/>
          <w:sz w:val="22"/>
          <w:szCs w:val="22"/>
          <w:lang w:val="pt-PT"/>
        </w:rPr>
      </w:pPr>
    </w:p>
    <w:p w14:paraId="00B15B2B" w14:textId="77777777" w:rsidR="0075607A" w:rsidRPr="001B3F77" w:rsidRDefault="0075607A">
      <w:pPr>
        <w:rPr>
          <w:lang w:val="pt-PT"/>
        </w:rPr>
      </w:pPr>
    </w:p>
    <w:sectPr w:rsidR="0075607A" w:rsidRPr="001B3F77" w:rsidSect="001B3F77">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0683E"/>
    <w:multiLevelType w:val="hybridMultilevel"/>
    <w:tmpl w:val="CB9C93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6948D8"/>
    <w:multiLevelType w:val="hybridMultilevel"/>
    <w:tmpl w:val="0EC84E2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8160D85"/>
    <w:multiLevelType w:val="hybridMultilevel"/>
    <w:tmpl w:val="9A146D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454B90"/>
    <w:multiLevelType w:val="hybridMultilevel"/>
    <w:tmpl w:val="227C6E1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397301">
    <w:abstractNumId w:val="3"/>
  </w:num>
  <w:num w:numId="2" w16cid:durableId="405877360">
    <w:abstractNumId w:val="2"/>
  </w:num>
  <w:num w:numId="3" w16cid:durableId="1045256382">
    <w:abstractNumId w:val="1"/>
  </w:num>
  <w:num w:numId="4" w16cid:durableId="4902982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F77"/>
    <w:rsid w:val="0005684A"/>
    <w:rsid w:val="00192525"/>
    <w:rsid w:val="001B3F77"/>
    <w:rsid w:val="00420E79"/>
    <w:rsid w:val="0075607A"/>
    <w:rsid w:val="00A81F6D"/>
    <w:rsid w:val="00CE12D7"/>
    <w:rsid w:val="00D82C5D"/>
    <w:rsid w:val="00F972AA"/>
    <w:rsid w:val="00FF3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97265"/>
  <w15:chartTrackingRefBased/>
  <w15:docId w15:val="{4AB7F379-8E1D-49AE-88A9-1C1B5D9A6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B3F77"/>
    <w:rPr>
      <w:rFonts w:ascii="Times New Roman" w:hAnsi="Times New Roman"/>
      <w:kern w:val="0"/>
      <w:sz w:val="24"/>
      <w:szCs w:val="24"/>
      <w:lang w:val="lt-LT"/>
      <w14:ligatures w14:val="none"/>
    </w:rPr>
  </w:style>
  <w:style w:type="paragraph" w:styleId="Antrat1">
    <w:name w:val="heading 1"/>
    <w:basedOn w:val="prastasis"/>
    <w:next w:val="prastasis"/>
    <w:link w:val="Antrat1Diagrama"/>
    <w:uiPriority w:val="9"/>
    <w:qFormat/>
    <w:rsid w:val="001B3F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B3F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B3F77"/>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B3F77"/>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B3F77"/>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B3F77"/>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B3F77"/>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B3F77"/>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B3F77"/>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3F77"/>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3F77"/>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3F77"/>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3F77"/>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3F77"/>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3F77"/>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3F77"/>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3F77"/>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3F77"/>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3F7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B3F77"/>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3F77"/>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B3F77"/>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3F77"/>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B3F77"/>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Table of contents numbered,List Paragraph1,Lentele"/>
    <w:basedOn w:val="prastasis"/>
    <w:link w:val="SraopastraipaDiagrama"/>
    <w:uiPriority w:val="34"/>
    <w:qFormat/>
    <w:rsid w:val="001B3F77"/>
    <w:pPr>
      <w:ind w:left="720"/>
      <w:contextualSpacing/>
    </w:pPr>
  </w:style>
  <w:style w:type="character" w:styleId="Rykuspabraukimas">
    <w:name w:val="Intense Emphasis"/>
    <w:basedOn w:val="Numatytasispastraiposriftas"/>
    <w:uiPriority w:val="21"/>
    <w:qFormat/>
    <w:rsid w:val="001B3F77"/>
    <w:rPr>
      <w:i/>
      <w:iCs/>
      <w:color w:val="0F4761" w:themeColor="accent1" w:themeShade="BF"/>
    </w:rPr>
  </w:style>
  <w:style w:type="paragraph" w:styleId="Iskirtacitata">
    <w:name w:val="Intense Quote"/>
    <w:basedOn w:val="prastasis"/>
    <w:next w:val="prastasis"/>
    <w:link w:val="IskirtacitataDiagrama"/>
    <w:uiPriority w:val="30"/>
    <w:qFormat/>
    <w:rsid w:val="001B3F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B3F77"/>
    <w:rPr>
      <w:i/>
      <w:iCs/>
      <w:color w:val="0F4761" w:themeColor="accent1" w:themeShade="BF"/>
    </w:rPr>
  </w:style>
  <w:style w:type="character" w:styleId="Rykinuoroda">
    <w:name w:val="Intense Reference"/>
    <w:basedOn w:val="Numatytasispastraiposriftas"/>
    <w:uiPriority w:val="32"/>
    <w:qFormat/>
    <w:rsid w:val="001B3F77"/>
    <w:rPr>
      <w:b/>
      <w:bCs/>
      <w:smallCaps/>
      <w:color w:val="0F4761" w:themeColor="accent1" w:themeShade="BF"/>
      <w:spacing w:val="5"/>
    </w:rPr>
  </w:style>
  <w:style w:type="paragraph" w:styleId="Porat">
    <w:name w:val="footer"/>
    <w:basedOn w:val="prastasis"/>
    <w:link w:val="PoratDiagrama"/>
    <w:uiPriority w:val="99"/>
    <w:unhideWhenUsed/>
    <w:rsid w:val="001B3F77"/>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B3F77"/>
    <w:rPr>
      <w:rFonts w:ascii="Times New Roman" w:hAnsi="Times New Roman"/>
      <w:kern w:val="0"/>
      <w:sz w:val="24"/>
      <w:szCs w:val="24"/>
      <w:lang w:val="lt-LT"/>
      <w14:ligatures w14:val="none"/>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1B3F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2621</Words>
  <Characters>1495</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Rimvydas Pileckas</dc:creator>
  <cp:keywords/>
  <dc:description/>
  <cp:lastModifiedBy>Dovilė Černiauskienė</cp:lastModifiedBy>
  <cp:revision>3</cp:revision>
  <dcterms:created xsi:type="dcterms:W3CDTF">2025-04-29T08:47:00Z</dcterms:created>
  <dcterms:modified xsi:type="dcterms:W3CDTF">2025-04-29T08:48:00Z</dcterms:modified>
</cp:coreProperties>
</file>