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351AF" w14:textId="77777777" w:rsidR="00565E89" w:rsidRPr="001F255B" w:rsidRDefault="00C20802" w:rsidP="00C20802">
      <w:pPr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</w:rPr>
      </w:pPr>
      <w:r w:rsidRPr="00C20802">
        <w:rPr>
          <w:rFonts w:ascii="Times New Roman" w:eastAsia="Times New Roman" w:hAnsi="Times New Roman" w:cs="Times New Roman"/>
          <w:smallCaps/>
        </w:rPr>
        <w:t xml:space="preserve">REAGENTŲ IR PAPILDOMŲ PRIEMONIŲ GIMDOS </w:t>
      </w:r>
      <w:r w:rsidRPr="001F255B">
        <w:rPr>
          <w:rFonts w:ascii="Times New Roman" w:eastAsia="Times New Roman" w:hAnsi="Times New Roman" w:cs="Times New Roman"/>
          <w:smallCaps/>
          <w:color w:val="000000"/>
        </w:rPr>
        <w:t>KAKLELIO NUOGRANDŲ CITOLOGINIŲ TEPINĖLIŲ RUOŠIMUI IR DAŽYMUI IŠ SKYSTOS TERPĖS KARTU SU AUTOMATIZUOTOS SISTEMOS ĮSIGIJIMU PANAUDOS BŪDU TECHNINĖ SPECIFIKACIJA</w:t>
      </w:r>
    </w:p>
    <w:p w14:paraId="7B816D14" w14:textId="77777777" w:rsidR="00565E89" w:rsidRPr="001F255B" w:rsidRDefault="00565E89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456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2627"/>
        <w:gridCol w:w="6488"/>
        <w:gridCol w:w="4680"/>
      </w:tblGrid>
      <w:tr w:rsidR="00565E89" w:rsidRPr="001F255B" w14:paraId="7B6425F0" w14:textId="77777777" w:rsidTr="00A8172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EA50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Eil.</w:t>
            </w:r>
          </w:p>
          <w:p w14:paraId="687CB95B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BE0A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Parametrai (specifikacija)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4148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0AC0" w14:textId="4A62952D" w:rsidR="00565E89" w:rsidRPr="001F255B" w:rsidRDefault="00A81728" w:rsidP="00A81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1728">
              <w:rPr>
                <w:rFonts w:ascii="Times New Roman" w:eastAsia="Times New Roman" w:hAnsi="Times New Roman" w:cs="Times New Roman"/>
                <w:b/>
                <w:color w:val="000000"/>
              </w:rPr>
              <w:t>Siūlomos parametrų reikšmės</w:t>
            </w:r>
          </w:p>
        </w:tc>
      </w:tr>
      <w:tr w:rsidR="00565E89" w:rsidRPr="001F255B" w14:paraId="3315DE3D" w14:textId="77777777" w:rsidTr="0018144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5F40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E5DB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Gimdos kaklelio nuograndų citologinių tepinėlių ruošimo ir dažymo iš skystos terpės automatizuota sistema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C099" w14:textId="77777777" w:rsidR="007B041F" w:rsidRPr="007B041F" w:rsidRDefault="007B041F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041F">
              <w:rPr>
                <w:rFonts w:ascii="Times New Roman" w:eastAsia="Times New Roman" w:hAnsi="Times New Roman" w:cs="Times New Roman"/>
                <w:color w:val="000000"/>
              </w:rPr>
              <w:t>Išvardinti sistemą sudaranči</w:t>
            </w:r>
            <w:r w:rsidR="00386FFE">
              <w:rPr>
                <w:rFonts w:ascii="Times New Roman" w:eastAsia="Times New Roman" w:hAnsi="Times New Roman" w:cs="Times New Roman"/>
                <w:color w:val="000000"/>
              </w:rPr>
              <w:t>ą</w:t>
            </w:r>
            <w:r w:rsidRPr="007B04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6FFE">
              <w:rPr>
                <w:rFonts w:ascii="Times New Roman" w:eastAsia="Times New Roman" w:hAnsi="Times New Roman" w:cs="Times New Roman"/>
                <w:color w:val="000000"/>
              </w:rPr>
              <w:t>įrangą</w:t>
            </w:r>
          </w:p>
          <w:p w14:paraId="3A6196B5" w14:textId="77777777" w:rsidR="00565E89" w:rsidRPr="001F255B" w:rsidRDefault="007B041F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66B6">
              <w:rPr>
                <w:rFonts w:ascii="Times New Roman" w:hAnsi="Times New Roman" w:cs="Times New Roman"/>
                <w:b/>
              </w:rPr>
              <w:t xml:space="preserve">(pavadinimas, </w:t>
            </w:r>
            <w:r w:rsidRPr="00D83268">
              <w:rPr>
                <w:rFonts w:ascii="Times New Roman" w:hAnsi="Times New Roman" w:cs="Times New Roman"/>
                <w:b/>
              </w:rPr>
              <w:t>tipas/modelis, gamintojas)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199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</w:p>
        </w:tc>
      </w:tr>
      <w:tr w:rsidR="00565E89" w:rsidRPr="001F255B" w14:paraId="4D46DB07" w14:textId="77777777" w:rsidTr="0018144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93F6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415A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Sistemos paskirtis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CC46" w14:textId="77777777" w:rsidR="00565E89" w:rsidRPr="001F255B" w:rsidRDefault="00817C1B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1B4CC4" w:rsidRPr="001F255B">
              <w:rPr>
                <w:rFonts w:ascii="Times New Roman" w:eastAsia="Times New Roman" w:hAnsi="Times New Roman" w:cs="Times New Roman"/>
                <w:color w:val="000000"/>
              </w:rPr>
              <w:t>istema turi automatizuotai (gali būti automatizuoti atskiri etapai) atlikti gimdos kaklelio nuograndų citologinių tepinėlių iš skystosios terpės paruošimą, dažymą ir dengimą.</w:t>
            </w:r>
          </w:p>
          <w:p w14:paraId="656C6435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29BD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5E89" w:rsidRPr="001F255B" w14:paraId="058E0D89" w14:textId="77777777" w:rsidTr="0018144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B31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13DC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Taikomi metodai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FB0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Prieš ruošiant tepinėlį ar paruošimo metu sistema turi koncentruoti mėginyje esančias ląsteles ir pašalinti įvairias priemaišas tankio gradiento, filtracijos ar kitais lygiaverčiais metodais.</w:t>
            </w:r>
          </w:p>
          <w:p w14:paraId="6CA07AF0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2785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5E89" w:rsidRPr="001F255B" w14:paraId="40056068" w14:textId="77777777" w:rsidTr="00181442">
        <w:trPr>
          <w:trHeight w:val="142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9AE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98CB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Procedūros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82C2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Sistema turi būti atliekamos šios procedūros:</w:t>
            </w:r>
          </w:p>
          <w:p w14:paraId="1C350C3E" w14:textId="77777777" w:rsidR="00565E89" w:rsidRPr="001F255B" w:rsidRDefault="001B4CC4" w:rsidP="00386F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Automatinis mėginyje esančių ląstelių koncentravimas, atskiriant kraują, gleives ir kitas diagnostiniu požiūriu nereikalingas priemaišas.</w:t>
            </w:r>
          </w:p>
          <w:p w14:paraId="3A23701B" w14:textId="77777777" w:rsidR="00565E89" w:rsidRPr="001F255B" w:rsidRDefault="001B4CC4" w:rsidP="00386F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 xml:space="preserve">Automatinis </w:t>
            </w:r>
            <w:proofErr w:type="spellStart"/>
            <w:r w:rsidRPr="001F255B">
              <w:rPr>
                <w:rFonts w:ascii="Times New Roman" w:eastAsia="Times New Roman" w:hAnsi="Times New Roman" w:cs="Times New Roman"/>
                <w:color w:val="000000"/>
              </w:rPr>
              <w:t>vienasluoksnio</w:t>
            </w:r>
            <w:proofErr w:type="spellEnd"/>
            <w:r w:rsidRPr="001F255B">
              <w:rPr>
                <w:rFonts w:ascii="Times New Roman" w:eastAsia="Times New Roman" w:hAnsi="Times New Roman" w:cs="Times New Roman"/>
                <w:color w:val="000000"/>
              </w:rPr>
              <w:t xml:space="preserve"> tepinėlio paruošimas/perkėlimas ant stiklelio.</w:t>
            </w:r>
          </w:p>
          <w:p w14:paraId="7C907D84" w14:textId="77777777" w:rsidR="00565E89" w:rsidRPr="001F255B" w:rsidRDefault="001B4CC4" w:rsidP="00386F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Automatinis tepinėlių fiksavimas, dažymas.</w:t>
            </w:r>
          </w:p>
          <w:p w14:paraId="4E2C3C9E" w14:textId="77777777" w:rsidR="00565E89" w:rsidRPr="001F255B" w:rsidRDefault="001B4CC4" w:rsidP="00386F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 xml:space="preserve">Automatinis tepinėlių uždengimas. </w:t>
            </w:r>
          </w:p>
          <w:p w14:paraId="121E696B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F68D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67F749F1" w14:textId="77777777" w:rsidTr="00181442">
        <w:trPr>
          <w:trHeight w:val="27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3FD0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3BA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Našumas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2CC9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 xml:space="preserve">Ne mažiau kaip 20 </w:t>
            </w:r>
            <w:r w:rsidR="00FC7538" w:rsidRPr="001F255B">
              <w:rPr>
                <w:rFonts w:ascii="Times New Roman" w:eastAsia="Times New Roman" w:hAnsi="Times New Roman" w:cs="Times New Roman"/>
              </w:rPr>
              <w:t>tepinėlių</w:t>
            </w:r>
            <w:r w:rsidRPr="001F255B">
              <w:rPr>
                <w:rFonts w:ascii="Times New Roman" w:eastAsia="Times New Roman" w:hAnsi="Times New Roman" w:cs="Times New Roman"/>
              </w:rPr>
              <w:t xml:space="preserve"> per valandą. </w:t>
            </w:r>
          </w:p>
          <w:p w14:paraId="3F19E6EC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C5A6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0A417384" w14:textId="77777777" w:rsidTr="00181442">
        <w:trPr>
          <w:trHeight w:val="27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9E2F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3FAC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Reikalavimai tepinėliui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9815" w14:textId="77777777" w:rsidR="00565E89" w:rsidRPr="00646D8D" w:rsidRDefault="001B4CC4" w:rsidP="00386F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6D8D">
              <w:rPr>
                <w:rFonts w:ascii="Times New Roman" w:eastAsia="Times New Roman" w:hAnsi="Times New Roman" w:cs="Times New Roman"/>
                <w:color w:val="000000"/>
              </w:rPr>
              <w:t xml:space="preserve">Ruošiami </w:t>
            </w:r>
            <w:proofErr w:type="spellStart"/>
            <w:r w:rsidRPr="00646D8D">
              <w:rPr>
                <w:rFonts w:ascii="Times New Roman" w:eastAsia="Times New Roman" w:hAnsi="Times New Roman" w:cs="Times New Roman"/>
                <w:color w:val="000000"/>
              </w:rPr>
              <w:t>vienasluoksniai</w:t>
            </w:r>
            <w:proofErr w:type="spellEnd"/>
            <w:r w:rsidRPr="00646D8D">
              <w:rPr>
                <w:rFonts w:ascii="Times New Roman" w:eastAsia="Times New Roman" w:hAnsi="Times New Roman" w:cs="Times New Roman"/>
                <w:color w:val="000000"/>
              </w:rPr>
              <w:t xml:space="preserve"> tepinėliai;</w:t>
            </w:r>
          </w:p>
          <w:p w14:paraId="05871501" w14:textId="77777777" w:rsidR="00565E89" w:rsidRPr="00646D8D" w:rsidRDefault="001B4CC4" w:rsidP="00386F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6D8D">
              <w:rPr>
                <w:rFonts w:ascii="Times New Roman" w:eastAsia="Times New Roman" w:hAnsi="Times New Roman" w:cs="Times New Roman"/>
                <w:color w:val="000000"/>
              </w:rPr>
              <w:t>Tepinėliai ruošiami koncentruojant ir apvalant ląsteles nuo priemaišų, naudojant tankio gradientą, filtracijos ar kitus lygiaverčius metodus;</w:t>
            </w:r>
          </w:p>
          <w:p w14:paraId="2A3D83C2" w14:textId="77777777" w:rsidR="00565E89" w:rsidRPr="00C20802" w:rsidRDefault="001B4CC4" w:rsidP="00386F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D8D">
              <w:rPr>
                <w:rFonts w:ascii="Times New Roman" w:eastAsia="Times New Roman" w:hAnsi="Times New Roman" w:cs="Times New Roman"/>
                <w:color w:val="000000"/>
              </w:rPr>
              <w:t xml:space="preserve">Tepinėliai dažomi </w:t>
            </w:r>
            <w:proofErr w:type="spellStart"/>
            <w:r w:rsidRPr="00646D8D">
              <w:rPr>
                <w:rFonts w:ascii="Times New Roman" w:eastAsia="Times New Roman" w:hAnsi="Times New Roman" w:cs="Times New Roman"/>
                <w:i/>
                <w:color w:val="000000"/>
              </w:rPr>
              <w:t>Papanicolaou</w:t>
            </w:r>
            <w:proofErr w:type="spellEnd"/>
            <w:r w:rsidRPr="00646D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802">
              <w:rPr>
                <w:rFonts w:ascii="Times New Roman" w:eastAsia="Times New Roman" w:hAnsi="Times New Roman" w:cs="Times New Roman"/>
              </w:rPr>
              <w:t>būdu</w:t>
            </w:r>
            <w:r w:rsidR="00C20802" w:rsidRPr="00C20802">
              <w:rPr>
                <w:rFonts w:ascii="Times New Roman" w:eastAsia="Times New Roman" w:hAnsi="Times New Roman" w:cs="Times New Roman"/>
              </w:rPr>
              <w:t>, (arba lygiaverčiu);</w:t>
            </w:r>
          </w:p>
          <w:p w14:paraId="14F46C64" w14:textId="77777777" w:rsidR="00565E89" w:rsidRPr="00267C32" w:rsidRDefault="001B4CC4" w:rsidP="00386F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C32">
              <w:rPr>
                <w:rFonts w:ascii="Times New Roman" w:eastAsia="Times New Roman" w:hAnsi="Times New Roman" w:cs="Times New Roman"/>
              </w:rPr>
              <w:t>Turi būti galimybė</w:t>
            </w:r>
            <w:r w:rsidR="00C20802" w:rsidRPr="00267C32">
              <w:rPr>
                <w:rFonts w:ascii="Times New Roman" w:eastAsia="Times New Roman" w:hAnsi="Times New Roman" w:cs="Times New Roman"/>
              </w:rPr>
              <w:t xml:space="preserve">, vartotojo pasirinkimu: </w:t>
            </w:r>
          </w:p>
          <w:p w14:paraId="7FEEF3AB" w14:textId="77777777" w:rsidR="00565E89" w:rsidRPr="00267C32" w:rsidRDefault="001B4CC4" w:rsidP="00386FFE">
            <w:pPr>
              <w:shd w:val="clear" w:color="auto" w:fill="FFFFFF"/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267C32">
              <w:rPr>
                <w:rFonts w:ascii="Times New Roman" w:eastAsia="Times New Roman" w:hAnsi="Times New Roman" w:cs="Times New Roman"/>
              </w:rPr>
              <w:t xml:space="preserve">a) tepinėlį tik paruošti, </w:t>
            </w:r>
          </w:p>
          <w:p w14:paraId="0D06E1EF" w14:textId="77777777" w:rsidR="00565E89" w:rsidRPr="00267C32" w:rsidRDefault="001B4CC4" w:rsidP="00386FFE">
            <w:pPr>
              <w:shd w:val="clear" w:color="auto" w:fill="FFFFFF"/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267C32">
              <w:rPr>
                <w:rFonts w:ascii="Times New Roman" w:eastAsia="Times New Roman" w:hAnsi="Times New Roman" w:cs="Times New Roman"/>
              </w:rPr>
              <w:lastRenderedPageBreak/>
              <w:t>b) tepinėlį paruošti ir nudažyti.</w:t>
            </w:r>
          </w:p>
          <w:p w14:paraId="5C163636" w14:textId="77777777" w:rsidR="00565E89" w:rsidRPr="00646D8D" w:rsidRDefault="00565E89" w:rsidP="00386FFE">
            <w:pPr>
              <w:shd w:val="clear" w:color="auto" w:fill="FFFFFF"/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8BC9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4E3C" w:rsidRPr="001F255B" w14:paraId="6CBFC78D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4C19" w14:textId="77777777" w:rsidR="00264E3C" w:rsidRPr="001F255B" w:rsidRDefault="00264E3C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16F2" w14:textId="77777777" w:rsidR="00264E3C" w:rsidRPr="001F255B" w:rsidRDefault="00264E3C" w:rsidP="00386FFE">
            <w:pPr>
              <w:spacing w:after="0"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>Sistemos įrangos naudojimo instrukcijos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4724" w14:textId="77777777" w:rsidR="00386FFE" w:rsidRDefault="00264E3C" w:rsidP="00386FFE">
            <w:pPr>
              <w:spacing w:after="0"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>Pateikiamos kartu su įranga, lietuvių ir anglų kalbomis (elektroninė versija).</w:t>
            </w:r>
          </w:p>
          <w:p w14:paraId="600FE20E" w14:textId="77777777" w:rsidR="00264E3C" w:rsidRPr="001F255B" w:rsidRDefault="00264E3C" w:rsidP="00386FFE">
            <w:pPr>
              <w:spacing w:after="0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F255B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12D8" w14:textId="77777777" w:rsidR="00264E3C" w:rsidRPr="001F255B" w:rsidRDefault="00264E3C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4E3C" w:rsidRPr="001F255B" w14:paraId="4A42E755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5952" w14:textId="77777777" w:rsidR="00264E3C" w:rsidRPr="001F255B" w:rsidRDefault="00264E3C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643F" w14:textId="77777777" w:rsidR="00264E3C" w:rsidRPr="001F255B" w:rsidRDefault="00264E3C" w:rsidP="00386FFE">
            <w:pPr>
              <w:spacing w:after="0"/>
              <w:rPr>
                <w:rFonts w:ascii="Times New Roman" w:hAnsi="Times New Roman" w:cs="Times New Roman"/>
                <w:strike/>
              </w:rPr>
            </w:pPr>
            <w:r w:rsidRPr="001F255B">
              <w:rPr>
                <w:rFonts w:ascii="Times New Roman" w:hAnsi="Times New Roman" w:cs="Times New Roman"/>
              </w:rPr>
              <w:t>Įrangos CE ženklinimas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AD57" w14:textId="77777777" w:rsidR="00264E3C" w:rsidRPr="00646D8D" w:rsidRDefault="00264E3C" w:rsidP="00265FC6">
            <w:pPr>
              <w:spacing w:after="0"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shd w:val="clear" w:color="auto" w:fill="FFFFFF"/>
              </w:rPr>
              <w:t>S</w:t>
            </w:r>
            <w:r w:rsidRPr="001F255B">
              <w:rPr>
                <w:rFonts w:ascii="Times New Roman" w:hAnsi="Times New Roman" w:cs="Times New Roman"/>
              </w:rPr>
              <w:t>istemą sudarant</w:t>
            </w:r>
            <w:r w:rsidR="00386FFE">
              <w:rPr>
                <w:rFonts w:ascii="Times New Roman" w:hAnsi="Times New Roman" w:cs="Times New Roman"/>
              </w:rPr>
              <w:t>i</w:t>
            </w:r>
            <w:r w:rsidRPr="001F255B">
              <w:rPr>
                <w:rFonts w:ascii="Times New Roman" w:hAnsi="Times New Roman" w:cs="Times New Roman"/>
              </w:rPr>
              <w:t xml:space="preserve"> įranga turi būti CE sertifikuot</w:t>
            </w:r>
            <w:r w:rsidR="00386FFE">
              <w:rPr>
                <w:rFonts w:ascii="Times New Roman" w:hAnsi="Times New Roman" w:cs="Times New Roman"/>
              </w:rPr>
              <w:t>a</w:t>
            </w:r>
            <w:r w:rsidRPr="001F255B">
              <w:rPr>
                <w:rFonts w:ascii="Times New Roman" w:hAnsi="Times New Roman" w:cs="Times New Roman"/>
              </w:rPr>
              <w:t xml:space="preserve"> bei </w:t>
            </w:r>
            <w:r w:rsidRPr="001F255B">
              <w:rPr>
                <w:rFonts w:ascii="Times New Roman" w:hAnsi="Times New Roman" w:cs="Times New Roman"/>
                <w:shd w:val="clear" w:color="auto" w:fill="FFFFFF"/>
              </w:rPr>
              <w:t>žymim</w:t>
            </w:r>
            <w:r w:rsidR="00386FFE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1F255B">
              <w:rPr>
                <w:rFonts w:ascii="Times New Roman" w:hAnsi="Times New Roman" w:cs="Times New Roman"/>
                <w:shd w:val="clear" w:color="auto" w:fill="FFFFFF"/>
              </w:rPr>
              <w:t xml:space="preserve"> CE ženklu (</w:t>
            </w:r>
            <w:r w:rsidRPr="001F255B">
              <w:rPr>
                <w:rFonts w:ascii="Times New Roman" w:hAnsi="Times New Roman" w:cs="Times New Roman"/>
                <w:b/>
                <w:i/>
              </w:rPr>
              <w:t>kartu su pasiūlymu konkursui privaloma pateikti galiojančių dokumentų, liudijančių sistemą sudaranči</w:t>
            </w:r>
            <w:r w:rsidR="00386FFE">
              <w:rPr>
                <w:rFonts w:ascii="Times New Roman" w:hAnsi="Times New Roman" w:cs="Times New Roman"/>
                <w:b/>
                <w:i/>
              </w:rPr>
              <w:t>os įrangos</w:t>
            </w:r>
            <w:r w:rsidRPr="001F255B">
              <w:rPr>
                <w:rFonts w:ascii="Times New Roman" w:hAnsi="Times New Roman" w:cs="Times New Roman"/>
                <w:b/>
                <w:i/>
              </w:rPr>
              <w:t xml:space="preserve"> CE sertifikavimą pagal Europos Parlamento ir Tarybos reglamento (ES) 2017/746 dėl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</w:t>
            </w:r>
            <w:r w:rsidR="00C20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F255B">
              <w:rPr>
                <w:rFonts w:ascii="Times New Roman" w:hAnsi="Times New Roman" w:cs="Times New Roman"/>
                <w:b/>
                <w:i/>
              </w:rPr>
              <w:t>kopijas</w:t>
            </w:r>
            <w:r w:rsidRPr="001F255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9E2D" w14:textId="77777777" w:rsidR="00264E3C" w:rsidRPr="001F255B" w:rsidRDefault="00264E3C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0621AB92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908F" w14:textId="77777777" w:rsidR="00565E89" w:rsidRPr="001F255B" w:rsidRDefault="0044280F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67E9" w14:textId="77777777" w:rsidR="00565E89" w:rsidRPr="001F255B" w:rsidRDefault="00264E3C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 w:rsidRPr="001F255B">
              <w:rPr>
                <w:rFonts w:ascii="Times New Roman" w:eastAsia="Times New Roman" w:hAnsi="Times New Roman" w:cs="Times New Roman"/>
              </w:rPr>
              <w:t>Reagentai ir pagalbinės priemonės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24B1" w14:textId="77777777" w:rsidR="00565E89" w:rsidRPr="0044280F" w:rsidRDefault="001B4CC4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280F">
              <w:rPr>
                <w:rFonts w:ascii="Times New Roman" w:eastAsia="Times New Roman" w:hAnsi="Times New Roman" w:cs="Times New Roman"/>
              </w:rPr>
              <w:t xml:space="preserve">Tiekėjas turi pateikti visų </w:t>
            </w:r>
            <w:r w:rsidR="005A2599">
              <w:rPr>
                <w:rFonts w:ascii="Times New Roman" w:eastAsia="Times New Roman" w:hAnsi="Times New Roman" w:cs="Times New Roman"/>
              </w:rPr>
              <w:t>ėminių</w:t>
            </w:r>
            <w:r w:rsidRPr="0044280F">
              <w:rPr>
                <w:rFonts w:ascii="Times New Roman" w:eastAsia="Times New Roman" w:hAnsi="Times New Roman" w:cs="Times New Roman"/>
              </w:rPr>
              <w:t xml:space="preserve"> paėmimui ir </w:t>
            </w:r>
            <w:r w:rsidR="005A2599">
              <w:rPr>
                <w:rFonts w:ascii="Times New Roman" w:eastAsia="Times New Roman" w:hAnsi="Times New Roman" w:cs="Times New Roman"/>
              </w:rPr>
              <w:t>tepinėlių paruošimui</w:t>
            </w:r>
            <w:r w:rsidR="00386FFE">
              <w:rPr>
                <w:rFonts w:ascii="Times New Roman" w:eastAsia="Times New Roman" w:hAnsi="Times New Roman" w:cs="Times New Roman"/>
              </w:rPr>
              <w:t>, dažymui ir dengimui</w:t>
            </w:r>
            <w:r w:rsidR="00267C32">
              <w:rPr>
                <w:rFonts w:ascii="Times New Roman" w:eastAsia="Times New Roman" w:hAnsi="Times New Roman" w:cs="Times New Roman"/>
              </w:rPr>
              <w:t xml:space="preserve"> </w:t>
            </w:r>
            <w:r w:rsidRPr="0044280F">
              <w:rPr>
                <w:rFonts w:ascii="Times New Roman" w:eastAsia="Times New Roman" w:hAnsi="Times New Roman" w:cs="Times New Roman"/>
              </w:rPr>
              <w:t xml:space="preserve">pagal gamintojo rekomendacijas reikalingų sudedamųjų priemonių (ėminių paėmimo šepetėlių, skystų terpių ginekologiniams ėminiams, reagentų, dažų, buferių ploviklių, klijų, mėgintuvėlių, specialių antgalių, objektinių ir dengiamųjų stiklelių ir/ar kitų gamintojo nurodytų priemonių, reikalingų 1 priede nurodytų </w:t>
            </w:r>
            <w:r w:rsidR="005A2599">
              <w:rPr>
                <w:rFonts w:ascii="Times New Roman" w:eastAsia="Times New Roman" w:hAnsi="Times New Roman" w:cs="Times New Roman"/>
              </w:rPr>
              <w:t>tepinėlių paruošimui</w:t>
            </w:r>
            <w:r w:rsidR="00386FFE">
              <w:rPr>
                <w:rFonts w:ascii="Times New Roman" w:eastAsia="Times New Roman" w:hAnsi="Times New Roman" w:cs="Times New Roman"/>
              </w:rPr>
              <w:t>, dažymui bei dengimui</w:t>
            </w:r>
            <w:r w:rsidRPr="0044280F">
              <w:rPr>
                <w:rFonts w:ascii="Times New Roman" w:eastAsia="Times New Roman" w:hAnsi="Times New Roman" w:cs="Times New Roman"/>
              </w:rPr>
              <w:t xml:space="preserve">) sąrašą su nurodytu kiekiu pakuotėje ir </w:t>
            </w:r>
            <w:r w:rsidRPr="0044280F">
              <w:rPr>
                <w:rFonts w:ascii="Times New Roman" w:eastAsia="Times New Roman" w:hAnsi="Times New Roman" w:cs="Times New Roman"/>
                <w:color w:val="000000"/>
              </w:rPr>
              <w:t>aprašus.</w:t>
            </w:r>
          </w:p>
          <w:p w14:paraId="2DAA8C58" w14:textId="77777777" w:rsidR="00565E89" w:rsidRPr="0044280F" w:rsidRDefault="001B4CC4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280F">
              <w:rPr>
                <w:rFonts w:ascii="Times New Roman" w:eastAsia="Times New Roman" w:hAnsi="Times New Roman" w:cs="Times New Roman"/>
              </w:rPr>
              <w:t xml:space="preserve">Skaičiuojant tepinėlio </w:t>
            </w:r>
            <w:r w:rsidR="00386FFE">
              <w:rPr>
                <w:rFonts w:ascii="Times New Roman" w:eastAsia="Times New Roman" w:hAnsi="Times New Roman" w:cs="Times New Roman"/>
              </w:rPr>
              <w:t>paruošimui, dažymui bei dengimui</w:t>
            </w:r>
            <w:r w:rsidR="00386FFE" w:rsidRPr="0044280F">
              <w:rPr>
                <w:rFonts w:ascii="Times New Roman" w:eastAsia="Times New Roman" w:hAnsi="Times New Roman" w:cs="Times New Roman"/>
              </w:rPr>
              <w:t xml:space="preserve"> </w:t>
            </w:r>
            <w:r w:rsidRPr="0044280F">
              <w:rPr>
                <w:rFonts w:ascii="Times New Roman" w:eastAsia="Times New Roman" w:hAnsi="Times New Roman" w:cs="Times New Roman"/>
              </w:rPr>
              <w:t>reikalingų sudedamųjų priemonių kiekius, tiekėjas turi įvertinti tai, kad reagentai, dažai ir kt. priemonės bus naudojamos atsižvelgiant į gamintojo nurodytus galiojimo, atidarius rinkinį ir stabilumo terminus.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D122" w14:textId="77777777" w:rsidR="00565E89" w:rsidRPr="001F255B" w:rsidRDefault="00565E89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2E73BB59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594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44280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0FAC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Reagentų žymėjimas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2023" w14:textId="77777777" w:rsidR="00565E89" w:rsidRPr="001F255B" w:rsidRDefault="00264E3C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shd w:val="clear" w:color="auto" w:fill="FFFFFF"/>
              </w:rPr>
              <w:t>Reagentai, turi turėti CE ir IVD ženklinimus  (</w:t>
            </w:r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 xml:space="preserve">pagal Europos Parlamento ir Tarybos reglamento (ES) 2017/746 dėl </w:t>
            </w:r>
            <w:proofErr w:type="spellStart"/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>in</w:t>
            </w:r>
            <w:proofErr w:type="spellEnd"/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>vitro</w:t>
            </w:r>
            <w:proofErr w:type="spellEnd"/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 xml:space="preserve"> diagnostikos medicinos priemonių</w:t>
            </w:r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1F255B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B2B6" w14:textId="77777777" w:rsidR="00565E89" w:rsidRPr="001F255B" w:rsidRDefault="00565E89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29AD74EE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6E5" w14:textId="77777777" w:rsidR="00565E89" w:rsidRPr="001F255B" w:rsidRDefault="0044280F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568F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Aptarnavimas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7DD9" w14:textId="77777777" w:rsidR="00264E3C" w:rsidRPr="001F255B" w:rsidRDefault="00817C1B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 xml:space="preserve">Tiekėjas turi užtikrinti sistemos įrangos aparatūrinės ir programinės dalies nemokamą techninį aptarnavimą </w:t>
            </w:r>
            <w:r w:rsidR="001B4CC4" w:rsidRPr="001F255B">
              <w:rPr>
                <w:rFonts w:ascii="Times New Roman" w:eastAsia="Times New Roman" w:hAnsi="Times New Roman" w:cs="Times New Roman"/>
              </w:rPr>
              <w:t xml:space="preserve">darbo dienomis </w:t>
            </w:r>
            <w:r w:rsidRPr="001F255B">
              <w:rPr>
                <w:rFonts w:ascii="Times New Roman" w:hAnsi="Times New Roman" w:cs="Times New Roman"/>
              </w:rPr>
              <w:t xml:space="preserve">sutarties </w:t>
            </w:r>
            <w:r w:rsidRPr="001F255B">
              <w:rPr>
                <w:rFonts w:ascii="Times New Roman" w:hAnsi="Times New Roman" w:cs="Times New Roman"/>
              </w:rPr>
              <w:lastRenderedPageBreak/>
              <w:t>galiojimo laikotarpiu</w:t>
            </w:r>
            <w:r w:rsidR="001B4CC4" w:rsidRPr="001F25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1F255B">
              <w:rPr>
                <w:rFonts w:ascii="Times New Roman" w:hAnsi="Times New Roman" w:cs="Times New Roman"/>
              </w:rPr>
              <w:t xml:space="preserve">Gavęs pranešimą apie Sistemos gedimą </w:t>
            </w:r>
            <w:r w:rsidRPr="001F255B">
              <w:rPr>
                <w:rFonts w:ascii="Times New Roman" w:eastAsia="Times New Roman" w:hAnsi="Times New Roman" w:cs="Times New Roman"/>
              </w:rPr>
              <w:t>/veiklos sutrikimą</w:t>
            </w:r>
            <w:r w:rsidRPr="001F255B">
              <w:rPr>
                <w:rFonts w:ascii="Times New Roman" w:hAnsi="Times New Roman" w:cs="Times New Roman"/>
              </w:rPr>
              <w:t>, Tiekėjo specialistas</w:t>
            </w:r>
            <w:r w:rsidR="00264E3C" w:rsidRPr="001F255B">
              <w:rPr>
                <w:rFonts w:ascii="Times New Roman" w:hAnsi="Times New Roman" w:cs="Times New Roman"/>
              </w:rPr>
              <w:t xml:space="preserve"> turintis</w:t>
            </w:r>
            <w:r w:rsidRPr="001F255B">
              <w:rPr>
                <w:rFonts w:ascii="Times New Roman" w:hAnsi="Times New Roman" w:cs="Times New Roman"/>
              </w:rPr>
              <w:t xml:space="preserve"> </w:t>
            </w:r>
            <w:r w:rsidR="00264E3C" w:rsidRPr="001F255B">
              <w:rPr>
                <w:rFonts w:ascii="Times New Roman" w:eastAsia="Times New Roman" w:hAnsi="Times New Roman" w:cs="Times New Roman"/>
              </w:rPr>
              <w:t xml:space="preserve">reikiamą kvalifikaciją </w:t>
            </w:r>
            <w:r w:rsidRPr="001F255B">
              <w:rPr>
                <w:rFonts w:ascii="Times New Roman" w:hAnsi="Times New Roman" w:cs="Times New Roman"/>
              </w:rPr>
              <w:t>privalės</w:t>
            </w:r>
            <w:r w:rsidR="00264E3C" w:rsidRPr="001F255B">
              <w:rPr>
                <w:rFonts w:ascii="Times New Roman" w:hAnsi="Times New Roman" w:cs="Times New Roman"/>
              </w:rPr>
              <w:t xml:space="preserve"> </w:t>
            </w:r>
            <w:r w:rsidR="00264E3C" w:rsidRPr="001F255B">
              <w:rPr>
                <w:rFonts w:ascii="Times New Roman" w:eastAsia="Times New Roman" w:hAnsi="Times New Roman" w:cs="Times New Roman"/>
              </w:rPr>
              <w:t>atvykti</w:t>
            </w:r>
            <w:r w:rsidR="001B4CC4" w:rsidRPr="001F255B">
              <w:rPr>
                <w:rFonts w:ascii="Times New Roman" w:eastAsia="Times New Roman" w:hAnsi="Times New Roman" w:cs="Times New Roman"/>
              </w:rPr>
              <w:t xml:space="preserve"> į LSMU ligoninę Kauno klinikas ir per 3 darbo d</w:t>
            </w:r>
            <w:r w:rsidR="00264E3C" w:rsidRPr="001F255B">
              <w:rPr>
                <w:rFonts w:ascii="Times New Roman" w:eastAsia="Times New Roman" w:hAnsi="Times New Roman" w:cs="Times New Roman"/>
              </w:rPr>
              <w:t xml:space="preserve">ienas visiškai pašalinti gedimą. </w:t>
            </w:r>
          </w:p>
          <w:p w14:paraId="47B9B5C3" w14:textId="77777777" w:rsidR="00264E3C" w:rsidRPr="001F255B" w:rsidRDefault="00264E3C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 xml:space="preserve">Nesant galimybės pašalinti gedimų per nurodytą laiką, Tiekėjas privalės kitais būdais ir savo lėšomis užtikrinti kokybišką ir </w:t>
            </w:r>
            <w:proofErr w:type="spellStart"/>
            <w:r w:rsidRPr="001F255B">
              <w:rPr>
                <w:rFonts w:ascii="Times New Roman" w:hAnsi="Times New Roman" w:cs="Times New Roman"/>
              </w:rPr>
              <w:t>savalaikišką</w:t>
            </w:r>
            <w:proofErr w:type="spellEnd"/>
            <w:r w:rsidRPr="001F255B">
              <w:rPr>
                <w:rFonts w:ascii="Times New Roman" w:hAnsi="Times New Roman" w:cs="Times New Roman"/>
              </w:rPr>
              <w:t xml:space="preserve"> tyrimų atlikimą pagal Kauno klinikų poreikius. Nesant galimybės pašalinti gedimo, tiekėjas privalo sugedusią (netinkamai veikiančią) įrangą laikinai pakeisti lygiaverte</w:t>
            </w:r>
          </w:p>
          <w:p w14:paraId="3A7EE211" w14:textId="77777777" w:rsidR="00817C1B" w:rsidRPr="001F255B" w:rsidRDefault="00817C1B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  <w:i/>
              </w:rPr>
              <w:t>(</w:t>
            </w:r>
            <w:r w:rsidRPr="001F255B">
              <w:rPr>
                <w:rFonts w:ascii="Times New Roman" w:hAnsi="Times New Roman" w:cs="Times New Roman"/>
                <w:b/>
                <w:i/>
              </w:rPr>
              <w:t>būtinas atitinkamas tiekėjo įsipareigojimas).</w:t>
            </w:r>
          </w:p>
          <w:p w14:paraId="30B3730E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A17F" w14:textId="77777777" w:rsidR="00565E89" w:rsidRPr="001F255B" w:rsidRDefault="00565E89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DD0DCC" w14:textId="406A66F2" w:rsidR="00817C1B" w:rsidRPr="001F255B" w:rsidRDefault="00817C1B" w:rsidP="00817C1B">
      <w:pPr>
        <w:pStyle w:val="Default"/>
        <w:tabs>
          <w:tab w:val="left" w:pos="1418"/>
        </w:tabs>
        <w:spacing w:line="360" w:lineRule="auto"/>
        <w:ind w:left="1298"/>
        <w:rPr>
          <w:color w:val="auto"/>
          <w:sz w:val="22"/>
          <w:szCs w:val="22"/>
        </w:rPr>
      </w:pPr>
      <w:r w:rsidRPr="001F255B">
        <w:rPr>
          <w:color w:val="auto"/>
          <w:sz w:val="22"/>
          <w:szCs w:val="22"/>
        </w:rPr>
        <w:br w:type="page"/>
      </w:r>
    </w:p>
    <w:p w14:paraId="496744A5" w14:textId="77777777" w:rsidR="008E041A" w:rsidRDefault="008E041A" w:rsidP="008E041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</w:rPr>
      </w:pPr>
      <w:r w:rsidRPr="001F255B">
        <w:rPr>
          <w:rFonts w:ascii="Times New Roman" w:eastAsia="Times New Roman" w:hAnsi="Times New Roman" w:cs="Times New Roman"/>
          <w:b/>
          <w:bCs/>
          <w:caps/>
        </w:rPr>
        <w:lastRenderedPageBreak/>
        <w:t>1 priedas</w:t>
      </w:r>
    </w:p>
    <w:p w14:paraId="19C1393F" w14:textId="77777777" w:rsidR="00E0040C" w:rsidRPr="001F255B" w:rsidRDefault="00E0040C" w:rsidP="008E041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</w:rPr>
      </w:pPr>
    </w:p>
    <w:p w14:paraId="24BDEE6B" w14:textId="77777777" w:rsidR="00E0040C" w:rsidRDefault="00E0040C" w:rsidP="00D60D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E0040C">
        <w:rPr>
          <w:rFonts w:ascii="Times New Roman" w:eastAsia="Times New Roman" w:hAnsi="Times New Roman" w:cs="Times New Roman"/>
          <w:b/>
          <w:smallCaps/>
          <w:color w:val="000000"/>
        </w:rPr>
        <w:t>REAGENTAI IR PAPILDOMOS PRIEMONĖS GIMDOS KAKLELIO NUOGRANDŲ CITOLOGINIŲ TEPINĖLIŲ RUOŠIMUI IR DAŽYMUI IŠ SKYSTOS TERPĖS</w:t>
      </w:r>
    </w:p>
    <w:p w14:paraId="2570521E" w14:textId="77777777" w:rsidR="00D60DD9" w:rsidRPr="001F255B" w:rsidRDefault="00D60DD9" w:rsidP="00D60D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tblpX="-34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1417"/>
        <w:gridCol w:w="1276"/>
        <w:gridCol w:w="1134"/>
        <w:gridCol w:w="1418"/>
        <w:gridCol w:w="1275"/>
        <w:gridCol w:w="1134"/>
        <w:gridCol w:w="1134"/>
        <w:gridCol w:w="1418"/>
        <w:gridCol w:w="1417"/>
      </w:tblGrid>
      <w:tr w:rsidR="008E041A" w:rsidRPr="001F255B" w14:paraId="701C4582" w14:textId="77777777" w:rsidTr="00E0040C">
        <w:trPr>
          <w:trHeight w:val="1313"/>
        </w:trPr>
        <w:tc>
          <w:tcPr>
            <w:tcW w:w="704" w:type="dxa"/>
            <w:shd w:val="clear" w:color="auto" w:fill="auto"/>
            <w:hideMark/>
          </w:tcPr>
          <w:p w14:paraId="610B1B2B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21E2B66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A73954F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255B">
              <w:rPr>
                <w:rFonts w:ascii="Times New Roman" w:eastAsia="Times New Roman" w:hAnsi="Times New Roman" w:cs="Times New Roman"/>
                <w:bCs/>
              </w:rPr>
              <w:t>Eil.</w:t>
            </w:r>
            <w:r w:rsidRPr="001F255B">
              <w:rPr>
                <w:rFonts w:ascii="Times New Roman" w:eastAsia="Times New Roman" w:hAnsi="Times New Roman" w:cs="Times New Roman"/>
                <w:bCs/>
              </w:rPr>
              <w:br/>
              <w:t>Nr.</w:t>
            </w:r>
          </w:p>
        </w:tc>
        <w:tc>
          <w:tcPr>
            <w:tcW w:w="3090" w:type="dxa"/>
            <w:shd w:val="clear" w:color="auto" w:fill="auto"/>
            <w:hideMark/>
          </w:tcPr>
          <w:p w14:paraId="1F33ECD1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610D4BC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6EBDFCB9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255B">
              <w:rPr>
                <w:rFonts w:ascii="Times New Roman" w:eastAsia="Times New Roman" w:hAnsi="Times New Roman" w:cs="Times New Roman"/>
                <w:bCs/>
              </w:rPr>
              <w:t xml:space="preserve">Diagnostinių reagentų, </w:t>
            </w:r>
            <w:r w:rsidR="001F255B" w:rsidRPr="001F255B">
              <w:rPr>
                <w:rFonts w:ascii="Times New Roman" w:eastAsia="Times New Roman" w:hAnsi="Times New Roman" w:cs="Times New Roman"/>
                <w:bCs/>
              </w:rPr>
              <w:t xml:space="preserve">papildomų </w:t>
            </w:r>
            <w:r w:rsidRPr="001F255B">
              <w:rPr>
                <w:rFonts w:ascii="Times New Roman" w:eastAsia="Times New Roman" w:hAnsi="Times New Roman" w:cs="Times New Roman"/>
                <w:bCs/>
              </w:rPr>
              <w:t>medžiagų pavadinimai</w:t>
            </w:r>
          </w:p>
        </w:tc>
        <w:tc>
          <w:tcPr>
            <w:tcW w:w="1417" w:type="dxa"/>
            <w:shd w:val="clear" w:color="auto" w:fill="auto"/>
            <w:hideMark/>
          </w:tcPr>
          <w:p w14:paraId="0995298A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255B">
              <w:rPr>
                <w:rFonts w:ascii="Times New Roman" w:eastAsia="Times New Roman" w:hAnsi="Times New Roman" w:cs="Times New Roman"/>
                <w:bCs/>
              </w:rPr>
              <w:t>Preliminarus tyrimų skaičius per 60 mėn.</w:t>
            </w:r>
          </w:p>
        </w:tc>
        <w:tc>
          <w:tcPr>
            <w:tcW w:w="1276" w:type="dxa"/>
            <w:shd w:val="clear" w:color="auto" w:fill="auto"/>
            <w:hideMark/>
          </w:tcPr>
          <w:p w14:paraId="3A674F00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255B">
              <w:rPr>
                <w:rFonts w:ascii="Times New Roman" w:eastAsia="Times New Roman" w:hAnsi="Times New Roman" w:cs="Times New Roman"/>
                <w:bCs/>
              </w:rPr>
              <w:t>Reagentų ir priemonių kiekis (ml./vnt.) nurodytam tyrimų skaičiui per 60 mėn.</w:t>
            </w:r>
          </w:p>
        </w:tc>
        <w:tc>
          <w:tcPr>
            <w:tcW w:w="1134" w:type="dxa"/>
          </w:tcPr>
          <w:p w14:paraId="284E91DC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Siūloma pakuotė</w:t>
            </w:r>
          </w:p>
        </w:tc>
        <w:tc>
          <w:tcPr>
            <w:tcW w:w="1418" w:type="dxa"/>
            <w:shd w:val="clear" w:color="auto" w:fill="auto"/>
            <w:hideMark/>
          </w:tcPr>
          <w:p w14:paraId="693E7D1C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Siūlomų pakuočių kiekis, reikalingas nurodytam tyrimų skaičiui atlikti</w:t>
            </w:r>
          </w:p>
        </w:tc>
        <w:tc>
          <w:tcPr>
            <w:tcW w:w="1275" w:type="dxa"/>
          </w:tcPr>
          <w:p w14:paraId="1D52935C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Siūlomos pakuotės kaina EUR be PVM</w:t>
            </w:r>
          </w:p>
        </w:tc>
        <w:tc>
          <w:tcPr>
            <w:tcW w:w="1134" w:type="dxa"/>
            <w:shd w:val="clear" w:color="auto" w:fill="auto"/>
            <w:hideMark/>
          </w:tcPr>
          <w:p w14:paraId="03EBF164" w14:textId="77777777" w:rsidR="008E041A" w:rsidRPr="001F255B" w:rsidRDefault="008E041A" w:rsidP="001F255B">
            <w:pPr>
              <w:shd w:val="clear" w:color="auto" w:fill="FFFFFF"/>
              <w:ind w:left="34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PVM tarifas %</w:t>
            </w:r>
          </w:p>
        </w:tc>
        <w:tc>
          <w:tcPr>
            <w:tcW w:w="1134" w:type="dxa"/>
            <w:shd w:val="clear" w:color="auto" w:fill="auto"/>
            <w:hideMark/>
          </w:tcPr>
          <w:p w14:paraId="0D9828F4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 xml:space="preserve">Suma, EUR be PVM </w:t>
            </w:r>
          </w:p>
          <w:p w14:paraId="2167BEC8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60 mėn. laikotarpiui</w:t>
            </w:r>
          </w:p>
        </w:tc>
        <w:tc>
          <w:tcPr>
            <w:tcW w:w="1418" w:type="dxa"/>
          </w:tcPr>
          <w:p w14:paraId="240EC398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 xml:space="preserve">Suma, EUR su PVM </w:t>
            </w:r>
          </w:p>
          <w:p w14:paraId="657255E3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60 mėn. laikotarpiui</w:t>
            </w:r>
          </w:p>
        </w:tc>
        <w:tc>
          <w:tcPr>
            <w:tcW w:w="1417" w:type="dxa"/>
            <w:shd w:val="clear" w:color="auto" w:fill="auto"/>
            <w:hideMark/>
          </w:tcPr>
          <w:p w14:paraId="6E55E417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Gamintojas, prekės katalogo numeris</w:t>
            </w:r>
          </w:p>
        </w:tc>
      </w:tr>
      <w:tr w:rsidR="008E041A" w:rsidRPr="001F255B" w14:paraId="1E6085AA" w14:textId="77777777" w:rsidTr="00E0040C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14:paraId="07A36F83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14:paraId="23F99BA1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D43B51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F46560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3E1CA46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19B453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1D27A647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22A845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9E1490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14:paraId="6487CCAD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C3E622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E041A" w:rsidRPr="001F255B" w14:paraId="2C8A912F" w14:textId="77777777" w:rsidTr="00E0040C">
        <w:trPr>
          <w:trHeight w:val="998"/>
        </w:trPr>
        <w:tc>
          <w:tcPr>
            <w:tcW w:w="704" w:type="dxa"/>
            <w:shd w:val="clear" w:color="auto" w:fill="auto"/>
            <w:noWrap/>
            <w:hideMark/>
          </w:tcPr>
          <w:p w14:paraId="77F48007" w14:textId="77777777" w:rsidR="008E041A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255B">
              <w:rPr>
                <w:rFonts w:ascii="Times New Roman" w:eastAsia="Times New Roman" w:hAnsi="Times New Roman" w:cs="Times New Roman"/>
                <w:b/>
              </w:rPr>
              <w:t>1</w:t>
            </w:r>
            <w:r w:rsidR="008E041A" w:rsidRPr="001F255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14:paraId="79E0925D" w14:textId="77777777" w:rsidR="008E041A" w:rsidRPr="001F255B" w:rsidRDefault="00E0040C" w:rsidP="001F25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Citologinis gimdos kaklelio tepinėlis paruoštas skystų terpių metodu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5BE383" w14:textId="77777777" w:rsidR="008E041A" w:rsidRPr="001F255B" w:rsidRDefault="001F255B" w:rsidP="001F25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255B">
              <w:rPr>
                <w:rFonts w:ascii="Times New Roman" w:hAnsi="Times New Roman" w:cs="Times New Roman"/>
                <w:b/>
                <w:bCs/>
              </w:rPr>
              <w:t>4 500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33D774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6EDD6630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6329A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</w:tcPr>
          <w:p w14:paraId="08F01ED5" w14:textId="77777777" w:rsidR="008E041A" w:rsidRPr="001F255B" w:rsidRDefault="001F255B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DB7F88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B8806A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14:paraId="52232DA9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9B8D5A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8E041A" w:rsidRPr="001F255B" w14:paraId="10D4FE08" w14:textId="77777777" w:rsidTr="00E0040C">
        <w:trPr>
          <w:trHeight w:val="1035"/>
        </w:trPr>
        <w:tc>
          <w:tcPr>
            <w:tcW w:w="704" w:type="dxa"/>
            <w:shd w:val="clear" w:color="auto" w:fill="auto"/>
            <w:noWrap/>
            <w:hideMark/>
          </w:tcPr>
          <w:p w14:paraId="5AF08998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090" w:type="dxa"/>
            <w:shd w:val="clear" w:color="auto" w:fill="auto"/>
            <w:hideMark/>
          </w:tcPr>
          <w:p w14:paraId="58DB7E09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F255B">
              <w:rPr>
                <w:rFonts w:ascii="Times New Roman" w:eastAsia="Times New Roman" w:hAnsi="Times New Roman" w:cs="Times New Roman"/>
                <w:i/>
                <w:iCs/>
              </w:rPr>
              <w:t xml:space="preserve">Reagentai ir/ar papildomos tyrimo priemonės, reikalingos </w:t>
            </w:r>
            <w:r w:rsidR="00D83EFF" w:rsidRPr="001F255B">
              <w:rPr>
                <w:rFonts w:ascii="Times New Roman" w:eastAsia="Times New Roman" w:hAnsi="Times New Roman" w:cs="Times New Roman"/>
                <w:i/>
                <w:iCs/>
              </w:rPr>
              <w:t>tepinėliui paruošti, fiksuoti nudažyti ir uždengti</w:t>
            </w:r>
            <w:r w:rsidRPr="001F255B">
              <w:rPr>
                <w:rFonts w:ascii="Times New Roman" w:eastAsia="Times New Roman" w:hAnsi="Times New Roman" w:cs="Times New Roman"/>
                <w:i/>
                <w:iCs/>
              </w:rPr>
              <w:br/>
              <w:t>(</w:t>
            </w:r>
            <w:r w:rsidRPr="001F25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įrašyti tikslius pavadinimus</w:t>
            </w:r>
            <w:r w:rsidRPr="001F255B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7EF5BC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A61EA9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6BF332DA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F2BFE4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5AB880D7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33B169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2A0C45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6525881C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E37A3A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8E041A" w:rsidRPr="001F255B" w14:paraId="2254DB5F" w14:textId="77777777" w:rsidTr="00E0040C">
        <w:trPr>
          <w:trHeight w:val="301"/>
        </w:trPr>
        <w:tc>
          <w:tcPr>
            <w:tcW w:w="704" w:type="dxa"/>
            <w:shd w:val="clear" w:color="auto" w:fill="auto"/>
            <w:noWrap/>
            <w:hideMark/>
          </w:tcPr>
          <w:p w14:paraId="56222F3A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090" w:type="dxa"/>
            <w:shd w:val="clear" w:color="auto" w:fill="auto"/>
            <w:hideMark/>
          </w:tcPr>
          <w:p w14:paraId="787AB85B" w14:textId="77777777" w:rsidR="008E041A" w:rsidRPr="001F255B" w:rsidRDefault="008E041A" w:rsidP="001F255B">
            <w:pPr>
              <w:spacing w:after="0"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FF77AB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9E914B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1B38D09A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A75C10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4883D3E3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6491E5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3DBD49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58934ABF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A76831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8E041A" w:rsidRPr="001F255B" w14:paraId="4AD9795F" w14:textId="77777777" w:rsidTr="00E0040C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14:paraId="2C708E80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</w:t>
            </w:r>
            <w:r w:rsidR="001F255B" w:rsidRPr="001F255B">
              <w:rPr>
                <w:rFonts w:ascii="Times New Roman" w:eastAsia="Times New Roman" w:hAnsi="Times New Roman" w:cs="Times New Roman"/>
              </w:rPr>
              <w:t>3</w:t>
            </w:r>
            <w:r w:rsidRPr="001F25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14:paraId="751786CF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9BA9E3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D13884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1D71EBA2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696ADD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05355EEE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877E3D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02E9B0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32CBE4C6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143F9E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1F255B" w:rsidRPr="001F255B" w14:paraId="3CDB77F6" w14:textId="77777777" w:rsidTr="00E0040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14121DB6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3090" w:type="dxa"/>
            <w:shd w:val="clear" w:color="auto" w:fill="auto"/>
            <w:noWrap/>
          </w:tcPr>
          <w:p w14:paraId="160A8DAF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417" w:type="dxa"/>
            <w:shd w:val="clear" w:color="auto" w:fill="auto"/>
            <w:noWrap/>
          </w:tcPr>
          <w:p w14:paraId="2DEA3FC0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0E9C860A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25CEE695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</w:tcPr>
          <w:p w14:paraId="0D709768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336D29E1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</w:tcPr>
          <w:p w14:paraId="7DEC5FF2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</w:tcPr>
          <w:p w14:paraId="7029C47E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0D64001A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</w:tcPr>
          <w:p w14:paraId="50648F54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1F255B" w:rsidRPr="001F255B" w14:paraId="0F86B081" w14:textId="77777777" w:rsidTr="00E0040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4A95E82A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3090" w:type="dxa"/>
            <w:shd w:val="clear" w:color="auto" w:fill="auto"/>
            <w:noWrap/>
          </w:tcPr>
          <w:p w14:paraId="73F87E41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417" w:type="dxa"/>
            <w:shd w:val="clear" w:color="auto" w:fill="auto"/>
            <w:noWrap/>
          </w:tcPr>
          <w:p w14:paraId="1F106C24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5411638A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3A248365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</w:tcPr>
          <w:p w14:paraId="25D18080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713B7AED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</w:tcPr>
          <w:p w14:paraId="11E7BA6E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</w:tcPr>
          <w:p w14:paraId="01E7C9D5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3436A8E0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</w:tcPr>
          <w:p w14:paraId="2FF97192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1F255B" w:rsidRPr="001F255B" w14:paraId="5C239C10" w14:textId="77777777" w:rsidTr="001F255B">
        <w:trPr>
          <w:trHeight w:val="300"/>
        </w:trPr>
        <w:tc>
          <w:tcPr>
            <w:tcW w:w="3794" w:type="dxa"/>
            <w:gridSpan w:val="2"/>
            <w:shd w:val="clear" w:color="auto" w:fill="auto"/>
            <w:noWrap/>
          </w:tcPr>
          <w:p w14:paraId="3D2DFCC3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/>
                <w:bCs/>
              </w:rPr>
              <w:t>Pasiūlymo kaina iš viso: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468BA6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682BBC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78628942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38B17E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275" w:type="dxa"/>
            <w:vAlign w:val="center"/>
          </w:tcPr>
          <w:p w14:paraId="54FE2D2D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1801AC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04F3A8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vAlign w:val="center"/>
          </w:tcPr>
          <w:p w14:paraId="23045B82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375E25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</w:tr>
    </w:tbl>
    <w:p w14:paraId="5D26FDEF" w14:textId="77777777" w:rsidR="00565E89" w:rsidRPr="001F255B" w:rsidRDefault="00565E89" w:rsidP="00D60D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65E89" w:rsidRPr="001F255B" w:rsidSect="00D60DD9">
      <w:footerReference w:type="default" r:id="rId11"/>
      <w:pgSz w:w="16838" w:h="11906" w:orient="landscape"/>
      <w:pgMar w:top="1134" w:right="678" w:bottom="849" w:left="1418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50E2" w14:textId="77777777" w:rsidR="00D27EE0" w:rsidRDefault="00D27EE0">
      <w:pPr>
        <w:spacing w:after="0" w:line="240" w:lineRule="auto"/>
      </w:pPr>
      <w:r>
        <w:separator/>
      </w:r>
    </w:p>
  </w:endnote>
  <w:endnote w:type="continuationSeparator" w:id="0">
    <w:p w14:paraId="3AEFDCF0" w14:textId="77777777" w:rsidR="00D27EE0" w:rsidRDefault="00D2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6AE1" w14:textId="77777777" w:rsidR="00565E89" w:rsidRDefault="001B4C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5FC6">
      <w:rPr>
        <w:noProof/>
        <w:color w:val="000000"/>
      </w:rPr>
      <w:t>4</w:t>
    </w:r>
    <w:r>
      <w:rPr>
        <w:color w:val="000000"/>
      </w:rPr>
      <w:fldChar w:fldCharType="end"/>
    </w:r>
  </w:p>
  <w:p w14:paraId="1D7F30CD" w14:textId="77777777" w:rsidR="00565E89" w:rsidRDefault="00565E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9391E" w14:textId="77777777" w:rsidR="00D27EE0" w:rsidRDefault="00D27EE0">
      <w:pPr>
        <w:spacing w:after="0" w:line="240" w:lineRule="auto"/>
      </w:pPr>
      <w:r>
        <w:separator/>
      </w:r>
    </w:p>
  </w:footnote>
  <w:footnote w:type="continuationSeparator" w:id="0">
    <w:p w14:paraId="77F197E6" w14:textId="77777777" w:rsidR="00D27EE0" w:rsidRDefault="00D27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3EDA"/>
    <w:multiLevelType w:val="multilevel"/>
    <w:tmpl w:val="E592A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A67EF"/>
    <w:multiLevelType w:val="multilevel"/>
    <w:tmpl w:val="EF041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40065F"/>
    <w:multiLevelType w:val="hybridMultilevel"/>
    <w:tmpl w:val="A650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89"/>
    <w:rsid w:val="000A004E"/>
    <w:rsid w:val="00164627"/>
    <w:rsid w:val="00181442"/>
    <w:rsid w:val="001B4CC4"/>
    <w:rsid w:val="001F255B"/>
    <w:rsid w:val="00264E3C"/>
    <w:rsid w:val="00265FC6"/>
    <w:rsid w:val="00267C32"/>
    <w:rsid w:val="00286104"/>
    <w:rsid w:val="00386FFE"/>
    <w:rsid w:val="003F55C6"/>
    <w:rsid w:val="00432DAA"/>
    <w:rsid w:val="0044280F"/>
    <w:rsid w:val="004A261C"/>
    <w:rsid w:val="004D13B8"/>
    <w:rsid w:val="005314F9"/>
    <w:rsid w:val="00565E89"/>
    <w:rsid w:val="005A2599"/>
    <w:rsid w:val="0064330A"/>
    <w:rsid w:val="00646D8D"/>
    <w:rsid w:val="007B041F"/>
    <w:rsid w:val="00817C1B"/>
    <w:rsid w:val="008E041A"/>
    <w:rsid w:val="008E323B"/>
    <w:rsid w:val="00A81728"/>
    <w:rsid w:val="00BB31AC"/>
    <w:rsid w:val="00BF026E"/>
    <w:rsid w:val="00C20802"/>
    <w:rsid w:val="00D27EE0"/>
    <w:rsid w:val="00D60DD9"/>
    <w:rsid w:val="00D83EFF"/>
    <w:rsid w:val="00E0040C"/>
    <w:rsid w:val="00EB4325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FCA1"/>
  <w15:docId w15:val="{8245459F-123A-4F3B-A8DB-FCF73EA1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D2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B626E"/>
    <w:pPr>
      <w:ind w:left="720"/>
      <w:contextualSpacing/>
    </w:pPr>
  </w:style>
  <w:style w:type="paragraph" w:styleId="Header">
    <w:name w:val="header"/>
    <w:basedOn w:val="Normal"/>
    <w:link w:val="HeaderChar"/>
    <w:rsid w:val="002B626E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626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00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D"/>
  </w:style>
  <w:style w:type="character" w:customStyle="1" w:styleId="apple-converted-space">
    <w:name w:val="apple-converted-space"/>
    <w:basedOn w:val="DefaultParagraphFont"/>
    <w:rsid w:val="00552C37"/>
  </w:style>
  <w:style w:type="paragraph" w:styleId="BalloonText">
    <w:name w:val="Balloon Text"/>
    <w:basedOn w:val="Normal"/>
    <w:link w:val="BalloonTextChar"/>
    <w:uiPriority w:val="99"/>
    <w:semiHidden/>
    <w:unhideWhenUsed/>
    <w:rsid w:val="00FB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4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waT/CwoUHPdQHHs+iWTlOXJoxQ==">CgMxLjAyCGguZ2pkZ3hzOAByITFVY0VpZzdHX2pWanhfVXBrcnNDd0Etai1jYnJCaE9Maw==</go:docsCustomData>
</go:gDocsCustomXmlDataStorage>
</file>

<file path=customXml/itemProps1.xml><?xml version="1.0" encoding="utf-8"?>
<ds:datastoreItem xmlns:ds="http://schemas.openxmlformats.org/officeDocument/2006/customXml" ds:itemID="{10C9BC62-36A4-43C9-983A-CF688EF6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FAF28-2AAB-4724-800A-E7B56E7D5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69DB4-6754-42CE-A14C-B1AE8D91A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3819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</dc:creator>
  <cp:lastModifiedBy>Monika Vaitkevičiūtė</cp:lastModifiedBy>
  <cp:revision>4</cp:revision>
  <dcterms:created xsi:type="dcterms:W3CDTF">2025-03-27T11:13:00Z</dcterms:created>
  <dcterms:modified xsi:type="dcterms:W3CDTF">2025-04-28T07:01:00Z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