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DCFC" w14:textId="656D0FE6" w:rsidR="00A35EBA" w:rsidRPr="001F3B32" w:rsidRDefault="0051126B" w:rsidP="00A35E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F3B32">
        <w:rPr>
          <w:rFonts w:ascii="Times New Roman" w:hAnsi="Times New Roman" w:cs="Times New Roman"/>
          <w:b/>
          <w:bCs/>
          <w:sz w:val="24"/>
          <w:szCs w:val="24"/>
          <w:lang w:val="lt-LT"/>
        </w:rPr>
        <w:t>P</w:t>
      </w:r>
      <w:r w:rsidR="00A35EBA" w:rsidRPr="001F3B32">
        <w:rPr>
          <w:rFonts w:ascii="Times New Roman" w:hAnsi="Times New Roman" w:cs="Times New Roman"/>
          <w:b/>
          <w:bCs/>
          <w:sz w:val="24"/>
          <w:szCs w:val="24"/>
          <w:lang w:val="lt-LT"/>
        </w:rPr>
        <w:t>REKIŲ PIRKIMO SUTARTIS</w:t>
      </w:r>
    </w:p>
    <w:p w14:paraId="0EA08EC3" w14:textId="0A5F7848" w:rsidR="00A35EBA" w:rsidRPr="001F3B32" w:rsidRDefault="00A35EBA" w:rsidP="00A35E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F3B32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SPECIALIOSIOS SĄLYGOS</w:t>
      </w:r>
      <w:r w:rsidRPr="001F3B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49C59A7" w14:textId="77777777" w:rsidR="0051126B" w:rsidRPr="001F3B32" w:rsidRDefault="0051126B" w:rsidP="00A35E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730A1CD" w14:textId="77777777" w:rsidR="00A35EBA" w:rsidRPr="001F3B32" w:rsidRDefault="00A35EBA" w:rsidP="00A35E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19"/>
        <w:gridCol w:w="2114"/>
        <w:gridCol w:w="2322"/>
        <w:gridCol w:w="2495"/>
      </w:tblGrid>
      <w:tr w:rsidR="00A35EBA" w:rsidRPr="001F3B32" w14:paraId="7A81A368" w14:textId="77777777" w:rsidTr="00D359F7">
        <w:tc>
          <w:tcPr>
            <w:tcW w:w="2448" w:type="dxa"/>
          </w:tcPr>
          <w:p w14:paraId="6DE437AA" w14:textId="7A7B10C9" w:rsidR="00A35EBA" w:rsidRPr="001F3B32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7386B84" w14:textId="7BD52084" w:rsidR="00A35EBA" w:rsidRPr="001F3B32" w:rsidRDefault="00EF0157" w:rsidP="00200AD4">
            <w:pPr>
              <w:spacing w:after="12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Interaktyvūs ekranai M</w:t>
            </w:r>
            <w:r w:rsidR="00AF1AFA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artyno</w:t>
            </w:r>
            <w:r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Jankaus </w:t>
            </w:r>
            <w:r w:rsidR="00FE3DB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pagrindinei </w:t>
            </w:r>
            <w:r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mokyklai</w:t>
            </w:r>
          </w:p>
        </w:tc>
      </w:tr>
      <w:tr w:rsidR="00A35EBA" w:rsidRPr="001F3B32" w14:paraId="2DE56213" w14:textId="77777777" w:rsidTr="00D359F7">
        <w:tc>
          <w:tcPr>
            <w:tcW w:w="2448" w:type="dxa"/>
          </w:tcPr>
          <w:p w14:paraId="73834F4E" w14:textId="5847983A" w:rsidR="00A35EBA" w:rsidRPr="001F3B32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data</w:t>
            </w:r>
          </w:p>
        </w:tc>
        <w:tc>
          <w:tcPr>
            <w:tcW w:w="2177" w:type="dxa"/>
          </w:tcPr>
          <w:p w14:paraId="77C379EE" w14:textId="77777777" w:rsidR="00A35EBA" w:rsidRPr="001F3B32" w:rsidRDefault="00A35EBA" w:rsidP="00A35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129A3F0" w14:textId="643C4225" w:rsidR="00A35EBA" w:rsidRPr="001F3B32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numeris</w:t>
            </w:r>
          </w:p>
        </w:tc>
        <w:tc>
          <w:tcPr>
            <w:tcW w:w="2571" w:type="dxa"/>
          </w:tcPr>
          <w:p w14:paraId="0F864A84" w14:textId="2D4629EF" w:rsidR="00A35EBA" w:rsidRPr="001F3B32" w:rsidRDefault="00A35EBA" w:rsidP="00A35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D00490F" w14:textId="77777777" w:rsidR="00A35EBA" w:rsidRPr="001F3B32" w:rsidRDefault="00A35EBA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1"/>
        <w:gridCol w:w="3174"/>
        <w:gridCol w:w="3435"/>
      </w:tblGrid>
      <w:tr w:rsidR="000731DF" w:rsidRPr="001F3B32" w14:paraId="055FB346" w14:textId="77777777" w:rsidTr="002569B9">
        <w:tc>
          <w:tcPr>
            <w:tcW w:w="9350" w:type="dxa"/>
            <w:gridSpan w:val="3"/>
          </w:tcPr>
          <w:p w14:paraId="61E766CD" w14:textId="55CBF18F" w:rsidR="000731DF" w:rsidRPr="001F3B32" w:rsidRDefault="000731DF" w:rsidP="00073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 SUTARTIES ŠALYS</w:t>
            </w:r>
          </w:p>
        </w:tc>
      </w:tr>
      <w:tr w:rsidR="00D30345" w:rsidRPr="001F3B32" w14:paraId="7AED9BD9" w14:textId="77777777" w:rsidTr="002569B9">
        <w:tc>
          <w:tcPr>
            <w:tcW w:w="2741" w:type="dxa"/>
            <w:vMerge w:val="restart"/>
          </w:tcPr>
          <w:p w14:paraId="461368AB" w14:textId="77777777" w:rsidR="00D30345" w:rsidRPr="001F3B32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CD626AF" w14:textId="77777777" w:rsidR="00D30345" w:rsidRPr="001F3B32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83F2BA2" w14:textId="77777777" w:rsidR="00D30345" w:rsidRPr="001F3B32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17979C0" w14:textId="77777777" w:rsidR="00D30345" w:rsidRPr="001F3B32" w:rsidRDefault="00D30345" w:rsidP="00D30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68EE292" w14:textId="4326C5A7" w:rsidR="00D30345" w:rsidRPr="001F3B32" w:rsidRDefault="00D30345" w:rsidP="00D30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1.1. Pirkėjas</w:t>
            </w:r>
          </w:p>
        </w:tc>
        <w:tc>
          <w:tcPr>
            <w:tcW w:w="3174" w:type="dxa"/>
          </w:tcPr>
          <w:p w14:paraId="7687EAA0" w14:textId="202A95EE" w:rsidR="00D30345" w:rsidRPr="001F3B32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1.1.1. Pavadinimas</w:t>
            </w:r>
          </w:p>
        </w:tc>
        <w:tc>
          <w:tcPr>
            <w:tcW w:w="3435" w:type="dxa"/>
          </w:tcPr>
          <w:p w14:paraId="0AEE8193" w14:textId="0FF25173" w:rsidR="00D30345" w:rsidRPr="001F3B32" w:rsidRDefault="002569B9" w:rsidP="0007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rajono savivaldybės administracija</w:t>
            </w:r>
          </w:p>
        </w:tc>
      </w:tr>
      <w:tr w:rsidR="00D30345" w:rsidRPr="001F3B32" w14:paraId="091A4A72" w14:textId="77777777" w:rsidTr="002569B9">
        <w:tc>
          <w:tcPr>
            <w:tcW w:w="2741" w:type="dxa"/>
            <w:vMerge/>
          </w:tcPr>
          <w:p w14:paraId="2355153C" w14:textId="77777777" w:rsidR="00D30345" w:rsidRPr="001F3B32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21C6BE7" w14:textId="2BBA5910" w:rsidR="00D30345" w:rsidRPr="001F3B32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1.1.2. Juridinio asmens kodas</w:t>
            </w:r>
          </w:p>
        </w:tc>
        <w:tc>
          <w:tcPr>
            <w:tcW w:w="3435" w:type="dxa"/>
          </w:tcPr>
          <w:p w14:paraId="67642CDF" w14:textId="7298C89E" w:rsidR="00D30345" w:rsidRPr="001F3B32" w:rsidRDefault="002569B9" w:rsidP="0007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188723322</w:t>
            </w:r>
          </w:p>
        </w:tc>
      </w:tr>
      <w:tr w:rsidR="002569B9" w:rsidRPr="001F3B32" w14:paraId="6FA6A376" w14:textId="77777777" w:rsidTr="002569B9">
        <w:tc>
          <w:tcPr>
            <w:tcW w:w="2741" w:type="dxa"/>
            <w:vMerge/>
          </w:tcPr>
          <w:p w14:paraId="6DA5CA38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C4BA67B" w14:textId="16244B22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1.1.3. Adresas</w:t>
            </w:r>
          </w:p>
        </w:tc>
        <w:tc>
          <w:tcPr>
            <w:tcW w:w="3435" w:type="dxa"/>
          </w:tcPr>
          <w:p w14:paraId="4D3E71F5" w14:textId="7D118F85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Dariaus ir Girėno g. 1, Šilutė</w:t>
            </w:r>
          </w:p>
        </w:tc>
      </w:tr>
      <w:tr w:rsidR="002569B9" w:rsidRPr="001F3B32" w14:paraId="71B664A3" w14:textId="77777777" w:rsidTr="002569B9">
        <w:tc>
          <w:tcPr>
            <w:tcW w:w="2741" w:type="dxa"/>
            <w:vMerge/>
          </w:tcPr>
          <w:p w14:paraId="2F07E2AE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5C8FFDC2" w14:textId="01307B88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1.1.3. PVM mokėtojo kodas</w:t>
            </w:r>
          </w:p>
        </w:tc>
        <w:tc>
          <w:tcPr>
            <w:tcW w:w="3435" w:type="dxa"/>
          </w:tcPr>
          <w:p w14:paraId="1B06DF6F" w14:textId="25BBD71B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</w:t>
            </w:r>
          </w:p>
        </w:tc>
      </w:tr>
      <w:tr w:rsidR="002569B9" w:rsidRPr="001F3B32" w14:paraId="5AC09FE6" w14:textId="77777777" w:rsidTr="002569B9">
        <w:tc>
          <w:tcPr>
            <w:tcW w:w="2741" w:type="dxa"/>
            <w:vMerge/>
          </w:tcPr>
          <w:p w14:paraId="0B5D490E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4C862B9" w14:textId="526594AF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1.1.4. Atsiskaitomoji sąskaita</w:t>
            </w:r>
          </w:p>
        </w:tc>
        <w:tc>
          <w:tcPr>
            <w:tcW w:w="3435" w:type="dxa"/>
          </w:tcPr>
          <w:p w14:paraId="6680155E" w14:textId="3237EEF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LT13 7300 0101 1319 4651</w:t>
            </w:r>
          </w:p>
        </w:tc>
      </w:tr>
      <w:tr w:rsidR="002569B9" w:rsidRPr="001F3B32" w14:paraId="71A422F1" w14:textId="77777777" w:rsidTr="002569B9">
        <w:tc>
          <w:tcPr>
            <w:tcW w:w="2741" w:type="dxa"/>
            <w:vMerge/>
          </w:tcPr>
          <w:p w14:paraId="3BF1457E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203D23C" w14:textId="47C3C252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1.1.5. Bankas, banko kodas</w:t>
            </w:r>
          </w:p>
        </w:tc>
        <w:tc>
          <w:tcPr>
            <w:tcW w:w="3435" w:type="dxa"/>
          </w:tcPr>
          <w:p w14:paraId="57A50B02" w14:textId="26D75080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,,Swedbank“, banko kodas 73000</w:t>
            </w:r>
          </w:p>
        </w:tc>
      </w:tr>
      <w:tr w:rsidR="002569B9" w:rsidRPr="001F3B32" w14:paraId="55062715" w14:textId="77777777" w:rsidTr="002569B9">
        <w:tc>
          <w:tcPr>
            <w:tcW w:w="2741" w:type="dxa"/>
            <w:vMerge/>
          </w:tcPr>
          <w:p w14:paraId="5B27F319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26A5EF0F" w14:textId="3BE69B43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1.1.6. Telefonas</w:t>
            </w:r>
          </w:p>
        </w:tc>
        <w:tc>
          <w:tcPr>
            <w:tcW w:w="3435" w:type="dxa"/>
          </w:tcPr>
          <w:p w14:paraId="46D0D848" w14:textId="2D37FF04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+370 441  79 266</w:t>
            </w:r>
          </w:p>
        </w:tc>
      </w:tr>
      <w:tr w:rsidR="002569B9" w:rsidRPr="001F3B32" w14:paraId="12FCBF65" w14:textId="77777777" w:rsidTr="002569B9">
        <w:tc>
          <w:tcPr>
            <w:tcW w:w="2741" w:type="dxa"/>
            <w:vMerge/>
          </w:tcPr>
          <w:p w14:paraId="46B888F1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06A6430" w14:textId="76C61003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1.1.7. El. paštas</w:t>
            </w:r>
          </w:p>
        </w:tc>
        <w:tc>
          <w:tcPr>
            <w:tcW w:w="3435" w:type="dxa"/>
          </w:tcPr>
          <w:p w14:paraId="7C9248B8" w14:textId="583EFEFD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Pr="001F3B3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administracija@silute.lt</w:t>
              </w:r>
            </w:hyperlink>
          </w:p>
        </w:tc>
      </w:tr>
      <w:tr w:rsidR="002569B9" w:rsidRPr="001F3B32" w14:paraId="75AA6E42" w14:textId="77777777" w:rsidTr="002569B9">
        <w:tc>
          <w:tcPr>
            <w:tcW w:w="2741" w:type="dxa"/>
            <w:vMerge/>
          </w:tcPr>
          <w:p w14:paraId="0A2A0CA7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A34244F" w14:textId="1D316709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1.1.8. Atstovas</w:t>
            </w:r>
          </w:p>
        </w:tc>
        <w:tc>
          <w:tcPr>
            <w:tcW w:w="3435" w:type="dxa"/>
          </w:tcPr>
          <w:p w14:paraId="0D61A2AD" w14:textId="03C91524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direktorius</w:t>
            </w:r>
          </w:p>
        </w:tc>
      </w:tr>
      <w:tr w:rsidR="002569B9" w:rsidRPr="001F3B32" w14:paraId="60566CDA" w14:textId="77777777" w:rsidTr="002569B9">
        <w:tc>
          <w:tcPr>
            <w:tcW w:w="2741" w:type="dxa"/>
            <w:vMerge/>
          </w:tcPr>
          <w:p w14:paraId="27D57B02" w14:textId="7777777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3DCC3A8" w14:textId="5DBFEBBE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1.1.9. Atstovavimo pagrindas</w:t>
            </w:r>
          </w:p>
        </w:tc>
        <w:tc>
          <w:tcPr>
            <w:tcW w:w="3435" w:type="dxa"/>
          </w:tcPr>
          <w:p w14:paraId="074AEC43" w14:textId="543CC8C3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nuostatai</w:t>
            </w:r>
          </w:p>
        </w:tc>
      </w:tr>
      <w:tr w:rsidR="002569B9" w:rsidRPr="001F3B32" w14:paraId="05BCFE3F" w14:textId="77777777" w:rsidTr="002569B9">
        <w:tc>
          <w:tcPr>
            <w:tcW w:w="2741" w:type="dxa"/>
            <w:vMerge w:val="restart"/>
          </w:tcPr>
          <w:p w14:paraId="1258100F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5A0CBB1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1189ACD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DBB6150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F3159CF" w14:textId="38B6C083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1.2. Tiekėjas</w:t>
            </w:r>
          </w:p>
        </w:tc>
        <w:tc>
          <w:tcPr>
            <w:tcW w:w="3174" w:type="dxa"/>
          </w:tcPr>
          <w:p w14:paraId="534F5D66" w14:textId="0BAFDCE1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1.2.1. Pavadinimas</w:t>
            </w:r>
          </w:p>
        </w:tc>
        <w:tc>
          <w:tcPr>
            <w:tcW w:w="3435" w:type="dxa"/>
          </w:tcPr>
          <w:p w14:paraId="26BEEDFE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52AB25B6" w14:textId="77777777" w:rsidTr="002569B9">
        <w:tc>
          <w:tcPr>
            <w:tcW w:w="2741" w:type="dxa"/>
            <w:vMerge/>
          </w:tcPr>
          <w:p w14:paraId="36D38AD4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6C81AC79" w14:textId="070E56BD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1.2.2. Juridinio asmens kodas</w:t>
            </w:r>
          </w:p>
        </w:tc>
        <w:tc>
          <w:tcPr>
            <w:tcW w:w="3435" w:type="dxa"/>
          </w:tcPr>
          <w:p w14:paraId="45C28668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0617E306" w14:textId="77777777" w:rsidTr="002569B9">
        <w:tc>
          <w:tcPr>
            <w:tcW w:w="2741" w:type="dxa"/>
            <w:vMerge/>
          </w:tcPr>
          <w:p w14:paraId="7E5CA052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27F6CD7" w14:textId="5C2C26E6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1.2.3. Adresas</w:t>
            </w:r>
          </w:p>
        </w:tc>
        <w:tc>
          <w:tcPr>
            <w:tcW w:w="3435" w:type="dxa"/>
          </w:tcPr>
          <w:p w14:paraId="2D7F421B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09751691" w14:textId="77777777" w:rsidTr="002569B9">
        <w:tc>
          <w:tcPr>
            <w:tcW w:w="2741" w:type="dxa"/>
            <w:vMerge/>
          </w:tcPr>
          <w:p w14:paraId="69EF1C01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5122FBA" w14:textId="14BF2620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1.2.4. PVM mokėtojo kodas</w:t>
            </w:r>
          </w:p>
        </w:tc>
        <w:tc>
          <w:tcPr>
            <w:tcW w:w="3435" w:type="dxa"/>
          </w:tcPr>
          <w:p w14:paraId="75BDB27B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1BF67AB9" w14:textId="77777777" w:rsidTr="002569B9">
        <w:tc>
          <w:tcPr>
            <w:tcW w:w="2741" w:type="dxa"/>
            <w:vMerge/>
          </w:tcPr>
          <w:p w14:paraId="4A5204DD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7916E5F" w14:textId="4E6B38F8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1.2.5. Atsiskaitomoji sąskaita</w:t>
            </w:r>
          </w:p>
        </w:tc>
        <w:tc>
          <w:tcPr>
            <w:tcW w:w="3435" w:type="dxa"/>
          </w:tcPr>
          <w:p w14:paraId="3144156B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3C9E0CA2" w14:textId="77777777" w:rsidTr="002569B9">
        <w:tc>
          <w:tcPr>
            <w:tcW w:w="2741" w:type="dxa"/>
            <w:vMerge/>
          </w:tcPr>
          <w:p w14:paraId="672CABC3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7C632F4" w14:textId="69F32167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1.2.6. Bankas, banko kodas</w:t>
            </w:r>
          </w:p>
        </w:tc>
        <w:tc>
          <w:tcPr>
            <w:tcW w:w="3435" w:type="dxa"/>
          </w:tcPr>
          <w:p w14:paraId="499D8FAF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49722F18" w14:textId="77777777" w:rsidTr="002569B9">
        <w:tc>
          <w:tcPr>
            <w:tcW w:w="2741" w:type="dxa"/>
            <w:vMerge/>
          </w:tcPr>
          <w:p w14:paraId="303F701C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CBCA83C" w14:textId="769D4D54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1.2.7. Telefonas</w:t>
            </w:r>
          </w:p>
        </w:tc>
        <w:tc>
          <w:tcPr>
            <w:tcW w:w="3435" w:type="dxa"/>
          </w:tcPr>
          <w:p w14:paraId="3C8EB2E7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7E47FF6E" w14:textId="77777777" w:rsidTr="002569B9">
        <w:tc>
          <w:tcPr>
            <w:tcW w:w="2741" w:type="dxa"/>
            <w:vMerge/>
          </w:tcPr>
          <w:p w14:paraId="0B9629D4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ACF6549" w14:textId="74466C48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1.2.8. El. paštas</w:t>
            </w:r>
          </w:p>
        </w:tc>
        <w:tc>
          <w:tcPr>
            <w:tcW w:w="3435" w:type="dxa"/>
          </w:tcPr>
          <w:p w14:paraId="216D6EFF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69B9" w:rsidRPr="001F3B32" w14:paraId="0C627075" w14:textId="77777777" w:rsidTr="002569B9">
        <w:tc>
          <w:tcPr>
            <w:tcW w:w="2741" w:type="dxa"/>
            <w:vMerge/>
          </w:tcPr>
          <w:p w14:paraId="7A16D722" w14:textId="77777777" w:rsidR="002569B9" w:rsidRPr="001F3B32" w:rsidRDefault="002569B9" w:rsidP="002569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59482E9B" w14:textId="541013CA" w:rsidR="002569B9" w:rsidRPr="001F3B32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1.2.9. Atstovas</w:t>
            </w:r>
          </w:p>
        </w:tc>
        <w:tc>
          <w:tcPr>
            <w:tcW w:w="3435" w:type="dxa"/>
          </w:tcPr>
          <w:p w14:paraId="4130E8DE" w14:textId="77777777" w:rsidR="002569B9" w:rsidRPr="001F3B32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0F4CD7B" w14:textId="77777777" w:rsidR="000731DF" w:rsidRPr="001F3B32" w:rsidRDefault="000731DF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84" w:type="dxa"/>
        <w:tblLook w:val="04A0" w:firstRow="1" w:lastRow="0" w:firstColumn="1" w:lastColumn="0" w:noHBand="0" w:noVBand="1"/>
      </w:tblPr>
      <w:tblGrid>
        <w:gridCol w:w="2310"/>
        <w:gridCol w:w="172"/>
        <w:gridCol w:w="7002"/>
      </w:tblGrid>
      <w:tr w:rsidR="00753BC6" w:rsidRPr="001F3B32" w14:paraId="0BF82C8D" w14:textId="77777777" w:rsidTr="59C98B97">
        <w:trPr>
          <w:trHeight w:val="300"/>
        </w:trPr>
        <w:tc>
          <w:tcPr>
            <w:tcW w:w="9484" w:type="dxa"/>
            <w:gridSpan w:val="3"/>
          </w:tcPr>
          <w:p w14:paraId="525B19C3" w14:textId="14D6E098" w:rsidR="00753BC6" w:rsidRPr="001F3B32" w:rsidRDefault="00753BC6" w:rsidP="00683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 ATSAKINGI ASMENYS</w:t>
            </w:r>
          </w:p>
        </w:tc>
      </w:tr>
      <w:tr w:rsidR="00753BC6" w:rsidRPr="001F3B32" w14:paraId="5363B135" w14:textId="77777777" w:rsidTr="59C98B97">
        <w:trPr>
          <w:trHeight w:val="300"/>
        </w:trPr>
        <w:tc>
          <w:tcPr>
            <w:tcW w:w="2482" w:type="dxa"/>
            <w:gridSpan w:val="2"/>
          </w:tcPr>
          <w:p w14:paraId="41E512C7" w14:textId="3E6CC56F" w:rsidR="00753BC6" w:rsidRPr="001F3B32" w:rsidRDefault="00753BC6" w:rsidP="00753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2.1. Pirkėjo atstovas</w:t>
            </w:r>
            <w:r w:rsidR="00564B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(-ai)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atsakingas </w:t>
            </w:r>
            <w:r w:rsidR="00564B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(-i)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 Sutarties vykdym</w:t>
            </w:r>
            <w:r w:rsidR="00564B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ą, Prekių priėmimą, </w:t>
            </w:r>
            <w:r w:rsidR="0051126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Sąskaitų</w:t>
            </w:r>
            <w:r w:rsidR="00564B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per informacinę sistemą „</w:t>
            </w:r>
            <w:r w:rsidR="00A2125C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SABIS</w:t>
            </w:r>
            <w:r w:rsidR="00564B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 priėmimą</w:t>
            </w:r>
          </w:p>
        </w:tc>
        <w:tc>
          <w:tcPr>
            <w:tcW w:w="7002" w:type="dxa"/>
          </w:tcPr>
          <w:p w14:paraId="050D9B45" w14:textId="77777777" w:rsidR="00EF0157" w:rsidRPr="001F3B32" w:rsidRDefault="00EF0157" w:rsidP="00EF0157">
            <w:pPr>
              <w:pStyle w:val="Sraopastraipa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Švietimo, sporto ir kultūros skyriaus viešojo administravimo institucijos specialistė Rūta </w:t>
            </w:r>
            <w:proofErr w:type="spellStart"/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Šešelgienė</w:t>
            </w:r>
            <w:proofErr w:type="spellEnd"/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, tel. +370 441 79 269, el. paštas </w:t>
            </w:r>
            <w:hyperlink r:id="rId12" w:history="1">
              <w:r w:rsidRPr="001F3B32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lt-LT"/>
                </w:rPr>
                <w:t>ruta.seselgiene@silute.lt</w:t>
              </w:r>
            </w:hyperlink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  <w:r w:rsidRPr="001F3B3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lt-LT"/>
              </w:rPr>
              <w:tab/>
            </w:r>
          </w:p>
          <w:p w14:paraId="5EE0066F" w14:textId="4169707F" w:rsidR="00753BC6" w:rsidRPr="001F3B32" w:rsidRDefault="00753BC6" w:rsidP="00753BC6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564B12" w:rsidRPr="001F3B32" w14:paraId="6BE9B4A4" w14:textId="77777777" w:rsidTr="59C98B97">
        <w:trPr>
          <w:trHeight w:val="300"/>
        </w:trPr>
        <w:tc>
          <w:tcPr>
            <w:tcW w:w="2482" w:type="dxa"/>
            <w:gridSpan w:val="2"/>
          </w:tcPr>
          <w:p w14:paraId="3763CB2B" w14:textId="5CF8F4F8" w:rsidR="00564B12" w:rsidRPr="001F3B32" w:rsidRDefault="00564B12" w:rsidP="00753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2.2. </w:t>
            </w:r>
            <w:r w:rsidR="00D5167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atstovas (-ai), atsakingas (-i) už Sutarties vykdymą</w:t>
            </w:r>
          </w:p>
        </w:tc>
        <w:tc>
          <w:tcPr>
            <w:tcW w:w="7002" w:type="dxa"/>
          </w:tcPr>
          <w:p w14:paraId="0A75FFF9" w14:textId="5E91E032" w:rsidR="00564B12" w:rsidRPr="001F3B32" w:rsidRDefault="00564B12" w:rsidP="00753BC6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(</w:t>
            </w:r>
            <w:r w:rsidRPr="001F3B32">
              <w:rPr>
                <w:rStyle w:val="cf01"/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nurodomas padalinys/skyrius, pareigos, vardas, pavardė, tel., el. paštas.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)</w:t>
            </w:r>
          </w:p>
        </w:tc>
      </w:tr>
      <w:tr w:rsidR="00683306" w:rsidRPr="001F3B32" w14:paraId="60845B1B" w14:textId="77777777" w:rsidTr="59C98B97">
        <w:trPr>
          <w:trHeight w:val="300"/>
        </w:trPr>
        <w:tc>
          <w:tcPr>
            <w:tcW w:w="9484" w:type="dxa"/>
            <w:gridSpan w:val="3"/>
          </w:tcPr>
          <w:p w14:paraId="15F4844E" w14:textId="28E70B93" w:rsidR="00683306" w:rsidRPr="001F3B32" w:rsidRDefault="00753BC6" w:rsidP="00683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="00683306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SUTARTIES DALYKAS</w:t>
            </w:r>
          </w:p>
        </w:tc>
      </w:tr>
      <w:tr w:rsidR="00CB377B" w:rsidRPr="001F3B32" w14:paraId="5ADC426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FA58C83" w14:textId="396CDE3B" w:rsidR="00CB377B" w:rsidRPr="001F3B32" w:rsidRDefault="00753BC6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3</w:t>
            </w:r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.1. Prek</w:t>
            </w:r>
            <w:r w:rsidR="001E01AE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ės (-</w:t>
            </w:r>
            <w:proofErr w:type="spellStart"/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ių</w:t>
            </w:r>
            <w:proofErr w:type="spellEnd"/>
            <w:r w:rsidR="001E01AE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aprašymas</w:t>
            </w:r>
          </w:p>
        </w:tc>
        <w:tc>
          <w:tcPr>
            <w:tcW w:w="7002" w:type="dxa"/>
          </w:tcPr>
          <w:p w14:paraId="38817CF2" w14:textId="0B1489E3" w:rsidR="00CB377B" w:rsidRPr="001F3B32" w:rsidRDefault="00D51677" w:rsidP="00D51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00B712BB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Sutartyje numatytomis sąlygomis perduoti Pirkėjui </w:t>
            </w:r>
            <w:r w:rsidR="00EF015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="002569B9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E3DB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(penkis) </w:t>
            </w:r>
            <w:r w:rsidR="002569B9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vnt. </w:t>
            </w:r>
            <w:r w:rsidR="00FE3DB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="00EF015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nteraktyvių ekranų</w:t>
            </w:r>
            <w:r w:rsidR="00FE3DB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(toliau – Prekės)</w:t>
            </w:r>
            <w:r w:rsidR="00EF0157" w:rsidRPr="001F3B3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14:paraId="4D0C466B" w14:textId="34D5987A" w:rsidR="00B712BB" w:rsidRPr="001F3B32" w:rsidRDefault="00B712BB" w:rsidP="00A35E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Išsamus Prek</w:t>
            </w:r>
            <w:r w:rsidR="00815A03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ės (-</w:t>
            </w:r>
            <w:proofErr w:type="spellStart"/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proofErr w:type="spellEnd"/>
            <w:r w:rsidR="00D672D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aprašymas ir kiti reikalavimai tiekiam</w:t>
            </w:r>
            <w:r w:rsidR="00D672D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 (-</w:t>
            </w:r>
            <w:proofErr w:type="spellStart"/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oms</w:t>
            </w:r>
            <w:proofErr w:type="spellEnd"/>
            <w:r w:rsidR="00D672D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Prek</w:t>
            </w:r>
            <w:r w:rsidR="00D672D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 (-</w:t>
            </w:r>
            <w:proofErr w:type="spellStart"/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ėms</w:t>
            </w:r>
            <w:proofErr w:type="spellEnd"/>
            <w:r w:rsidR="00D672D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nustatyti</w:t>
            </w:r>
            <w:r w:rsidR="00856198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Sutarties pried</w:t>
            </w:r>
            <w:r w:rsidR="002D08D4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 Nr. [</w:t>
            </w:r>
            <w:r w:rsidR="002569B9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2D08D4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] „Techninė specifikacija“ </w:t>
            </w:r>
            <w:r w:rsidR="00753BC6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(toliau – Techninė specifikacija) </w:t>
            </w:r>
            <w:r w:rsidR="002D08D4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 Sutarties priede Nr. [</w:t>
            </w:r>
            <w:r w:rsidR="002569B9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2D08D4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] „Pasiūlymas“</w:t>
            </w:r>
            <w:r w:rsidR="00FE3DB7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B712BB" w:rsidRPr="001F3B32" w14:paraId="4C2518F1" w14:textId="77777777" w:rsidTr="00527D07">
        <w:trPr>
          <w:trHeight w:val="300"/>
        </w:trPr>
        <w:tc>
          <w:tcPr>
            <w:tcW w:w="2482" w:type="dxa"/>
            <w:gridSpan w:val="2"/>
          </w:tcPr>
          <w:p w14:paraId="750159C1" w14:textId="5C4154DD" w:rsidR="00B712BB" w:rsidRPr="001F3B32" w:rsidRDefault="00753BC6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.2. Informacija apie E</w:t>
            </w:r>
            <w:r w:rsidR="0085619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uropos </w:t>
            </w:r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85619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ąjungos lėšomis</w:t>
            </w:r>
            <w:r w:rsidR="00B712B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finansuojamą projektą</w:t>
            </w:r>
            <w:r w:rsidR="0085619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E322C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arba kitą projektą</w:t>
            </w:r>
          </w:p>
        </w:tc>
        <w:tc>
          <w:tcPr>
            <w:tcW w:w="7002" w:type="dxa"/>
          </w:tcPr>
          <w:p w14:paraId="4FDD35DA" w14:textId="38F0E56C" w:rsidR="00856198" w:rsidRPr="001F3B32" w:rsidRDefault="00105A88" w:rsidP="00753B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Ekonomikos gaivinimo ir atsparumo didinimo priemonės lėšomis (EGADP) ir Lietuvos Respublikos valstybės biudžeto lėšomis finansuojamas projektas Nr. 10-012-P-0001, pavadinimas „Tūkstantmečio mokyklos II“.  </w:t>
            </w:r>
          </w:p>
        </w:tc>
      </w:tr>
      <w:tr w:rsidR="00B712BB" w:rsidRPr="001F3B32" w14:paraId="39FFD02D" w14:textId="77777777" w:rsidTr="00527D07">
        <w:trPr>
          <w:trHeight w:val="300"/>
        </w:trPr>
        <w:tc>
          <w:tcPr>
            <w:tcW w:w="2482" w:type="dxa"/>
            <w:gridSpan w:val="2"/>
          </w:tcPr>
          <w:p w14:paraId="6572549F" w14:textId="610DC3A4" w:rsidR="00B712BB" w:rsidRPr="001F3B32" w:rsidRDefault="00EE59CD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3.3. Sutarties kalba</w:t>
            </w:r>
          </w:p>
        </w:tc>
        <w:tc>
          <w:tcPr>
            <w:tcW w:w="7002" w:type="dxa"/>
          </w:tcPr>
          <w:p w14:paraId="6E255198" w14:textId="140FC6AB" w:rsidR="001D2B70" w:rsidRPr="001F3B32" w:rsidRDefault="00EE59CD" w:rsidP="001D2B70">
            <w:pPr>
              <w:pStyle w:val="Default"/>
              <w:jc w:val="both"/>
              <w:rPr>
                <w:lang w:val="lt-LT"/>
              </w:rPr>
            </w:pPr>
            <w:r w:rsidRPr="001F3B32">
              <w:rPr>
                <w:lang w:val="lt-LT"/>
              </w:rPr>
              <w:t>Ši Sutartis sudaryta lietuvių kalba</w:t>
            </w:r>
            <w:r w:rsidRPr="001F3B32">
              <w:rPr>
                <w:i/>
                <w:iCs/>
                <w:color w:val="4472C4" w:themeColor="accent1"/>
                <w:lang w:val="lt-LT"/>
              </w:rPr>
              <w:t xml:space="preserve"> </w:t>
            </w:r>
            <w:r w:rsidRPr="001F3B32">
              <w:rPr>
                <w:lang w:val="lt-LT"/>
              </w:rPr>
              <w:t>2 (dviem) egzemplioriais, turinčiais vienodą teisinę galią, po vieną kiekvienai Šaliai.</w:t>
            </w:r>
          </w:p>
        </w:tc>
      </w:tr>
      <w:tr w:rsidR="00EB773F" w:rsidRPr="001F3B32" w14:paraId="5DB44F71" w14:textId="77777777" w:rsidTr="59C98B97">
        <w:trPr>
          <w:trHeight w:val="300"/>
        </w:trPr>
        <w:tc>
          <w:tcPr>
            <w:tcW w:w="9484" w:type="dxa"/>
            <w:gridSpan w:val="3"/>
          </w:tcPr>
          <w:p w14:paraId="6CA3A9C1" w14:textId="7B67C947" w:rsidR="00EB773F" w:rsidRPr="001F3B32" w:rsidRDefault="00EB773F" w:rsidP="00EB7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 PREKIŲ PRISTATYMO TERMINAI</w:t>
            </w:r>
            <w:r w:rsidR="00B56776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PREKIŲ PERDAVIMO</w:t>
            </w:r>
            <w:r w:rsidR="00F03FF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-PRIĖMIMO</w:t>
            </w:r>
            <w:r w:rsidR="00B56776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TVARKA</w:t>
            </w:r>
          </w:p>
        </w:tc>
      </w:tr>
      <w:tr w:rsidR="00EB773F" w:rsidRPr="001F3B32" w14:paraId="7B0AAFE5" w14:textId="77777777" w:rsidTr="00527D07">
        <w:trPr>
          <w:trHeight w:val="300"/>
        </w:trPr>
        <w:tc>
          <w:tcPr>
            <w:tcW w:w="2482" w:type="dxa"/>
            <w:gridSpan w:val="2"/>
          </w:tcPr>
          <w:p w14:paraId="5F6E4112" w14:textId="66E5B55F" w:rsidR="00EB773F" w:rsidRPr="001F3B32" w:rsidRDefault="00EB773F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Prekių pristatymo terminas</w:t>
            </w:r>
            <w:r w:rsidR="00F47085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kai </w:t>
            </w:r>
            <w:r w:rsidR="006437D3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Prekė</w:t>
            </w:r>
            <w:r w:rsidR="00976AA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(-ė</w:t>
            </w:r>
            <w:r w:rsidR="006437D3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76AA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="006437D3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pristatomos vienu kartu</w:t>
            </w:r>
          </w:p>
        </w:tc>
        <w:tc>
          <w:tcPr>
            <w:tcW w:w="7002" w:type="dxa"/>
          </w:tcPr>
          <w:p w14:paraId="4F3FF80F" w14:textId="77777777" w:rsidR="00105A88" w:rsidRPr="001F3B32" w:rsidRDefault="00D51677" w:rsidP="00105A88">
            <w:pPr>
              <w:pStyle w:val="Betarp"/>
              <w:tabs>
                <w:tab w:val="left" w:pos="993"/>
              </w:tabs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r w:rsidR="00917312" w:rsidRPr="001F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AB" w:rsidRPr="001F3B32">
              <w:rPr>
                <w:rFonts w:ascii="Times New Roman" w:hAnsi="Times New Roman" w:cs="Times New Roman"/>
                <w:sz w:val="24"/>
                <w:szCs w:val="24"/>
              </w:rPr>
              <w:t>Prekę (</w:t>
            </w:r>
            <w:r w:rsidR="00917312" w:rsidRPr="001F3B32">
              <w:rPr>
                <w:rFonts w:ascii="Times New Roman" w:hAnsi="Times New Roman" w:cs="Times New Roman"/>
                <w:sz w:val="24"/>
                <w:szCs w:val="24"/>
              </w:rPr>
              <w:t xml:space="preserve">visą Prekių </w:t>
            </w:r>
            <w:r w:rsidR="008C28BC" w:rsidRPr="001F3B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17312" w:rsidRPr="001F3B32">
              <w:rPr>
                <w:rFonts w:ascii="Times New Roman" w:hAnsi="Times New Roman" w:cs="Times New Roman"/>
                <w:sz w:val="24"/>
                <w:szCs w:val="24"/>
              </w:rPr>
              <w:t>iekį</w:t>
            </w:r>
            <w:r w:rsidR="00976AAB" w:rsidRPr="001F3B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7312" w:rsidRPr="001F3B32">
              <w:rPr>
                <w:rFonts w:ascii="Times New Roman" w:hAnsi="Times New Roman" w:cs="Times New Roman"/>
                <w:sz w:val="24"/>
                <w:szCs w:val="24"/>
              </w:rPr>
              <w:t xml:space="preserve"> įsipareigoja pristatyti </w:t>
            </w:r>
            <w:r w:rsidR="0091731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per </w:t>
            </w:r>
            <w:r w:rsidR="00EF015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25AED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F015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tris</w:t>
            </w:r>
            <w:r w:rsidR="00825AED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2272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mėnes</w:t>
            </w:r>
            <w:r w:rsidR="00105A8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ius</w:t>
            </w:r>
            <w:r w:rsidR="00917312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Sutarties įsigaliojimo dienos šiuo adresu (-</w:t>
            </w:r>
            <w:proofErr w:type="spellStart"/>
            <w:r w:rsidR="00917312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ais</w:t>
            </w:r>
            <w:proofErr w:type="spellEnd"/>
            <w:r w:rsidR="00522720"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  <w:r w:rsidR="00522720" w:rsidRPr="001F3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5A88" w:rsidRPr="001F3B32">
              <w:rPr>
                <w:rFonts w:ascii="Times New Roman" w:hAnsi="Times New Roman" w:cs="Times New Roman"/>
                <w:bCs/>
                <w:sz w:val="24"/>
                <w:szCs w:val="24"/>
              </w:rPr>
              <w:t>Šilutės Martyno Jankaus pagrindinė mokykla, S</w:t>
            </w:r>
            <w:r w:rsidR="00105A88" w:rsidRPr="001F3B32">
              <w:rPr>
                <w:rFonts w:ascii="Times New Roman" w:hAnsi="Times New Roman" w:cs="Times New Roman"/>
                <w:sz w:val="24"/>
                <w:szCs w:val="24"/>
              </w:rPr>
              <w:t>odų g. 7, LT-99117, Šilutėje.</w:t>
            </w:r>
          </w:p>
          <w:p w14:paraId="452AB902" w14:textId="641C3688" w:rsidR="00917312" w:rsidRPr="001F3B32" w:rsidRDefault="00917312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C32DA7" w14:textId="7AB323A5" w:rsidR="00F47085" w:rsidRPr="001F3B32" w:rsidRDefault="00F47085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47085" w:rsidRPr="001F3B32" w14:paraId="4D52FBB3" w14:textId="77777777" w:rsidTr="00527D07">
        <w:trPr>
          <w:trHeight w:val="300"/>
        </w:trPr>
        <w:tc>
          <w:tcPr>
            <w:tcW w:w="2482" w:type="dxa"/>
            <w:gridSpan w:val="2"/>
          </w:tcPr>
          <w:p w14:paraId="5E401BCA" w14:textId="68FF63FF" w:rsidR="00F47085" w:rsidRPr="001F3B32" w:rsidRDefault="00F47085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051366A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Prekių pristatymo terminai, kai Prekės pristatomos </w:t>
            </w:r>
            <w:r w:rsidR="009A1311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dalimis</w:t>
            </w:r>
          </w:p>
        </w:tc>
        <w:tc>
          <w:tcPr>
            <w:tcW w:w="7002" w:type="dxa"/>
          </w:tcPr>
          <w:p w14:paraId="78FB8265" w14:textId="77777777" w:rsidR="00F47085" w:rsidRPr="001F3B32" w:rsidRDefault="004E2CB4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Netaikoma</w:t>
            </w:r>
          </w:p>
          <w:p w14:paraId="5C76FF4E" w14:textId="456B5A11" w:rsidR="004E2CB4" w:rsidRPr="001F3B32" w:rsidRDefault="004E2CB4" w:rsidP="00EB773F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lt-LT"/>
              </w:rPr>
            </w:pPr>
          </w:p>
        </w:tc>
      </w:tr>
      <w:tr w:rsidR="00971FC1" w:rsidRPr="001F3B32" w14:paraId="0442CBEF" w14:textId="77777777" w:rsidTr="00527D07">
        <w:trPr>
          <w:trHeight w:val="300"/>
        </w:trPr>
        <w:tc>
          <w:tcPr>
            <w:tcW w:w="2482" w:type="dxa"/>
            <w:gridSpan w:val="2"/>
          </w:tcPr>
          <w:p w14:paraId="744179EE" w14:textId="68985F65" w:rsidR="00971FC1" w:rsidRPr="001F3B32" w:rsidRDefault="001A71FA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4.2. Prekių pristatymo termino pratęsimas</w:t>
            </w:r>
          </w:p>
        </w:tc>
        <w:tc>
          <w:tcPr>
            <w:tcW w:w="7002" w:type="dxa"/>
          </w:tcPr>
          <w:p w14:paraId="4611F001" w14:textId="77777777" w:rsidR="001A71FA" w:rsidRPr="001F3B32" w:rsidRDefault="001A71FA" w:rsidP="001A71FA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Netaikoma</w:t>
            </w:r>
          </w:p>
          <w:p w14:paraId="0EEFA0A4" w14:textId="122CFF76" w:rsidR="00971FC1" w:rsidRPr="001F3B32" w:rsidRDefault="00971FC1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4E2CB4" w:rsidRPr="001F3B32" w14:paraId="4EC62D14" w14:textId="77777777" w:rsidTr="00527D07">
        <w:trPr>
          <w:trHeight w:val="300"/>
        </w:trPr>
        <w:tc>
          <w:tcPr>
            <w:tcW w:w="2482" w:type="dxa"/>
            <w:gridSpan w:val="2"/>
          </w:tcPr>
          <w:p w14:paraId="7B160729" w14:textId="43EDF0D0" w:rsidR="004E2CB4" w:rsidRPr="001F3B32" w:rsidRDefault="004E2CB4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0B56776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F03FF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Užsakymų teikimo tvarka</w:t>
            </w:r>
          </w:p>
        </w:tc>
        <w:tc>
          <w:tcPr>
            <w:tcW w:w="7002" w:type="dxa"/>
          </w:tcPr>
          <w:p w14:paraId="3AD77950" w14:textId="76BE4356" w:rsidR="001D2EDB" w:rsidRPr="001F3B32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71DAC47" w14:textId="3725004C" w:rsidR="004E2CB4" w:rsidRPr="001F3B32" w:rsidRDefault="004E2CB4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965349" w:rsidRPr="001F3B32" w14:paraId="2C944B2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AB39E46" w14:textId="026EC70F" w:rsidR="00965349" w:rsidRPr="001F3B32" w:rsidRDefault="00965349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A6830F3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D2ED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Prekių pristatymo </w:t>
            </w:r>
            <w:r w:rsidR="00A823EF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dalimis</w:t>
            </w:r>
            <w:r w:rsidR="0090688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D2EDB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vertės/apimties</w:t>
            </w:r>
          </w:p>
        </w:tc>
        <w:tc>
          <w:tcPr>
            <w:tcW w:w="7002" w:type="dxa"/>
          </w:tcPr>
          <w:p w14:paraId="38156D43" w14:textId="77777777" w:rsidR="00965349" w:rsidRPr="001F3B32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7CBB242" w14:textId="21892C5E" w:rsidR="001D2EDB" w:rsidRPr="001F3B32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776" w:rsidRPr="001F3B32" w14:paraId="0DEE9432" w14:textId="77777777" w:rsidTr="00527D07">
        <w:trPr>
          <w:trHeight w:val="300"/>
        </w:trPr>
        <w:tc>
          <w:tcPr>
            <w:tcW w:w="2482" w:type="dxa"/>
            <w:gridSpan w:val="2"/>
          </w:tcPr>
          <w:p w14:paraId="7CA24E78" w14:textId="7EB20E21" w:rsidR="00B56776" w:rsidRPr="001F3B32" w:rsidRDefault="00B56776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4DDEF74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F03FF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Kartu su Prekėmis pateikiami dokumentai </w:t>
            </w:r>
          </w:p>
        </w:tc>
        <w:tc>
          <w:tcPr>
            <w:tcW w:w="7002" w:type="dxa"/>
          </w:tcPr>
          <w:p w14:paraId="4E936569" w14:textId="77777777" w:rsidR="001432EA" w:rsidRPr="001F3B32" w:rsidRDefault="00F03FF7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Kartu su Prekėmis pateikiami šie dokumentai: </w:t>
            </w:r>
          </w:p>
          <w:p w14:paraId="4CC074A3" w14:textId="3C8DF406" w:rsidR="00060EEE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4.5.1. Prekių priėmimo perdavimo aktas, kuriuo taip pat patvirtinama atitiktis aplinkos apsaugos kriterijams, nurodytiems Techninė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specifikacijo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je; </w:t>
            </w:r>
          </w:p>
          <w:p w14:paraId="0E4775D9" w14:textId="77777777" w:rsidR="00060EEE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4.5.2. CE ženklinimą įrodantys dokumentai (CE sertifikatas, jei prekė privalo būti sertifikuojama notifikuojančios institucijos, arba EB atitikties deklaracija);</w:t>
            </w:r>
          </w:p>
          <w:p w14:paraId="72FE811E" w14:textId="5D7E2CFD" w:rsidR="00060EEE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4.5.3. Atitiktį aplinkos apsaugos kriterijams, nurodytiems Techninė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specifikacijo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įrodantys dokumentai, t.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 gamintojo deklaracija, patvirtinanti, kad prekei pagaminti ir (ar) naudoti sunaudojama mažiau elektros energijos arba kiti lygiaverčiai įrodymai.</w:t>
            </w:r>
          </w:p>
          <w:p w14:paraId="77EE7C43" w14:textId="695AEBEF" w:rsidR="00060EEE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4.5.4. Atitiktį aplinkos apsaugos kriterijams, nurodytiems Techninė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specifikacijo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įrodantys dokumentai, t.</w:t>
            </w:r>
            <w:r w:rsidR="00FE3DB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 prekės garantiją patvirtinantys dokumentai.</w:t>
            </w:r>
          </w:p>
          <w:p w14:paraId="79A946C7" w14:textId="4151C707" w:rsidR="00B56776" w:rsidRPr="001F3B32" w:rsidRDefault="00060EEE" w:rsidP="00060EE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Tiekėjui nepateikus nurodytų dokumentų, laikoma, kad Prekės neatitinka Sutartyje nustatytų reikalavimų.</w:t>
            </w:r>
          </w:p>
        </w:tc>
      </w:tr>
      <w:tr w:rsidR="00B57F83" w:rsidRPr="001F3B32" w14:paraId="01A6AA43" w14:textId="77777777" w:rsidTr="59C98B97">
        <w:trPr>
          <w:trHeight w:val="300"/>
        </w:trPr>
        <w:tc>
          <w:tcPr>
            <w:tcW w:w="9484" w:type="dxa"/>
            <w:gridSpan w:val="3"/>
          </w:tcPr>
          <w:p w14:paraId="0207D5EE" w14:textId="65468F8F" w:rsidR="00B57F83" w:rsidRPr="001F3B32" w:rsidRDefault="00B57F83" w:rsidP="00B57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5. SUTARTIES KAINA IR ATSISKAITYMO TVARKA</w:t>
            </w:r>
          </w:p>
        </w:tc>
      </w:tr>
      <w:tr w:rsidR="00B57F83" w:rsidRPr="001F3B32" w14:paraId="1BF3E8D3" w14:textId="77777777" w:rsidTr="00527D07">
        <w:trPr>
          <w:trHeight w:val="300"/>
        </w:trPr>
        <w:tc>
          <w:tcPr>
            <w:tcW w:w="2482" w:type="dxa"/>
            <w:gridSpan w:val="2"/>
          </w:tcPr>
          <w:p w14:paraId="6D3DA192" w14:textId="6F78B398" w:rsidR="00B57F83" w:rsidRPr="001F3B32" w:rsidRDefault="00B57F83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5.1. </w:t>
            </w:r>
            <w:r w:rsidR="0036003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</w:t>
            </w:r>
            <w:r w:rsidR="00F81D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čiai</w:t>
            </w:r>
            <w:r w:rsidR="0036003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</w:t>
            </w:r>
            <w:r w:rsidR="00F81D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kainos apskaičiavimo būdas</w:t>
            </w:r>
          </w:p>
        </w:tc>
        <w:tc>
          <w:tcPr>
            <w:tcW w:w="7002" w:type="dxa"/>
          </w:tcPr>
          <w:p w14:paraId="06150E31" w14:textId="7D73D826" w:rsidR="00360030" w:rsidRPr="001F3B32" w:rsidRDefault="00360030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Fiksuotos kainos</w:t>
            </w:r>
            <w:r w:rsidR="00F81D14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kainodara</w:t>
            </w:r>
          </w:p>
          <w:p w14:paraId="706C48BC" w14:textId="3C9A1CA2" w:rsidR="00360030" w:rsidRPr="001F3B32" w:rsidRDefault="00360030" w:rsidP="00360030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B57F83" w:rsidRPr="001F3B32" w14:paraId="5A749366" w14:textId="77777777" w:rsidTr="00527D07">
        <w:trPr>
          <w:trHeight w:val="300"/>
        </w:trPr>
        <w:tc>
          <w:tcPr>
            <w:tcW w:w="2482" w:type="dxa"/>
            <w:gridSpan w:val="2"/>
          </w:tcPr>
          <w:p w14:paraId="32E8A6B7" w14:textId="67D0D821" w:rsidR="00B57F83" w:rsidRPr="001F3B32" w:rsidRDefault="00360030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5.2. Pradinės Sutarties vertė, kai taikoma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fiksuotos kainos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kainodara</w:t>
            </w:r>
          </w:p>
        </w:tc>
        <w:tc>
          <w:tcPr>
            <w:tcW w:w="7002" w:type="dxa"/>
          </w:tcPr>
          <w:p w14:paraId="6967F3AD" w14:textId="1A9FC8CE" w:rsidR="00360030" w:rsidRPr="001F3B32" w:rsidRDefault="00360030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Pradinės Sutarties vertė yra 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(nurodyti sumą skaičiais)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(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nurodyti sumą žodžiais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pridėtinės vertės mokesčio (toliau – PVM). </w:t>
            </w:r>
          </w:p>
          <w:p w14:paraId="5842C099" w14:textId="38F0071D" w:rsidR="008B4D8F" w:rsidRPr="001F3B32" w:rsidRDefault="008B4D8F" w:rsidP="008B4D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PVM sudaro 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(nurodyti sumą skaičiais)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(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nurodyti sumą žodžiais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A370CC0" w14:textId="6201DF49" w:rsidR="008B4D8F" w:rsidRPr="001F3B32" w:rsidRDefault="008B4D8F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kaina yra 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(nurodyti sumą skaičiais)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(nurodyti sumą žodžiais)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su PVM.</w:t>
            </w:r>
          </w:p>
          <w:p w14:paraId="5E909BD0" w14:textId="77777777" w:rsidR="008B4D8F" w:rsidRPr="001F3B32" w:rsidRDefault="008B4D8F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509598" w14:textId="06526F37" w:rsidR="00360030" w:rsidRPr="001F3B32" w:rsidRDefault="00700A34" w:rsidP="0036003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Šioje Sutartyje </w:t>
            </w:r>
            <w:r w:rsidR="00360030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60030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radinės </w:t>
            </w:r>
            <w:r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360030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utarties vertė yra lygi </w:t>
            </w:r>
            <w:r w:rsidR="00D51677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Tiekėjo</w:t>
            </w:r>
            <w:r w:rsidR="00360030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pasiūlymo kainai be PVM, nurodytai už visą </w:t>
            </w:r>
            <w:r w:rsidR="000E1E40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Pirkimo</w:t>
            </w:r>
            <w:r w:rsidR="00360030"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dokumentuose ir Sutartyje nurodytą Prekių kiekį ir (ar) apimtį.</w:t>
            </w:r>
          </w:p>
        </w:tc>
      </w:tr>
      <w:tr w:rsidR="00B57F83" w:rsidRPr="001F3B32" w14:paraId="04786942" w14:textId="77777777" w:rsidTr="00527D07">
        <w:trPr>
          <w:trHeight w:val="300"/>
        </w:trPr>
        <w:tc>
          <w:tcPr>
            <w:tcW w:w="2482" w:type="dxa"/>
            <w:gridSpan w:val="2"/>
          </w:tcPr>
          <w:p w14:paraId="4481DE06" w14:textId="1DCA9EC3" w:rsidR="00B57F83" w:rsidRPr="001F3B32" w:rsidRDefault="00967719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D965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B46A1F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kainos/įkainių </w:t>
            </w:r>
            <w:r w:rsidR="005434FE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apskaičiavimas</w:t>
            </w:r>
            <w:r w:rsidR="008C4CDA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81D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taikant </w:t>
            </w:r>
            <w:r w:rsidR="00F81D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peržiūros</w:t>
            </w:r>
            <w:r w:rsidR="00F81D1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taisykles</w:t>
            </w:r>
          </w:p>
        </w:tc>
        <w:tc>
          <w:tcPr>
            <w:tcW w:w="7002" w:type="dxa"/>
          </w:tcPr>
          <w:p w14:paraId="44AB37C4" w14:textId="3D446D5D" w:rsidR="00B57F83" w:rsidRPr="001F3B32" w:rsidRDefault="00F81D14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kaina bus </w:t>
            </w:r>
            <w:r w:rsidR="00530353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skaičiuojam</w:t>
            </w:r>
            <w:r w:rsidR="00711BFB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A663C86" w14:textId="53F76210" w:rsidR="00F81D14" w:rsidRPr="001F3B32" w:rsidRDefault="00161358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5.3.1. </w:t>
            </w:r>
            <w:r w:rsidR="00F81D14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PVM tarifo pasikeitimo</w:t>
            </w:r>
            <w:r w:rsidR="00C720DA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52F6665" w14:textId="6D62A16F" w:rsidR="00846DD1" w:rsidRPr="001F3B32" w:rsidRDefault="00846DD1" w:rsidP="0036003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42435F" w:rsidRPr="001F3B32" w14:paraId="03A060D0" w14:textId="77777777" w:rsidTr="00527D07">
        <w:trPr>
          <w:trHeight w:val="300"/>
        </w:trPr>
        <w:tc>
          <w:tcPr>
            <w:tcW w:w="2482" w:type="dxa"/>
            <w:gridSpan w:val="2"/>
          </w:tcPr>
          <w:p w14:paraId="17957EA2" w14:textId="0BCDBC72" w:rsidR="0042435F" w:rsidRPr="001F3B32" w:rsidRDefault="0042435F" w:rsidP="00424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5.3.1. Sutarties kainos/įkainių </w:t>
            </w:r>
            <w:r w:rsidR="00C1352E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dėl PVM tarifo pasikeitimo</w:t>
            </w:r>
          </w:p>
        </w:tc>
        <w:tc>
          <w:tcPr>
            <w:tcW w:w="7002" w:type="dxa"/>
          </w:tcPr>
          <w:p w14:paraId="5D27BADB" w14:textId="072413CF" w:rsidR="0042435F" w:rsidRPr="001F3B32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Jeigu Sutarties vykdymo metu pasikeičia PVM mokėjimą reglamentuojantys teisės aktai, darantys tiesioginę įtaką Tiekėjo tiekiamų Prekių Sutartyje nurodytai kainai/įkainiams, Sutarties kaina/įkainiai </w:t>
            </w:r>
            <w:r w:rsidR="006C5B0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skaičiuojami nekeičiant Prekių kainos/įkainio be PVM. Perskaičiavimas įforminamas Susitarimu, kuris tampa neatskiriama Sutarties dalimi. Perskaičiuota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kaina/įkainis taikoma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už tą Prekių dalį, kurios bus tiekiamos po Šalių pasirašyto Susitarimo įsigaliojimo dienos.</w:t>
            </w:r>
          </w:p>
        </w:tc>
      </w:tr>
      <w:tr w:rsidR="0042435F" w:rsidRPr="001F3B32" w14:paraId="2DA269D4" w14:textId="77777777" w:rsidTr="00527D07">
        <w:trPr>
          <w:trHeight w:val="300"/>
        </w:trPr>
        <w:tc>
          <w:tcPr>
            <w:tcW w:w="2482" w:type="dxa"/>
            <w:gridSpan w:val="2"/>
          </w:tcPr>
          <w:p w14:paraId="46234977" w14:textId="60102F19" w:rsidR="0042435F" w:rsidRPr="001F3B32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073BD5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.3.2.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kainos/įkainių </w:t>
            </w:r>
            <w:r w:rsidR="0094057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="00AC7E67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dėl kitų mokesčių, lemiančių Prekių kainos pokytį, pasikeitimo</w:t>
            </w:r>
          </w:p>
        </w:tc>
        <w:tc>
          <w:tcPr>
            <w:tcW w:w="7002" w:type="dxa"/>
          </w:tcPr>
          <w:p w14:paraId="6BDE8B40" w14:textId="77777777" w:rsidR="0042435F" w:rsidRPr="001F3B32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52C643F4" w14:textId="13A83445" w:rsidR="0042435F" w:rsidRPr="001F3B32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2435F" w:rsidRPr="001F3B32" w14:paraId="318B15F9" w14:textId="77777777" w:rsidTr="00527D07">
        <w:trPr>
          <w:trHeight w:val="300"/>
        </w:trPr>
        <w:tc>
          <w:tcPr>
            <w:tcW w:w="2482" w:type="dxa"/>
            <w:gridSpan w:val="2"/>
          </w:tcPr>
          <w:p w14:paraId="10087AE4" w14:textId="3E6C23EE" w:rsidR="0042435F" w:rsidRPr="001F3B32" w:rsidRDefault="0042435F" w:rsidP="00424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4F3CF5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3.3.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kainos/įkainių </w:t>
            </w:r>
            <w:r w:rsidR="00940572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dėl kainų lygio pokyčio</w:t>
            </w:r>
          </w:p>
        </w:tc>
        <w:tc>
          <w:tcPr>
            <w:tcW w:w="7002" w:type="dxa"/>
          </w:tcPr>
          <w:p w14:paraId="5AA2BC52" w14:textId="77777777" w:rsidR="0042435F" w:rsidRPr="001F3B32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22410F81" w14:textId="77777777" w:rsidR="0042435F" w:rsidRPr="001F3B32" w:rsidRDefault="0042435F" w:rsidP="0042435F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  <w:p w14:paraId="305F2571" w14:textId="7FE66DD4" w:rsidR="0042435F" w:rsidRPr="001F3B32" w:rsidRDefault="0042435F" w:rsidP="00825AE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lt-LT"/>
              </w:rPr>
            </w:pPr>
          </w:p>
        </w:tc>
      </w:tr>
      <w:tr w:rsidR="00BA54F8" w:rsidRPr="001F3B32" w14:paraId="4BBE60A9" w14:textId="77777777" w:rsidTr="00527D07">
        <w:trPr>
          <w:trHeight w:val="300"/>
        </w:trPr>
        <w:tc>
          <w:tcPr>
            <w:tcW w:w="2482" w:type="dxa"/>
            <w:gridSpan w:val="2"/>
          </w:tcPr>
          <w:p w14:paraId="2EBB4A4B" w14:textId="745F3CBF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FD58C5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Sutarties kainos/įkainių </w:t>
            </w:r>
            <w:r w:rsidR="00F77A95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apskaičiavimas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taikant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 xml:space="preserve">kiekio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lastRenderedPageBreak/>
              <w:t>(apimties)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keitimo taisykles</w:t>
            </w:r>
          </w:p>
        </w:tc>
        <w:tc>
          <w:tcPr>
            <w:tcW w:w="7002" w:type="dxa"/>
          </w:tcPr>
          <w:p w14:paraId="1C31A46E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Netaikoma</w:t>
            </w:r>
          </w:p>
          <w:p w14:paraId="621DF291" w14:textId="77777777" w:rsidR="00BA54F8" w:rsidRPr="001F3B32" w:rsidRDefault="00BA54F8" w:rsidP="00825AE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54F8" w:rsidRPr="001F3B32" w14:paraId="0C1BE789" w14:textId="77777777" w:rsidTr="00527D07">
        <w:trPr>
          <w:trHeight w:val="300"/>
        </w:trPr>
        <w:tc>
          <w:tcPr>
            <w:tcW w:w="2482" w:type="dxa"/>
            <w:gridSpan w:val="2"/>
          </w:tcPr>
          <w:p w14:paraId="2DD0BDA1" w14:textId="3266CE4E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EA109D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Atsiskaitymo su Tiekėju terminas ir tvarka</w:t>
            </w:r>
          </w:p>
        </w:tc>
        <w:tc>
          <w:tcPr>
            <w:tcW w:w="7002" w:type="dxa"/>
          </w:tcPr>
          <w:p w14:paraId="76326CFF" w14:textId="60BF2714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atsiskaito su Tiekėju ne vėliau kaip per </w:t>
            </w:r>
            <w:r w:rsidR="00BB4A05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(trisdešimt) dienų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Sąskaitos gavimo dienos.</w:t>
            </w:r>
          </w:p>
          <w:p w14:paraId="2F91F123" w14:textId="2BEFAB5B" w:rsidR="00BA54F8" w:rsidRPr="001F3B32" w:rsidRDefault="00C720DA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Sąskaitos apmokėjimui teikiamos informacinės sistemos SABIS priemonėmis.</w:t>
            </w:r>
          </w:p>
          <w:p w14:paraId="3C078402" w14:textId="263B0E5F" w:rsidR="00BA54F8" w:rsidRPr="001F3B32" w:rsidRDefault="00BA54F8" w:rsidP="00BA54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Apmokėjimo sąlygos</w:t>
            </w:r>
            <w:r w:rsidR="00BB4A05" w:rsidRPr="001F3B3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:</w:t>
            </w:r>
            <w:r w:rsidRPr="001F3B3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įvykdžius visus sutartinius įsipareigojimus, sumokama visa Sutarties kaina</w:t>
            </w:r>
            <w:r w:rsidR="00BB4A05" w:rsidRPr="001F3B3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BA54F8" w:rsidRPr="001F3B32" w14:paraId="692D179A" w14:textId="77777777" w:rsidTr="00527D07">
        <w:trPr>
          <w:trHeight w:val="300"/>
        </w:trPr>
        <w:tc>
          <w:tcPr>
            <w:tcW w:w="2482" w:type="dxa"/>
            <w:gridSpan w:val="2"/>
          </w:tcPr>
          <w:p w14:paraId="29C1D138" w14:textId="6970A834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EA109D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Išankstinis mokėjimas (avansas)</w:t>
            </w:r>
          </w:p>
        </w:tc>
        <w:tc>
          <w:tcPr>
            <w:tcW w:w="7002" w:type="dxa"/>
          </w:tcPr>
          <w:p w14:paraId="0B8407AC" w14:textId="1172D1EC" w:rsidR="00BA54F8" w:rsidRPr="001F3B32" w:rsidRDefault="00BA54F8" w:rsidP="00E21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1F3B32" w14:paraId="51181B7E" w14:textId="77777777" w:rsidTr="59C98B97">
        <w:trPr>
          <w:trHeight w:val="300"/>
        </w:trPr>
        <w:tc>
          <w:tcPr>
            <w:tcW w:w="9484" w:type="dxa"/>
            <w:gridSpan w:val="3"/>
          </w:tcPr>
          <w:p w14:paraId="7B7BA28E" w14:textId="6CF59E76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 PREKIŲ KOKYBĖ IR GARANTINIAI ĮSIPAREIGOJIMAI</w:t>
            </w:r>
          </w:p>
        </w:tc>
      </w:tr>
      <w:tr w:rsidR="00BA54F8" w:rsidRPr="001F3B32" w14:paraId="2F497E8C" w14:textId="77777777" w:rsidTr="00527D07">
        <w:trPr>
          <w:trHeight w:val="300"/>
        </w:trPr>
        <w:tc>
          <w:tcPr>
            <w:tcW w:w="2482" w:type="dxa"/>
            <w:gridSpan w:val="2"/>
          </w:tcPr>
          <w:p w14:paraId="5D126382" w14:textId="4EF557F8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6.1. Garantinis terminas</w:t>
            </w:r>
          </w:p>
        </w:tc>
        <w:tc>
          <w:tcPr>
            <w:tcW w:w="7002" w:type="dxa"/>
          </w:tcPr>
          <w:p w14:paraId="2580662E" w14:textId="78AF0207" w:rsidR="00BA54F8" w:rsidRPr="001F3B32" w:rsidRDefault="00BA54F8" w:rsidP="00BA54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Prekėms nustatomas Tiekėjo pasiūlytas arba Prekių gamintojo taikomas  garantinis terminas, tačiau bet kokiu atveju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 trumpesnis kaip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05A88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</w:t>
            </w:r>
            <w:r w:rsidR="00E21501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mėnesių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garantinis terminas, skaičiuojamas nuo Prekių perdavimo – priėmimo akto pasirašymo dienos.</w:t>
            </w:r>
          </w:p>
        </w:tc>
      </w:tr>
      <w:tr w:rsidR="00BA54F8" w:rsidRPr="001F3B32" w14:paraId="088A5435" w14:textId="77777777" w:rsidTr="00527D07">
        <w:trPr>
          <w:trHeight w:val="300"/>
        </w:trPr>
        <w:tc>
          <w:tcPr>
            <w:tcW w:w="2482" w:type="dxa"/>
            <w:gridSpan w:val="2"/>
          </w:tcPr>
          <w:p w14:paraId="6CE493DC" w14:textId="112187F7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6.2. Garantinė priežiūra</w:t>
            </w:r>
          </w:p>
        </w:tc>
        <w:tc>
          <w:tcPr>
            <w:tcW w:w="7002" w:type="dxa"/>
          </w:tcPr>
          <w:p w14:paraId="18094C65" w14:textId="1CE43748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Garantinių terminų laikotarpiu garantinė priežiūra turi būti organizuojama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 vėliau kaip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per </w:t>
            </w:r>
            <w:r w:rsidR="002E1079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 darbo dienas</w:t>
            </w:r>
            <w:r w:rsidRPr="001F3B32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pranešimo apie defektą Tiekėjui gavimo.</w:t>
            </w:r>
          </w:p>
        </w:tc>
      </w:tr>
      <w:tr w:rsidR="00BA54F8" w:rsidRPr="001F3B32" w14:paraId="2D42B191" w14:textId="77777777" w:rsidTr="00527D07">
        <w:trPr>
          <w:trHeight w:val="300"/>
        </w:trPr>
        <w:tc>
          <w:tcPr>
            <w:tcW w:w="2482" w:type="dxa"/>
            <w:gridSpan w:val="2"/>
          </w:tcPr>
          <w:p w14:paraId="7A23A368" w14:textId="5E585E96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6.3. Prekių defektai ir jų šalinimo tvarka</w:t>
            </w:r>
          </w:p>
        </w:tc>
        <w:tc>
          <w:tcPr>
            <w:tcW w:w="7002" w:type="dxa"/>
          </w:tcPr>
          <w:p w14:paraId="4440D0BB" w14:textId="4176BE60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defektų nustatymo bei šalinimo tvarka nustatyta Bendrųjų sąlygų 7 skyriuje.</w:t>
            </w:r>
          </w:p>
        </w:tc>
      </w:tr>
      <w:tr w:rsidR="00BA54F8" w:rsidRPr="001F3B32" w14:paraId="2773E644" w14:textId="77777777" w:rsidTr="59C98B97">
        <w:trPr>
          <w:trHeight w:val="300"/>
        </w:trPr>
        <w:tc>
          <w:tcPr>
            <w:tcW w:w="9484" w:type="dxa"/>
            <w:gridSpan w:val="3"/>
          </w:tcPr>
          <w:p w14:paraId="4FBD2CFE" w14:textId="0D926C4E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 SUTARTIES VYKDYMUI PASITELKIAMI ASMENYS</w:t>
            </w:r>
          </w:p>
        </w:tc>
      </w:tr>
      <w:tr w:rsidR="00BA54F8" w:rsidRPr="001F3B32" w14:paraId="6F10182A" w14:textId="77777777" w:rsidTr="00527D07">
        <w:trPr>
          <w:trHeight w:val="300"/>
        </w:trPr>
        <w:tc>
          <w:tcPr>
            <w:tcW w:w="2482" w:type="dxa"/>
            <w:gridSpan w:val="2"/>
          </w:tcPr>
          <w:p w14:paraId="5FEEC39F" w14:textId="677F800F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vykdymui pasitelkiami ūkio subjektai</w:t>
            </w:r>
            <w:r w:rsidR="10F4CBF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(subtiekėjai, subjektai, kurių pajėgumais remiamasi, specialistai)</w:t>
            </w:r>
          </w:p>
        </w:tc>
        <w:tc>
          <w:tcPr>
            <w:tcW w:w="7002" w:type="dxa"/>
          </w:tcPr>
          <w:p w14:paraId="328EBD8F" w14:textId="5F180C3D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vykdymui </w:t>
            </w:r>
            <w:r w:rsidR="0C2D4914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</w:t>
            </w:r>
            <w:r w:rsidR="431BC3BA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subjektai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nepasitelkiami.</w:t>
            </w:r>
          </w:p>
          <w:p w14:paraId="23A1C89C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AE92F1" w14:textId="3AC357DF" w:rsidR="00BA54F8" w:rsidRPr="001F3B32" w:rsidRDefault="00BA54F8" w:rsidP="00BA54F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arba</w:t>
            </w:r>
          </w:p>
          <w:p w14:paraId="25499DA2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D39828" w14:textId="7D31954A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vykdymui pasitelkiami </w:t>
            </w:r>
            <w:r w:rsidR="2AA34CE2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</w:t>
            </w:r>
            <w:r w:rsidR="786A5ABD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subjektai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nurodyti Sutarties priede Nr.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>[...]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„Sutarties vykdymui pasitelkiami asmenys“</w:t>
            </w:r>
          </w:p>
        </w:tc>
      </w:tr>
      <w:tr w:rsidR="00BA54F8" w:rsidRPr="001F3B32" w14:paraId="369FE182" w14:textId="77777777" w:rsidTr="59C98B97">
        <w:trPr>
          <w:trHeight w:val="300"/>
        </w:trPr>
        <w:tc>
          <w:tcPr>
            <w:tcW w:w="9484" w:type="dxa"/>
            <w:gridSpan w:val="3"/>
          </w:tcPr>
          <w:p w14:paraId="69066D66" w14:textId="5F605397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 PRIEVOLIŲ PAGAL SUTARTĮ ĮVYKDYMO UŽTIKRINIMAS</w:t>
            </w:r>
          </w:p>
        </w:tc>
      </w:tr>
      <w:tr w:rsidR="00BA54F8" w:rsidRPr="001F3B32" w14:paraId="41D49595" w14:textId="77777777" w:rsidTr="00527D07">
        <w:trPr>
          <w:trHeight w:val="300"/>
        </w:trPr>
        <w:tc>
          <w:tcPr>
            <w:tcW w:w="2482" w:type="dxa"/>
            <w:gridSpan w:val="2"/>
          </w:tcPr>
          <w:p w14:paraId="6447C9B1" w14:textId="6E8A6858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Prievolių pagal Sutartį įvykdymo užtikrinimo būdas (-ai)</w:t>
            </w:r>
          </w:p>
        </w:tc>
        <w:tc>
          <w:tcPr>
            <w:tcW w:w="7002" w:type="dxa"/>
          </w:tcPr>
          <w:p w14:paraId="277C1788" w14:textId="73D0B34B" w:rsidR="00BA54F8" w:rsidRPr="001F3B32" w:rsidRDefault="00BA54F8" w:rsidP="00BA54F8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Prievolių pagal Sutartį įvykdymas užtikrinamas</w:t>
            </w:r>
          </w:p>
          <w:p w14:paraId="3111685D" w14:textId="2FB815FF" w:rsidR="00BA54F8" w:rsidRPr="001F3B32" w:rsidRDefault="00BA54F8" w:rsidP="00BA54F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Netesybomis (delspinigiais, bauda)</w:t>
            </w:r>
            <w:r w:rsidR="008729F2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A54F8" w:rsidRPr="001F3B32" w14:paraId="69789277" w14:textId="77777777" w:rsidTr="00527D07">
        <w:trPr>
          <w:trHeight w:val="300"/>
        </w:trPr>
        <w:tc>
          <w:tcPr>
            <w:tcW w:w="2482" w:type="dxa"/>
            <w:gridSpan w:val="2"/>
          </w:tcPr>
          <w:p w14:paraId="38F0530A" w14:textId="45CB0539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Prievolių pagal Sutartį įvykdymo užtikrinimas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pirmo pareikalavimo banko garantija arba draudimo bendrovės laidavimu</w:t>
            </w:r>
          </w:p>
        </w:tc>
        <w:tc>
          <w:tcPr>
            <w:tcW w:w="7002" w:type="dxa"/>
          </w:tcPr>
          <w:p w14:paraId="1E5B8005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76AE84F7" w14:textId="528ABF80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54F8" w:rsidRPr="001F3B32" w14:paraId="7CA1D34F" w14:textId="77777777" w:rsidTr="59C98B97">
        <w:trPr>
          <w:trHeight w:val="300"/>
        </w:trPr>
        <w:tc>
          <w:tcPr>
            <w:tcW w:w="9484" w:type="dxa"/>
            <w:gridSpan w:val="3"/>
          </w:tcPr>
          <w:p w14:paraId="5CEC9F22" w14:textId="61BFF000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 ŠALIŲ ATSAKOMYBĖ</w:t>
            </w:r>
          </w:p>
        </w:tc>
      </w:tr>
      <w:tr w:rsidR="00BA54F8" w:rsidRPr="001F3B32" w14:paraId="610C725E" w14:textId="77777777" w:rsidTr="00527D07">
        <w:trPr>
          <w:trHeight w:val="300"/>
        </w:trPr>
        <w:tc>
          <w:tcPr>
            <w:tcW w:w="2482" w:type="dxa"/>
            <w:gridSpan w:val="2"/>
          </w:tcPr>
          <w:p w14:paraId="79AC89A9" w14:textId="71DBB439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9.1. Pirkėjui taikomos netesybos už 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mokėjimų pagal Sutartį vėlavimą</w:t>
            </w:r>
          </w:p>
        </w:tc>
        <w:tc>
          <w:tcPr>
            <w:tcW w:w="7002" w:type="dxa"/>
          </w:tcPr>
          <w:p w14:paraId="6B2A21D0" w14:textId="532424D7" w:rsidR="00BA54F8" w:rsidRPr="001F3B32" w:rsidRDefault="00BA54F8" w:rsidP="00BA54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 xml:space="preserve">Jei Pirkėjas, gavęs tinkamai pateiktą ir užpildytą Sąskaitą, uždelsia atsiskaityti už tinkamai Tiekėjo  perduotas kokybiškas Prekes per </w:t>
            </w: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Sutartyje nurodytą terminą, Tiekėjas nuo kitos nei nustatytas terminas dienos skaičiuoja Pirkėjui 0,0</w:t>
            </w:r>
            <w:r w:rsidR="00F52CCD"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</w:t>
            </w:r>
            <w:r w:rsidR="00F52CCD"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penkios</w:t>
            </w: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šimtosios) procento dydžio delspinigius nuo neapmokėtos sumos be PVM už kiekvieną vėlavimo dieną. </w:t>
            </w:r>
          </w:p>
        </w:tc>
      </w:tr>
      <w:tr w:rsidR="00BA54F8" w:rsidRPr="001F3B32" w14:paraId="74DC4B7B" w14:textId="77777777" w:rsidTr="00527D07">
        <w:trPr>
          <w:trHeight w:val="300"/>
        </w:trPr>
        <w:tc>
          <w:tcPr>
            <w:tcW w:w="2482" w:type="dxa"/>
            <w:gridSpan w:val="2"/>
          </w:tcPr>
          <w:p w14:paraId="48E0D907" w14:textId="5CF87F19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9.2. Tiekėjui taikomos netesybos</w:t>
            </w:r>
          </w:p>
        </w:tc>
        <w:tc>
          <w:tcPr>
            <w:tcW w:w="7002" w:type="dxa"/>
          </w:tcPr>
          <w:p w14:paraId="4EFC9803" w14:textId="3835F52F" w:rsidR="00BA54F8" w:rsidRPr="001F3B32" w:rsidRDefault="00BA54F8" w:rsidP="00BA54F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9.2.1. Jeigu Tiekėjas vėluoja vykdyti užsakymą, tiekti Prekes ar ištaisyti jų defektus (įskaitant ir vėlavimus po Sutarties pabaigos), Pirkėjas nuo kitos nei nustatytas terminas dienos Tiekėjui skaičiuoja 0,0</w:t>
            </w:r>
            <w:r w:rsidR="00F52CCD"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</w:t>
            </w:r>
            <w:r w:rsidR="00F52CCD"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penkios</w:t>
            </w:r>
            <w:r w:rsidRPr="001F3B3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šimtosios) procento dydžio delspinigius už kiekvieną uždelstą dieną nuo laiku neperduotų Prekių ar Prekių, turinčių defektų, kainos be PVM. </w:t>
            </w:r>
          </w:p>
          <w:p w14:paraId="74F2CF89" w14:textId="2CA63A7A" w:rsidR="00BA54F8" w:rsidRPr="001F3B32" w:rsidRDefault="00BA54F8" w:rsidP="00F52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9.2.2.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1F3B3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Tiekėjas privalo sumokėti Pirkėjui netesybas per </w:t>
            </w:r>
            <w:r w:rsidR="00F52CCD" w:rsidRPr="001F3B32">
              <w:rPr>
                <w:rStyle w:val="normaltextrun"/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10</w:t>
            </w:r>
            <w:r w:rsidRPr="001F3B32">
              <w:rPr>
                <w:rStyle w:val="normaltextrun"/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1F3B3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dienų nuo Pirkėjo pareikalavimo. Pirkėjas turi teisę išskaityti netesybas iš Tiekėjui mokėtinų sumų.</w:t>
            </w:r>
          </w:p>
        </w:tc>
      </w:tr>
      <w:tr w:rsidR="00BA54F8" w:rsidRPr="001F3B32" w14:paraId="79E161A5" w14:textId="77777777" w:rsidTr="00527D07">
        <w:trPr>
          <w:trHeight w:val="300"/>
        </w:trPr>
        <w:tc>
          <w:tcPr>
            <w:tcW w:w="2482" w:type="dxa"/>
            <w:gridSpan w:val="2"/>
          </w:tcPr>
          <w:p w14:paraId="1CE96B9E" w14:textId="0EB75B9A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9.3. Tiekėjui taikoma bauda nutraukus Sutartį dėl esminio Sutarties pažeidimo</w:t>
            </w:r>
          </w:p>
        </w:tc>
        <w:tc>
          <w:tcPr>
            <w:tcW w:w="7002" w:type="dxa"/>
          </w:tcPr>
          <w:p w14:paraId="41D25322" w14:textId="237E5C81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Nutraukus Sutartį dėl Tiekėjo padaryto esminio Sutarties pažeidimo, Tiekėjas privalo sumokėti Pirkėjui </w:t>
            </w:r>
            <w:r w:rsidR="00F52CCD" w:rsidRPr="001F3B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5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dydžio baudą nuo Pradinės Sutarties vertės be PVM, nurodytos Sutarties 5.2 punkte </w:t>
            </w:r>
          </w:p>
        </w:tc>
      </w:tr>
      <w:tr w:rsidR="00BA54F8" w:rsidRPr="001F3B32" w14:paraId="082D21DE" w14:textId="77777777" w:rsidTr="00527D07">
        <w:trPr>
          <w:trHeight w:val="300"/>
        </w:trPr>
        <w:tc>
          <w:tcPr>
            <w:tcW w:w="2482" w:type="dxa"/>
            <w:gridSpan w:val="2"/>
          </w:tcPr>
          <w:p w14:paraId="427977D8" w14:textId="168144C9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9.4. Tiekėjui taikoma bauda dėl Subtiekėjų pakeitimo nesilaikant Sutartyje nurodytos Subtiekėjų keitimo tvarkos </w:t>
            </w:r>
          </w:p>
        </w:tc>
        <w:tc>
          <w:tcPr>
            <w:tcW w:w="7002" w:type="dxa"/>
          </w:tcPr>
          <w:p w14:paraId="48F78477" w14:textId="7EC65A2B" w:rsidR="00BA54F8" w:rsidRPr="001F3B32" w:rsidRDefault="007B4EAE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1F3B32" w14:paraId="7A0F699E" w14:textId="77777777" w:rsidTr="00527D07">
        <w:trPr>
          <w:trHeight w:val="300"/>
        </w:trPr>
        <w:tc>
          <w:tcPr>
            <w:tcW w:w="2482" w:type="dxa"/>
            <w:gridSpan w:val="2"/>
          </w:tcPr>
          <w:p w14:paraId="0411A907" w14:textId="38DC3255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9.5. Tiekėjui taikomos baudos dėl aplinkosauginių reikalavimų nesilaikymo</w:t>
            </w:r>
          </w:p>
        </w:tc>
        <w:tc>
          <w:tcPr>
            <w:tcW w:w="7002" w:type="dxa"/>
          </w:tcPr>
          <w:p w14:paraId="348E1403" w14:textId="7A9B209F" w:rsidR="00BA54F8" w:rsidRPr="001F3B32" w:rsidRDefault="002E0DDD" w:rsidP="00BA54F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  <w:r w:rsidRPr="001F3B3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 xml:space="preserve"> </w:t>
            </w:r>
          </w:p>
        </w:tc>
      </w:tr>
      <w:tr w:rsidR="00BA54F8" w:rsidRPr="001F3B32" w14:paraId="2BACE828" w14:textId="77777777" w:rsidTr="00527D07">
        <w:trPr>
          <w:trHeight w:val="300"/>
        </w:trPr>
        <w:tc>
          <w:tcPr>
            <w:tcW w:w="2482" w:type="dxa"/>
            <w:gridSpan w:val="2"/>
          </w:tcPr>
          <w:p w14:paraId="7A85E42C" w14:textId="0F621C9E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9.6. Tiekėjui taikoma bauda dėl konfidencialumo reikalavimų nesilaikymo</w:t>
            </w:r>
          </w:p>
        </w:tc>
        <w:tc>
          <w:tcPr>
            <w:tcW w:w="7002" w:type="dxa"/>
          </w:tcPr>
          <w:p w14:paraId="7D8F5D59" w14:textId="012B1AEA" w:rsidR="00BA54F8" w:rsidRPr="001F3B32" w:rsidRDefault="004E0272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1F3B32" w14:paraId="48020003" w14:textId="77777777" w:rsidTr="00527D07">
        <w:trPr>
          <w:trHeight w:val="300"/>
        </w:trPr>
        <w:tc>
          <w:tcPr>
            <w:tcW w:w="2482" w:type="dxa"/>
            <w:gridSpan w:val="2"/>
          </w:tcPr>
          <w:p w14:paraId="59DD35CA" w14:textId="30329F6E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9.7. Tiekėjui taikoma bauda dėl ekonominio naudingumo kriterijų </w:t>
            </w:r>
            <w:proofErr w:type="spellStart"/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nepasiekimo</w:t>
            </w:r>
            <w:proofErr w:type="spellEnd"/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38DE93C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utarties vykdymo metu</w:t>
            </w:r>
          </w:p>
        </w:tc>
        <w:tc>
          <w:tcPr>
            <w:tcW w:w="7002" w:type="dxa"/>
          </w:tcPr>
          <w:p w14:paraId="16657534" w14:textId="00F30564" w:rsidR="00BA54F8" w:rsidRPr="001F3B32" w:rsidRDefault="004E0272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1F3B32" w14:paraId="095875A2" w14:textId="77777777" w:rsidTr="59C98B97">
        <w:trPr>
          <w:trHeight w:val="300"/>
        </w:trPr>
        <w:tc>
          <w:tcPr>
            <w:tcW w:w="9484" w:type="dxa"/>
            <w:gridSpan w:val="3"/>
          </w:tcPr>
          <w:p w14:paraId="645AC585" w14:textId="094AB185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SUTARTIES GALIOJIMAS IR KEITIMAS</w:t>
            </w:r>
          </w:p>
        </w:tc>
      </w:tr>
      <w:tr w:rsidR="00BA54F8" w:rsidRPr="001F3B32" w14:paraId="55AB731E" w14:textId="77777777" w:rsidTr="00527D07">
        <w:trPr>
          <w:trHeight w:val="300"/>
        </w:trPr>
        <w:tc>
          <w:tcPr>
            <w:tcW w:w="2482" w:type="dxa"/>
            <w:gridSpan w:val="2"/>
          </w:tcPr>
          <w:p w14:paraId="4F485E55" w14:textId="341696E3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10.1. Sutarties sudarymas ir įsigaliojimas</w:t>
            </w:r>
          </w:p>
        </w:tc>
        <w:tc>
          <w:tcPr>
            <w:tcW w:w="7002" w:type="dxa"/>
          </w:tcPr>
          <w:p w14:paraId="1444D8BD" w14:textId="4E1A8C6E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Sutartis laikoma sudaryta ir įsigalioja nuo Sutarties pasirašymo dienos (antrosios Šalies pasirašymo dieną).</w:t>
            </w:r>
          </w:p>
          <w:p w14:paraId="2657B347" w14:textId="3995D34C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galioja iki visiško prievolių įvykdymo</w:t>
            </w:r>
            <w:r w:rsidR="00E446E7"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A54F8" w:rsidRPr="001F3B32" w14:paraId="1B178EC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3365174" w14:textId="78197E9F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10.2. Sutarties pratęsimas</w:t>
            </w:r>
          </w:p>
        </w:tc>
        <w:tc>
          <w:tcPr>
            <w:tcW w:w="7002" w:type="dxa"/>
          </w:tcPr>
          <w:p w14:paraId="7FDAED9D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5DFAE99" w14:textId="1627D074" w:rsidR="00BA54F8" w:rsidRPr="001F3B32" w:rsidRDefault="00BA54F8" w:rsidP="00BA54F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BA54F8" w:rsidRPr="001F3B32" w14:paraId="08E98816" w14:textId="77777777" w:rsidTr="00527D07">
        <w:trPr>
          <w:trHeight w:val="300"/>
        </w:trPr>
        <w:tc>
          <w:tcPr>
            <w:tcW w:w="2482" w:type="dxa"/>
            <w:gridSpan w:val="2"/>
          </w:tcPr>
          <w:p w14:paraId="0A6037AD" w14:textId="2042EDC0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10.3. Sutarties keitimas</w:t>
            </w:r>
          </w:p>
        </w:tc>
        <w:tc>
          <w:tcPr>
            <w:tcW w:w="7002" w:type="dxa"/>
          </w:tcPr>
          <w:p w14:paraId="28448EF6" w14:textId="13B5437B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sąlygos gali būti keičiamos tik vadovaujantis VPĮ 89 straipsnio nuostatomis. Pakeitimai galioja, kada yra sudaryti raštu ir yra pasirašyti įgaliotų Šalių atstovų.</w:t>
            </w:r>
          </w:p>
        </w:tc>
      </w:tr>
      <w:tr w:rsidR="00BA54F8" w:rsidRPr="001F3B32" w14:paraId="106E5C1A" w14:textId="77777777" w:rsidTr="00527D07">
        <w:trPr>
          <w:trHeight w:val="300"/>
        </w:trPr>
        <w:tc>
          <w:tcPr>
            <w:tcW w:w="2482" w:type="dxa"/>
            <w:gridSpan w:val="2"/>
          </w:tcPr>
          <w:p w14:paraId="71527423" w14:textId="7F707475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10.4. Prekių modelio ar gamintojo keitimas</w:t>
            </w:r>
          </w:p>
        </w:tc>
        <w:tc>
          <w:tcPr>
            <w:tcW w:w="7002" w:type="dxa"/>
          </w:tcPr>
          <w:p w14:paraId="7B107F74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033E5C2D" w14:textId="1074AFF6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A54F8" w:rsidRPr="001F3B32" w14:paraId="1D450087" w14:textId="77777777" w:rsidTr="59C98B97">
        <w:trPr>
          <w:trHeight w:val="300"/>
        </w:trPr>
        <w:tc>
          <w:tcPr>
            <w:tcW w:w="9484" w:type="dxa"/>
            <w:gridSpan w:val="3"/>
          </w:tcPr>
          <w:p w14:paraId="7BB9AD94" w14:textId="0A6A69DA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 SUTARTIES NUTRAUKIMAS</w:t>
            </w:r>
          </w:p>
        </w:tc>
      </w:tr>
      <w:tr w:rsidR="00BA54F8" w:rsidRPr="001F3B32" w14:paraId="1B9FBAD3" w14:textId="77777777" w:rsidTr="00527D07">
        <w:trPr>
          <w:trHeight w:val="300"/>
        </w:trPr>
        <w:tc>
          <w:tcPr>
            <w:tcW w:w="2310" w:type="dxa"/>
          </w:tcPr>
          <w:p w14:paraId="4F4C4301" w14:textId="396E09B0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11.1. Sutarties nutraukimo pagrindai</w:t>
            </w:r>
          </w:p>
        </w:tc>
        <w:tc>
          <w:tcPr>
            <w:tcW w:w="7174" w:type="dxa"/>
            <w:gridSpan w:val="2"/>
          </w:tcPr>
          <w:p w14:paraId="3BB35D6C" w14:textId="08B70EFB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gali būti nutraukiama rašytiniu Šalių susitarimu arba vienašališkai, Bendrosiose sąlygose nurodytais atvejais ir nustatyta tvarka.</w:t>
            </w:r>
          </w:p>
        </w:tc>
      </w:tr>
      <w:tr w:rsidR="00BA54F8" w:rsidRPr="001F3B32" w14:paraId="372741A9" w14:textId="77777777" w:rsidTr="00527D07">
        <w:trPr>
          <w:trHeight w:val="300"/>
        </w:trPr>
        <w:tc>
          <w:tcPr>
            <w:tcW w:w="2310" w:type="dxa"/>
          </w:tcPr>
          <w:p w14:paraId="650FEF33" w14:textId="77777777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11.2. Esminiai Sutarties pažeidimai</w:t>
            </w:r>
          </w:p>
          <w:p w14:paraId="7B15ABF2" w14:textId="23B2FED8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7174" w:type="dxa"/>
            <w:gridSpan w:val="2"/>
          </w:tcPr>
          <w:p w14:paraId="718B4D7A" w14:textId="77777777" w:rsidR="00060EEE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11.2.1. jeigu Tiekėjas nevykdo prisiimtų įsipareigojimų už Sutartyje nustatytą Sutarties kainą;</w:t>
            </w:r>
          </w:p>
          <w:p w14:paraId="08283F5A" w14:textId="77777777" w:rsidR="00060EEE" w:rsidRPr="001F3B32" w:rsidRDefault="00060EEE" w:rsidP="00060E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11.2.2. jeigu Tiekėjas pažeidžia Prekių pristatymo terminus ir priskaičiuotų netesybų už vėlavimą suma viršija 1 (vieną) proc. Pradinės sutarties vertės;</w:t>
            </w:r>
          </w:p>
          <w:p w14:paraId="097269A4" w14:textId="0B132741" w:rsidR="00BA54F8" w:rsidRPr="001F3B32" w:rsidRDefault="00060EEE" w:rsidP="00060E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11.2.3. Tiekėjas daugiau kaip 2 (du) kartus pristato Prekes, kurios neatitinka Sutartyje ir (ar) Įstatymuose nustatytų reikalavimų Prekėms.</w:t>
            </w:r>
          </w:p>
        </w:tc>
      </w:tr>
      <w:tr w:rsidR="00BA54F8" w:rsidRPr="001F3B32" w14:paraId="04942AA4" w14:textId="77777777" w:rsidTr="59C98B97">
        <w:trPr>
          <w:trHeight w:val="300"/>
        </w:trPr>
        <w:tc>
          <w:tcPr>
            <w:tcW w:w="9484" w:type="dxa"/>
            <w:gridSpan w:val="3"/>
          </w:tcPr>
          <w:p w14:paraId="06BAC82A" w14:textId="77777777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 APLINKOSAUGINIAI REIKALAVIMAI</w:t>
            </w:r>
          </w:p>
          <w:p w14:paraId="73A7B9EA" w14:textId="4BEA0AC0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(taikoma, jeigu aplinkosauginiai reikalavimai nustatomi kaip Sutarties vykdymo sąlygos)</w:t>
            </w:r>
          </w:p>
        </w:tc>
      </w:tr>
      <w:tr w:rsidR="00BA54F8" w:rsidRPr="001F3B32" w14:paraId="4D46E6F4" w14:textId="77777777" w:rsidTr="00527D07">
        <w:trPr>
          <w:trHeight w:val="300"/>
        </w:trPr>
        <w:tc>
          <w:tcPr>
            <w:tcW w:w="2310" w:type="dxa"/>
          </w:tcPr>
          <w:p w14:paraId="4B39DB8A" w14:textId="3D05E192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12.1. Aplinkosauginių reikalavimų nustatymo teisinis pagrindas</w:t>
            </w:r>
          </w:p>
        </w:tc>
        <w:tc>
          <w:tcPr>
            <w:tcW w:w="7174" w:type="dxa"/>
            <w:gridSpan w:val="2"/>
          </w:tcPr>
          <w:p w14:paraId="05A8163A" w14:textId="694CDC0B" w:rsidR="00BA54F8" w:rsidRPr="001F3B32" w:rsidRDefault="00060EEE" w:rsidP="004D1AA6">
            <w:pPr>
              <w:pStyle w:val="Sraopastraipa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Aplinkosauginiai kriterijai Prekėms nustatomi vadovaujantis </w:t>
            </w:r>
            <w:r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Aplinkos apsaugos kriterijų taikymo, vykdant žaliuosius pirkimus, tvarkos aprašo, patvirtinto 2011 m. birželio 28 d. įsakymu D1-508</w:t>
            </w:r>
            <w:r w:rsidRPr="001F3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„Dėl Aplinkos apsaugos kriterijų taikymo, vykdant žaliuosius pirkimus, tvarkos aprašo patvirtinimo“ (toliau – Tvarkos aprašas) </w:t>
            </w:r>
            <w:r w:rsidRPr="001F3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4.4.4. punktu, Prekės turi atitikti 4.4.4.1, 4.4.4.2 ir 4.4.4.4. papunkčiuose nurodytus aplinkosauginius principus.</w:t>
            </w:r>
          </w:p>
        </w:tc>
      </w:tr>
      <w:tr w:rsidR="00BA54F8" w:rsidRPr="001F3B32" w14:paraId="1B586D96" w14:textId="77777777" w:rsidTr="00527D07">
        <w:trPr>
          <w:trHeight w:val="300"/>
        </w:trPr>
        <w:tc>
          <w:tcPr>
            <w:tcW w:w="2310" w:type="dxa"/>
          </w:tcPr>
          <w:p w14:paraId="7A83874E" w14:textId="51570372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</w:t>
            </w:r>
            <w:r w:rsidR="0021445F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Su Prekių pakuotėmis susiję galimi (neprivalomi) aplinkosauginiai reikalavimai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174" w:type="dxa"/>
            <w:gridSpan w:val="2"/>
          </w:tcPr>
          <w:p w14:paraId="22EAA5F6" w14:textId="48BEC079" w:rsidR="00BA54F8" w:rsidRPr="001F3B32" w:rsidRDefault="00BA54F8" w:rsidP="00BA54F8">
            <w:pPr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Netaikoma</w:t>
            </w:r>
            <w:r w:rsidRPr="001F3B3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</w:tr>
      <w:tr w:rsidR="00BA54F8" w:rsidRPr="001F3B32" w14:paraId="52130706" w14:textId="77777777" w:rsidTr="00527D07">
        <w:trPr>
          <w:trHeight w:val="300"/>
        </w:trPr>
        <w:tc>
          <w:tcPr>
            <w:tcW w:w="2310" w:type="dxa"/>
          </w:tcPr>
          <w:p w14:paraId="52C4DD6D" w14:textId="515F2711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</w:t>
            </w:r>
            <w:r w:rsidR="00103391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Su Prekių patiekimu susiję galimi (neprivalomi) aplinkosauginiai reikalavimai</w:t>
            </w:r>
            <w:r w:rsidRPr="001F3B32">
              <w:rPr>
                <w:rStyle w:val="normaltextrun"/>
                <w:rFonts w:ascii="Times New Roman" w:hAnsi="Times New Roman" w:cs="Times New Roman"/>
                <w:i/>
                <w:iCs/>
                <w:color w:val="008080"/>
                <w:sz w:val="24"/>
                <w:szCs w:val="24"/>
                <w:u w:val="single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7174" w:type="dxa"/>
            <w:gridSpan w:val="2"/>
          </w:tcPr>
          <w:p w14:paraId="3F21532A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656F6EB2" w14:textId="0421D195" w:rsidR="00BA54F8" w:rsidRPr="001F3B32" w:rsidRDefault="00BA54F8" w:rsidP="00445101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</w:tr>
      <w:tr w:rsidR="00BA54F8" w:rsidRPr="001F3B32" w14:paraId="6AD3943A" w14:textId="77777777" w:rsidTr="00527D07">
        <w:trPr>
          <w:trHeight w:val="300"/>
        </w:trPr>
        <w:tc>
          <w:tcPr>
            <w:tcW w:w="2310" w:type="dxa"/>
          </w:tcPr>
          <w:p w14:paraId="55A7D893" w14:textId="69D2149D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</w:t>
            </w:r>
            <w:r w:rsidR="00D63A9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Su Prekėmis, susijusių paslaugų (pavyzdžiui, montavimo, apmok</w:t>
            </w:r>
            <w:r w:rsidR="7A893342"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ymo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 xml:space="preserve"> ir kitos parengimo naudoti paslaugos) teikimu, susiję galimi (neprivalomi) 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lastRenderedPageBreak/>
              <w:t>aplinkosauginiai reikalavimai</w:t>
            </w:r>
          </w:p>
        </w:tc>
        <w:tc>
          <w:tcPr>
            <w:tcW w:w="7174" w:type="dxa"/>
            <w:gridSpan w:val="2"/>
          </w:tcPr>
          <w:p w14:paraId="02C62522" w14:textId="77777777" w:rsidR="00BA54F8" w:rsidRPr="001F3B32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Netaikoma</w:t>
            </w:r>
          </w:p>
          <w:p w14:paraId="232C630F" w14:textId="2071E3BF" w:rsidR="00BA54F8" w:rsidRPr="001F3B32" w:rsidRDefault="00BA54F8" w:rsidP="004D1A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54F8" w:rsidRPr="001F3B32" w14:paraId="6CB35F0C" w14:textId="77777777" w:rsidTr="00527D07">
        <w:trPr>
          <w:trHeight w:val="300"/>
        </w:trPr>
        <w:tc>
          <w:tcPr>
            <w:tcW w:w="2310" w:type="dxa"/>
          </w:tcPr>
          <w:p w14:paraId="55D0EC58" w14:textId="7C812531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</w:t>
            </w:r>
            <w:r w:rsidR="00BA23AE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Pr="001F3B3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Su Prekių garantinių terminų laikotarpiu ar techniniu aptarnavimu susiję galimi (neprivalomi) aplinkosauginiai reikalavimai</w:t>
            </w:r>
          </w:p>
        </w:tc>
        <w:tc>
          <w:tcPr>
            <w:tcW w:w="7174" w:type="dxa"/>
            <w:gridSpan w:val="2"/>
          </w:tcPr>
          <w:p w14:paraId="278A7BC8" w14:textId="77777777" w:rsidR="00BA54F8" w:rsidRPr="001F3B32" w:rsidRDefault="00BA54F8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  <w:p w14:paraId="4B07D7DD" w14:textId="7A828481" w:rsidR="00BA54F8" w:rsidRPr="001F3B32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A54F8" w:rsidRPr="001F3B32" w14:paraId="6388BD75" w14:textId="77777777" w:rsidTr="59C98B97">
        <w:trPr>
          <w:trHeight w:val="300"/>
        </w:trPr>
        <w:tc>
          <w:tcPr>
            <w:tcW w:w="9484" w:type="dxa"/>
            <w:gridSpan w:val="3"/>
          </w:tcPr>
          <w:p w14:paraId="02F06CDF" w14:textId="488962D9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6424C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BENDRŲJŲ SĄLYGŲ PAKEITIMAI IR PAPILDYMAI </w:t>
            </w:r>
          </w:p>
          <w:p w14:paraId="53259317" w14:textId="41C3D02A" w:rsidR="00BA54F8" w:rsidRPr="001F3B32" w:rsidRDefault="00BA54F8" w:rsidP="00BA54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(jeigu būtina dėl konkretaus Sutarties dalyko specifikos) </w:t>
            </w:r>
          </w:p>
        </w:tc>
      </w:tr>
      <w:tr w:rsidR="00BA54F8" w:rsidRPr="001F3B32" w14:paraId="58C38C1C" w14:textId="77777777" w:rsidTr="00527D07">
        <w:trPr>
          <w:trHeight w:val="300"/>
        </w:trPr>
        <w:tc>
          <w:tcPr>
            <w:tcW w:w="2310" w:type="dxa"/>
          </w:tcPr>
          <w:p w14:paraId="6F57EB90" w14:textId="37ADBA8F" w:rsidR="00BA54F8" w:rsidRPr="001F3B32" w:rsidRDefault="00BA54F8" w:rsidP="00CD4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6424C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</w:p>
        </w:tc>
        <w:tc>
          <w:tcPr>
            <w:tcW w:w="7174" w:type="dxa"/>
            <w:gridSpan w:val="2"/>
          </w:tcPr>
          <w:p w14:paraId="1AF4F7CA" w14:textId="50C1D58D" w:rsidR="00BA54F8" w:rsidRPr="001F3B32" w:rsidRDefault="00BA54F8" w:rsidP="00CD45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Šalys susitaria pakeisti nurodytą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Bendrųjų sąlygų punktą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ir išdėstyti jį (juos) nauja redakcija: ____.</w:t>
            </w:r>
          </w:p>
        </w:tc>
      </w:tr>
      <w:tr w:rsidR="00BA54F8" w:rsidRPr="001F3B32" w14:paraId="70DAC6DB" w14:textId="77777777" w:rsidTr="00527D07">
        <w:trPr>
          <w:trHeight w:val="300"/>
        </w:trPr>
        <w:tc>
          <w:tcPr>
            <w:tcW w:w="2310" w:type="dxa"/>
          </w:tcPr>
          <w:p w14:paraId="2D3EFE7F" w14:textId="4D29C8D2" w:rsidR="00BA54F8" w:rsidRPr="001F3B32" w:rsidRDefault="00BA54F8" w:rsidP="00CD4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6424C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.2.</w:t>
            </w:r>
          </w:p>
        </w:tc>
        <w:tc>
          <w:tcPr>
            <w:tcW w:w="7174" w:type="dxa"/>
            <w:gridSpan w:val="2"/>
          </w:tcPr>
          <w:p w14:paraId="6E4C990C" w14:textId="77777777" w:rsidR="00BA54F8" w:rsidRPr="001F3B32" w:rsidRDefault="00BA54F8" w:rsidP="00BA54F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(pildoma jei papildomos Sutarties Bendrosios sąlygos naujomis nuostatomis):</w:t>
            </w:r>
          </w:p>
          <w:p w14:paraId="64B61B29" w14:textId="2FB63B24" w:rsidR="00BA54F8" w:rsidRPr="001F3B32" w:rsidRDefault="00BA54F8" w:rsidP="00CD45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Šalys susitaria papildyti Sutarties Bendrąsias sąlygas nurodytu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punktu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tačiau kitų punktų numeracijos nekeisti: ________.</w:t>
            </w:r>
          </w:p>
        </w:tc>
      </w:tr>
      <w:tr w:rsidR="00BA54F8" w:rsidRPr="001F3B32" w14:paraId="1DBF8404" w14:textId="77777777" w:rsidTr="00527D07">
        <w:trPr>
          <w:trHeight w:val="300"/>
        </w:trPr>
        <w:tc>
          <w:tcPr>
            <w:tcW w:w="2310" w:type="dxa"/>
          </w:tcPr>
          <w:p w14:paraId="45EDB561" w14:textId="368B219E" w:rsidR="00BA54F8" w:rsidRPr="001F3B32" w:rsidRDefault="00BA54F8" w:rsidP="00CD4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6424C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.3.</w:t>
            </w:r>
          </w:p>
        </w:tc>
        <w:tc>
          <w:tcPr>
            <w:tcW w:w="7174" w:type="dxa"/>
            <w:gridSpan w:val="2"/>
          </w:tcPr>
          <w:p w14:paraId="4B541EFB" w14:textId="3189D426" w:rsidR="00BA54F8" w:rsidRPr="001F3B32" w:rsidRDefault="00BA54F8" w:rsidP="00CD45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Šalys susitaria išbraukti nurodytą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Bendrųjų sąlygų punktą (-</w:t>
            </w:r>
            <w:proofErr w:type="spellStart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tačiau kitų punktų numeracijos nekeisti: _____.</w:t>
            </w:r>
          </w:p>
        </w:tc>
      </w:tr>
      <w:tr w:rsidR="00BA54F8" w:rsidRPr="001F3B32" w14:paraId="349EF75C" w14:textId="77777777" w:rsidTr="00527D07">
        <w:trPr>
          <w:trHeight w:val="300"/>
        </w:trPr>
        <w:tc>
          <w:tcPr>
            <w:tcW w:w="2310" w:type="dxa"/>
          </w:tcPr>
          <w:p w14:paraId="36641F24" w14:textId="093075AD" w:rsidR="00BA54F8" w:rsidRPr="001F3B32" w:rsidRDefault="00BA54F8" w:rsidP="00CD4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6424C4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.4.</w:t>
            </w:r>
          </w:p>
        </w:tc>
        <w:tc>
          <w:tcPr>
            <w:tcW w:w="7174" w:type="dxa"/>
            <w:gridSpan w:val="2"/>
          </w:tcPr>
          <w:p w14:paraId="3A0B6944" w14:textId="185B34B6" w:rsidR="00BA54F8" w:rsidRPr="001F3B32" w:rsidRDefault="00BA54F8" w:rsidP="00CD45E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Bendrosiose sąlygose nurodytos alternatyvios nuostatos (su prierašu „jei taikoma“, „jei tokių būtų“, „jei tokių yra“ ar pan.) taikomos tik tokiu atveju, jeigu jos konkrečiai aprašomos Sutarties Specialiosiose sąlygose.</w:t>
            </w:r>
          </w:p>
        </w:tc>
      </w:tr>
      <w:tr w:rsidR="006424C4" w:rsidRPr="001F3B32" w14:paraId="07082863" w14:textId="77777777" w:rsidTr="59C98B97">
        <w:trPr>
          <w:trHeight w:val="300"/>
        </w:trPr>
        <w:tc>
          <w:tcPr>
            <w:tcW w:w="9484" w:type="dxa"/>
            <w:gridSpan w:val="3"/>
          </w:tcPr>
          <w:p w14:paraId="2166FD17" w14:textId="4AE427BF" w:rsidR="006424C4" w:rsidRPr="001F3B32" w:rsidRDefault="006424C4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1401C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SUTARTIES PRIEDAI</w:t>
            </w:r>
          </w:p>
        </w:tc>
      </w:tr>
      <w:tr w:rsidR="006424C4" w:rsidRPr="001F3B32" w14:paraId="20C33EBF" w14:textId="77777777" w:rsidTr="00527D07">
        <w:trPr>
          <w:trHeight w:val="300"/>
        </w:trPr>
        <w:tc>
          <w:tcPr>
            <w:tcW w:w="2310" w:type="dxa"/>
          </w:tcPr>
          <w:p w14:paraId="4E5FD3A5" w14:textId="7AD8B668" w:rsidR="006424C4" w:rsidRPr="001F3B32" w:rsidRDefault="006424C4" w:rsidP="00642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1401C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.1. Priedas Nr. 1</w:t>
            </w:r>
          </w:p>
        </w:tc>
        <w:tc>
          <w:tcPr>
            <w:tcW w:w="7174" w:type="dxa"/>
            <w:gridSpan w:val="2"/>
          </w:tcPr>
          <w:p w14:paraId="4D475022" w14:textId="092B460B" w:rsidR="006424C4" w:rsidRPr="001F3B32" w:rsidRDefault="00F52CCD" w:rsidP="00F52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„Techninė specifikacija”</w:t>
            </w:r>
          </w:p>
        </w:tc>
      </w:tr>
      <w:tr w:rsidR="006424C4" w:rsidRPr="001F3B32" w14:paraId="6B75BFE8" w14:textId="77777777" w:rsidTr="00527D07">
        <w:trPr>
          <w:trHeight w:val="300"/>
        </w:trPr>
        <w:tc>
          <w:tcPr>
            <w:tcW w:w="2310" w:type="dxa"/>
          </w:tcPr>
          <w:p w14:paraId="3318EC1F" w14:textId="6FFB137F" w:rsidR="006424C4" w:rsidRPr="001F3B32" w:rsidRDefault="006424C4" w:rsidP="00642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1401C0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.2. Priedas Nr. 2</w:t>
            </w:r>
          </w:p>
        </w:tc>
        <w:tc>
          <w:tcPr>
            <w:tcW w:w="7174" w:type="dxa"/>
            <w:gridSpan w:val="2"/>
          </w:tcPr>
          <w:p w14:paraId="5E273481" w14:textId="2FC3CD94" w:rsidR="006424C4" w:rsidRPr="001F3B32" w:rsidRDefault="00F52CCD" w:rsidP="00F52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„Pasiūlymas“</w:t>
            </w:r>
          </w:p>
        </w:tc>
      </w:tr>
    </w:tbl>
    <w:p w14:paraId="669A1DB2" w14:textId="38DED863" w:rsidR="00630D8D" w:rsidRPr="001F3B32" w:rsidRDefault="00630D8D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D45FC9" w14:textId="63D657A6" w:rsidR="00630D8D" w:rsidRPr="001F3B32" w:rsidRDefault="00630D8D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8"/>
        <w:gridCol w:w="4534"/>
      </w:tblGrid>
      <w:tr w:rsidR="00630D8D" w:rsidRPr="001F3B32" w14:paraId="35AA4205" w14:textId="77777777" w:rsidTr="00967424">
        <w:tc>
          <w:tcPr>
            <w:tcW w:w="9322" w:type="dxa"/>
            <w:gridSpan w:val="2"/>
          </w:tcPr>
          <w:p w14:paraId="3FAEF2ED" w14:textId="6F85E2CC" w:rsidR="00630D8D" w:rsidRPr="001F3B32" w:rsidRDefault="00630D8D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EC7BE8"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ŠALIŲ ATSTOVŲ PARAŠAI</w:t>
            </w:r>
          </w:p>
        </w:tc>
      </w:tr>
      <w:tr w:rsidR="00630D8D" w:rsidRPr="001F3B32" w14:paraId="1482DEBC" w14:textId="77777777" w:rsidTr="00967424">
        <w:tc>
          <w:tcPr>
            <w:tcW w:w="4788" w:type="dxa"/>
          </w:tcPr>
          <w:p w14:paraId="366562A1" w14:textId="02433059" w:rsidR="00630D8D" w:rsidRPr="001F3B32" w:rsidRDefault="00630D8D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4534" w:type="dxa"/>
          </w:tcPr>
          <w:p w14:paraId="0AB9C9E4" w14:textId="2EC3708A" w:rsidR="00630D8D" w:rsidRPr="001F3B32" w:rsidRDefault="00D51677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</w:p>
        </w:tc>
      </w:tr>
      <w:tr w:rsidR="002C281C" w:rsidRPr="001F3B32" w14:paraId="50748BD5" w14:textId="77777777" w:rsidTr="00967424">
        <w:tc>
          <w:tcPr>
            <w:tcW w:w="4788" w:type="dxa"/>
          </w:tcPr>
          <w:p w14:paraId="33E4EE42" w14:textId="162050F6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(nurodomos atstovo pareigos, vardas, pavardė)</w:t>
            </w:r>
          </w:p>
        </w:tc>
        <w:tc>
          <w:tcPr>
            <w:tcW w:w="4534" w:type="dxa"/>
          </w:tcPr>
          <w:p w14:paraId="072924C7" w14:textId="43614EEC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(nurodomos atstovo pareigos, vardas, pavardė)</w:t>
            </w:r>
          </w:p>
        </w:tc>
      </w:tr>
      <w:tr w:rsidR="002C281C" w:rsidRPr="001F3B32" w14:paraId="751DB911" w14:textId="77777777" w:rsidTr="00967424">
        <w:tc>
          <w:tcPr>
            <w:tcW w:w="4788" w:type="dxa"/>
          </w:tcPr>
          <w:p w14:paraId="1BFF4D00" w14:textId="77777777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3D1604EC" w14:textId="5A2CF790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  <w:t>(parašas)</w:t>
            </w:r>
          </w:p>
          <w:p w14:paraId="55F444BF" w14:textId="77777777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5ED75CE1" w14:textId="10C7A43C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4534" w:type="dxa"/>
          </w:tcPr>
          <w:p w14:paraId="5E1851BD" w14:textId="77777777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73A3FC94" w14:textId="35FF6B37" w:rsidR="002C281C" w:rsidRPr="001F3B32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1F3B32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  <w:t>(parašas)</w:t>
            </w:r>
          </w:p>
        </w:tc>
      </w:tr>
    </w:tbl>
    <w:p w14:paraId="53F6E96D" w14:textId="3DC20E0D" w:rsidR="00630D8D" w:rsidRPr="001F3B32" w:rsidRDefault="00630D8D" w:rsidP="00A35E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630D8D" w:rsidRPr="001F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9DB9" w14:textId="77777777" w:rsidR="008F26A6" w:rsidRDefault="008F26A6">
      <w:pPr>
        <w:spacing w:after="0" w:line="240" w:lineRule="auto"/>
      </w:pPr>
      <w:r>
        <w:separator/>
      </w:r>
    </w:p>
  </w:endnote>
  <w:endnote w:type="continuationSeparator" w:id="0">
    <w:p w14:paraId="6A2AAD77" w14:textId="77777777" w:rsidR="008F26A6" w:rsidRDefault="008F26A6">
      <w:pPr>
        <w:spacing w:after="0" w:line="240" w:lineRule="auto"/>
      </w:pPr>
      <w:r>
        <w:continuationSeparator/>
      </w:r>
    </w:p>
  </w:endnote>
  <w:endnote w:type="continuationNotice" w:id="1">
    <w:p w14:paraId="75D6D046" w14:textId="77777777" w:rsidR="008F26A6" w:rsidRDefault="008F2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98B1" w14:textId="77777777" w:rsidR="008F26A6" w:rsidRDefault="008F26A6">
      <w:pPr>
        <w:spacing w:after="0" w:line="240" w:lineRule="auto"/>
      </w:pPr>
      <w:r>
        <w:separator/>
      </w:r>
    </w:p>
  </w:footnote>
  <w:footnote w:type="continuationSeparator" w:id="0">
    <w:p w14:paraId="6B7C70E0" w14:textId="77777777" w:rsidR="008F26A6" w:rsidRDefault="008F26A6">
      <w:pPr>
        <w:spacing w:after="0" w:line="240" w:lineRule="auto"/>
      </w:pPr>
      <w:r>
        <w:continuationSeparator/>
      </w:r>
    </w:p>
  </w:footnote>
  <w:footnote w:type="continuationNotice" w:id="1">
    <w:p w14:paraId="3337B325" w14:textId="77777777" w:rsidR="008F26A6" w:rsidRDefault="008F26A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78NUl12wWwB94" int2:id="PXkZc0ZN">
      <int2:state int2:value="Rejected" int2:type="AugLoop_Text_Critique"/>
    </int2:textHash>
    <int2:textHash int2:hashCode="VUR4cww6D1E3L6" int2:id="alEuUTG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21B"/>
    <w:multiLevelType w:val="hybridMultilevel"/>
    <w:tmpl w:val="FFFFFFFF"/>
    <w:lvl w:ilvl="0" w:tplc="8B7EC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2B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E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5DC"/>
    <w:multiLevelType w:val="multilevel"/>
    <w:tmpl w:val="7A3CBCB0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Bidi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17926BD5"/>
    <w:multiLevelType w:val="hybridMultilevel"/>
    <w:tmpl w:val="5DB661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5AC"/>
    <w:multiLevelType w:val="multilevel"/>
    <w:tmpl w:val="C8501D1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num w:numId="1" w16cid:durableId="1314677380">
    <w:abstractNumId w:val="0"/>
  </w:num>
  <w:num w:numId="2" w16cid:durableId="12269543">
    <w:abstractNumId w:val="4"/>
  </w:num>
  <w:num w:numId="3" w16cid:durableId="118841987">
    <w:abstractNumId w:val="3"/>
  </w:num>
  <w:num w:numId="4" w16cid:durableId="106974570">
    <w:abstractNumId w:val="2"/>
  </w:num>
  <w:num w:numId="5" w16cid:durableId="61525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BA"/>
    <w:rsid w:val="000040ED"/>
    <w:rsid w:val="00010594"/>
    <w:rsid w:val="00015C0B"/>
    <w:rsid w:val="000216A0"/>
    <w:rsid w:val="00032887"/>
    <w:rsid w:val="0003337D"/>
    <w:rsid w:val="00034AFD"/>
    <w:rsid w:val="00036A64"/>
    <w:rsid w:val="00040D14"/>
    <w:rsid w:val="000424D7"/>
    <w:rsid w:val="00043632"/>
    <w:rsid w:val="00051531"/>
    <w:rsid w:val="0005574D"/>
    <w:rsid w:val="00060EEE"/>
    <w:rsid w:val="00061C03"/>
    <w:rsid w:val="00061F2C"/>
    <w:rsid w:val="00063B0A"/>
    <w:rsid w:val="000731DF"/>
    <w:rsid w:val="00073BD5"/>
    <w:rsid w:val="00073DC4"/>
    <w:rsid w:val="000852E7"/>
    <w:rsid w:val="00087421"/>
    <w:rsid w:val="00092035"/>
    <w:rsid w:val="00095688"/>
    <w:rsid w:val="000959E6"/>
    <w:rsid w:val="000A00C8"/>
    <w:rsid w:val="000B12B9"/>
    <w:rsid w:val="000B3B87"/>
    <w:rsid w:val="000B3BE6"/>
    <w:rsid w:val="000B5F6F"/>
    <w:rsid w:val="000C0D71"/>
    <w:rsid w:val="000C7A17"/>
    <w:rsid w:val="000D0653"/>
    <w:rsid w:val="000D11AF"/>
    <w:rsid w:val="000D159E"/>
    <w:rsid w:val="000D393F"/>
    <w:rsid w:val="000E1E40"/>
    <w:rsid w:val="000E29F7"/>
    <w:rsid w:val="000E6EA4"/>
    <w:rsid w:val="000F05DB"/>
    <w:rsid w:val="000F7EA3"/>
    <w:rsid w:val="001001FC"/>
    <w:rsid w:val="001007E8"/>
    <w:rsid w:val="001009BC"/>
    <w:rsid w:val="00103391"/>
    <w:rsid w:val="001049BD"/>
    <w:rsid w:val="00105A88"/>
    <w:rsid w:val="001158A7"/>
    <w:rsid w:val="001176F4"/>
    <w:rsid w:val="001178A8"/>
    <w:rsid w:val="00124840"/>
    <w:rsid w:val="00124FF0"/>
    <w:rsid w:val="001257A1"/>
    <w:rsid w:val="00127701"/>
    <w:rsid w:val="001277CE"/>
    <w:rsid w:val="001333A9"/>
    <w:rsid w:val="00136007"/>
    <w:rsid w:val="001401C0"/>
    <w:rsid w:val="00140FA6"/>
    <w:rsid w:val="001432EA"/>
    <w:rsid w:val="00143950"/>
    <w:rsid w:val="001469BF"/>
    <w:rsid w:val="001516B3"/>
    <w:rsid w:val="00152000"/>
    <w:rsid w:val="00152231"/>
    <w:rsid w:val="001527BB"/>
    <w:rsid w:val="001547AE"/>
    <w:rsid w:val="00155A41"/>
    <w:rsid w:val="001569D3"/>
    <w:rsid w:val="00161358"/>
    <w:rsid w:val="00162D67"/>
    <w:rsid w:val="00163C42"/>
    <w:rsid w:val="0016405B"/>
    <w:rsid w:val="0016764E"/>
    <w:rsid w:val="00171435"/>
    <w:rsid w:val="00175CD9"/>
    <w:rsid w:val="001817F0"/>
    <w:rsid w:val="001839C2"/>
    <w:rsid w:val="001854CE"/>
    <w:rsid w:val="0018AEA6"/>
    <w:rsid w:val="001935D9"/>
    <w:rsid w:val="0019719A"/>
    <w:rsid w:val="001A71FA"/>
    <w:rsid w:val="001B33D9"/>
    <w:rsid w:val="001C225C"/>
    <w:rsid w:val="001C2730"/>
    <w:rsid w:val="001D2B70"/>
    <w:rsid w:val="001D2EDB"/>
    <w:rsid w:val="001E01AE"/>
    <w:rsid w:val="001F1F9E"/>
    <w:rsid w:val="001F322D"/>
    <w:rsid w:val="001F3B32"/>
    <w:rsid w:val="00200AD4"/>
    <w:rsid w:val="002061E3"/>
    <w:rsid w:val="0021445F"/>
    <w:rsid w:val="002157F7"/>
    <w:rsid w:val="00231FF2"/>
    <w:rsid w:val="00232B94"/>
    <w:rsid w:val="00241809"/>
    <w:rsid w:val="0025356F"/>
    <w:rsid w:val="00253FC4"/>
    <w:rsid w:val="0025639E"/>
    <w:rsid w:val="002569B9"/>
    <w:rsid w:val="0026546A"/>
    <w:rsid w:val="00270B08"/>
    <w:rsid w:val="00271374"/>
    <w:rsid w:val="0027547C"/>
    <w:rsid w:val="002A64DF"/>
    <w:rsid w:val="002B0A35"/>
    <w:rsid w:val="002B124D"/>
    <w:rsid w:val="002B1285"/>
    <w:rsid w:val="002B5C37"/>
    <w:rsid w:val="002B63DF"/>
    <w:rsid w:val="002C050A"/>
    <w:rsid w:val="002C281C"/>
    <w:rsid w:val="002C5EAD"/>
    <w:rsid w:val="002C7B4F"/>
    <w:rsid w:val="002D08D4"/>
    <w:rsid w:val="002D0976"/>
    <w:rsid w:val="002D5E73"/>
    <w:rsid w:val="002D601E"/>
    <w:rsid w:val="002D668E"/>
    <w:rsid w:val="002E0B4A"/>
    <w:rsid w:val="002E0DDD"/>
    <w:rsid w:val="002E1079"/>
    <w:rsid w:val="002E7321"/>
    <w:rsid w:val="002F116C"/>
    <w:rsid w:val="002F1939"/>
    <w:rsid w:val="002F46AA"/>
    <w:rsid w:val="002F6EE8"/>
    <w:rsid w:val="002F6FF8"/>
    <w:rsid w:val="00300744"/>
    <w:rsid w:val="0030406F"/>
    <w:rsid w:val="00304859"/>
    <w:rsid w:val="0030780B"/>
    <w:rsid w:val="003079CA"/>
    <w:rsid w:val="00307C40"/>
    <w:rsid w:val="0031260C"/>
    <w:rsid w:val="00315309"/>
    <w:rsid w:val="0031726D"/>
    <w:rsid w:val="003213DA"/>
    <w:rsid w:val="003226F7"/>
    <w:rsid w:val="00327BD8"/>
    <w:rsid w:val="00335647"/>
    <w:rsid w:val="00337088"/>
    <w:rsid w:val="003543A8"/>
    <w:rsid w:val="00354DD8"/>
    <w:rsid w:val="00360030"/>
    <w:rsid w:val="00362684"/>
    <w:rsid w:val="0036608A"/>
    <w:rsid w:val="003825F6"/>
    <w:rsid w:val="00387A53"/>
    <w:rsid w:val="0039057C"/>
    <w:rsid w:val="00392663"/>
    <w:rsid w:val="00396CAF"/>
    <w:rsid w:val="003A0C26"/>
    <w:rsid w:val="003A26F2"/>
    <w:rsid w:val="003A352E"/>
    <w:rsid w:val="003B2B24"/>
    <w:rsid w:val="003C14A7"/>
    <w:rsid w:val="003C2D83"/>
    <w:rsid w:val="003C3871"/>
    <w:rsid w:val="003C6E44"/>
    <w:rsid w:val="003D0AC4"/>
    <w:rsid w:val="003D31F3"/>
    <w:rsid w:val="003D3573"/>
    <w:rsid w:val="003E0756"/>
    <w:rsid w:val="003E64B7"/>
    <w:rsid w:val="003E7E34"/>
    <w:rsid w:val="003F0617"/>
    <w:rsid w:val="003F085C"/>
    <w:rsid w:val="003F59AC"/>
    <w:rsid w:val="003F6AED"/>
    <w:rsid w:val="0040346F"/>
    <w:rsid w:val="0041128C"/>
    <w:rsid w:val="00412784"/>
    <w:rsid w:val="00422902"/>
    <w:rsid w:val="00423BC9"/>
    <w:rsid w:val="0042435F"/>
    <w:rsid w:val="00431A8B"/>
    <w:rsid w:val="00431F1A"/>
    <w:rsid w:val="00432206"/>
    <w:rsid w:val="00434BF0"/>
    <w:rsid w:val="00434F88"/>
    <w:rsid w:val="004360B4"/>
    <w:rsid w:val="0043690D"/>
    <w:rsid w:val="0044089F"/>
    <w:rsid w:val="00445101"/>
    <w:rsid w:val="004513DD"/>
    <w:rsid w:val="004557B7"/>
    <w:rsid w:val="00457B39"/>
    <w:rsid w:val="00460AF3"/>
    <w:rsid w:val="00470683"/>
    <w:rsid w:val="004723CA"/>
    <w:rsid w:val="00475D7A"/>
    <w:rsid w:val="0048205A"/>
    <w:rsid w:val="004903C3"/>
    <w:rsid w:val="004920DA"/>
    <w:rsid w:val="004953B4"/>
    <w:rsid w:val="004A2C89"/>
    <w:rsid w:val="004A589A"/>
    <w:rsid w:val="004B7F2B"/>
    <w:rsid w:val="004C1B3D"/>
    <w:rsid w:val="004C311A"/>
    <w:rsid w:val="004D0F56"/>
    <w:rsid w:val="004D0F9E"/>
    <w:rsid w:val="004D1AA6"/>
    <w:rsid w:val="004D212A"/>
    <w:rsid w:val="004D4245"/>
    <w:rsid w:val="004E0272"/>
    <w:rsid w:val="004E0BEE"/>
    <w:rsid w:val="004E2A1A"/>
    <w:rsid w:val="004E2CB4"/>
    <w:rsid w:val="004E68E7"/>
    <w:rsid w:val="004F23E7"/>
    <w:rsid w:val="004F3CF5"/>
    <w:rsid w:val="005019AA"/>
    <w:rsid w:val="005108DC"/>
    <w:rsid w:val="0051126B"/>
    <w:rsid w:val="005118F8"/>
    <w:rsid w:val="0051366A"/>
    <w:rsid w:val="005173A4"/>
    <w:rsid w:val="00517E6D"/>
    <w:rsid w:val="00522720"/>
    <w:rsid w:val="00524E81"/>
    <w:rsid w:val="00524EBE"/>
    <w:rsid w:val="00527D07"/>
    <w:rsid w:val="00530353"/>
    <w:rsid w:val="005317F1"/>
    <w:rsid w:val="00533A21"/>
    <w:rsid w:val="005370FD"/>
    <w:rsid w:val="005434FE"/>
    <w:rsid w:val="00551D5A"/>
    <w:rsid w:val="00564B12"/>
    <w:rsid w:val="00566A85"/>
    <w:rsid w:val="005672F3"/>
    <w:rsid w:val="0057470B"/>
    <w:rsid w:val="005763CD"/>
    <w:rsid w:val="00580C71"/>
    <w:rsid w:val="005832A0"/>
    <w:rsid w:val="0059CBF9"/>
    <w:rsid w:val="005A2B38"/>
    <w:rsid w:val="005A402E"/>
    <w:rsid w:val="005A5EB1"/>
    <w:rsid w:val="005A7497"/>
    <w:rsid w:val="005B32D5"/>
    <w:rsid w:val="005C0D4B"/>
    <w:rsid w:val="005C2831"/>
    <w:rsid w:val="005C64B3"/>
    <w:rsid w:val="005D25CA"/>
    <w:rsid w:val="005D2A1F"/>
    <w:rsid w:val="005E5503"/>
    <w:rsid w:val="005F18F0"/>
    <w:rsid w:val="005F2E04"/>
    <w:rsid w:val="00600BAA"/>
    <w:rsid w:val="00600FD1"/>
    <w:rsid w:val="00604461"/>
    <w:rsid w:val="00605ADF"/>
    <w:rsid w:val="006078F3"/>
    <w:rsid w:val="00611C78"/>
    <w:rsid w:val="00612781"/>
    <w:rsid w:val="006208FE"/>
    <w:rsid w:val="0062273B"/>
    <w:rsid w:val="00624241"/>
    <w:rsid w:val="00630D8D"/>
    <w:rsid w:val="0063359B"/>
    <w:rsid w:val="00634969"/>
    <w:rsid w:val="00636D42"/>
    <w:rsid w:val="006406AF"/>
    <w:rsid w:val="00640C0F"/>
    <w:rsid w:val="006424C4"/>
    <w:rsid w:val="006425B6"/>
    <w:rsid w:val="006437D3"/>
    <w:rsid w:val="00643C07"/>
    <w:rsid w:val="0065358D"/>
    <w:rsid w:val="00653C96"/>
    <w:rsid w:val="00654D52"/>
    <w:rsid w:val="00655A54"/>
    <w:rsid w:val="0066179E"/>
    <w:rsid w:val="006671FD"/>
    <w:rsid w:val="00671895"/>
    <w:rsid w:val="00671D53"/>
    <w:rsid w:val="006734BC"/>
    <w:rsid w:val="00680537"/>
    <w:rsid w:val="00681615"/>
    <w:rsid w:val="0068222E"/>
    <w:rsid w:val="00683306"/>
    <w:rsid w:val="00683938"/>
    <w:rsid w:val="00686574"/>
    <w:rsid w:val="00691A47"/>
    <w:rsid w:val="006921D7"/>
    <w:rsid w:val="00692FCD"/>
    <w:rsid w:val="00694BC9"/>
    <w:rsid w:val="00695D73"/>
    <w:rsid w:val="006969D9"/>
    <w:rsid w:val="006A5086"/>
    <w:rsid w:val="006B015F"/>
    <w:rsid w:val="006B044C"/>
    <w:rsid w:val="006B7AE9"/>
    <w:rsid w:val="006C38E4"/>
    <w:rsid w:val="006C5B07"/>
    <w:rsid w:val="006D52F7"/>
    <w:rsid w:val="006D6387"/>
    <w:rsid w:val="006D716B"/>
    <w:rsid w:val="006D7F07"/>
    <w:rsid w:val="006E0258"/>
    <w:rsid w:val="006F363E"/>
    <w:rsid w:val="006F71EE"/>
    <w:rsid w:val="00700A34"/>
    <w:rsid w:val="00703D73"/>
    <w:rsid w:val="00704575"/>
    <w:rsid w:val="0071151E"/>
    <w:rsid w:val="00711BFB"/>
    <w:rsid w:val="00714B11"/>
    <w:rsid w:val="00717275"/>
    <w:rsid w:val="00717A4A"/>
    <w:rsid w:val="007201EA"/>
    <w:rsid w:val="00721115"/>
    <w:rsid w:val="00726488"/>
    <w:rsid w:val="00733EA5"/>
    <w:rsid w:val="007369B6"/>
    <w:rsid w:val="00736BE7"/>
    <w:rsid w:val="00747D43"/>
    <w:rsid w:val="00750EE8"/>
    <w:rsid w:val="00753BC6"/>
    <w:rsid w:val="00756D2F"/>
    <w:rsid w:val="00765BFD"/>
    <w:rsid w:val="00765F96"/>
    <w:rsid w:val="007666AB"/>
    <w:rsid w:val="0077031E"/>
    <w:rsid w:val="007721F1"/>
    <w:rsid w:val="007725E4"/>
    <w:rsid w:val="00774C51"/>
    <w:rsid w:val="00783061"/>
    <w:rsid w:val="00790129"/>
    <w:rsid w:val="00793EF0"/>
    <w:rsid w:val="007946B0"/>
    <w:rsid w:val="007A1377"/>
    <w:rsid w:val="007A3147"/>
    <w:rsid w:val="007B490F"/>
    <w:rsid w:val="007B4EAE"/>
    <w:rsid w:val="007C0DA9"/>
    <w:rsid w:val="007C14C3"/>
    <w:rsid w:val="007D1777"/>
    <w:rsid w:val="007D32AE"/>
    <w:rsid w:val="007D4BCD"/>
    <w:rsid w:val="007D66AD"/>
    <w:rsid w:val="007E70F2"/>
    <w:rsid w:val="007F6A3C"/>
    <w:rsid w:val="008012FF"/>
    <w:rsid w:val="00805A00"/>
    <w:rsid w:val="00810652"/>
    <w:rsid w:val="00815A03"/>
    <w:rsid w:val="00817CA5"/>
    <w:rsid w:val="00817DE8"/>
    <w:rsid w:val="008206AB"/>
    <w:rsid w:val="00823C58"/>
    <w:rsid w:val="00825047"/>
    <w:rsid w:val="00825AED"/>
    <w:rsid w:val="008312A6"/>
    <w:rsid w:val="008359D3"/>
    <w:rsid w:val="00835EDF"/>
    <w:rsid w:val="00842AF9"/>
    <w:rsid w:val="00842E55"/>
    <w:rsid w:val="008440B8"/>
    <w:rsid w:val="00845845"/>
    <w:rsid w:val="00845B9C"/>
    <w:rsid w:val="00845E41"/>
    <w:rsid w:val="00846DD1"/>
    <w:rsid w:val="008511AF"/>
    <w:rsid w:val="00855935"/>
    <w:rsid w:val="008560C6"/>
    <w:rsid w:val="00856198"/>
    <w:rsid w:val="0086031E"/>
    <w:rsid w:val="00864615"/>
    <w:rsid w:val="0086727E"/>
    <w:rsid w:val="00867F2C"/>
    <w:rsid w:val="008713BA"/>
    <w:rsid w:val="008729F2"/>
    <w:rsid w:val="00876277"/>
    <w:rsid w:val="0088569F"/>
    <w:rsid w:val="008918FA"/>
    <w:rsid w:val="0089295D"/>
    <w:rsid w:val="00894F9B"/>
    <w:rsid w:val="00895C4A"/>
    <w:rsid w:val="008A5D4D"/>
    <w:rsid w:val="008A6D94"/>
    <w:rsid w:val="008B4D8F"/>
    <w:rsid w:val="008B7D5E"/>
    <w:rsid w:val="008C28BC"/>
    <w:rsid w:val="008C4CDA"/>
    <w:rsid w:val="008C5D70"/>
    <w:rsid w:val="008C7DF4"/>
    <w:rsid w:val="008C7E8F"/>
    <w:rsid w:val="008D02BC"/>
    <w:rsid w:val="008D4B0C"/>
    <w:rsid w:val="008D5471"/>
    <w:rsid w:val="008E1E07"/>
    <w:rsid w:val="008E322C"/>
    <w:rsid w:val="008E6256"/>
    <w:rsid w:val="008E7A7D"/>
    <w:rsid w:val="008F227B"/>
    <w:rsid w:val="008F26A6"/>
    <w:rsid w:val="008F4D34"/>
    <w:rsid w:val="008F5161"/>
    <w:rsid w:val="008F675B"/>
    <w:rsid w:val="008F7A82"/>
    <w:rsid w:val="00901A6D"/>
    <w:rsid w:val="00906887"/>
    <w:rsid w:val="00906E3C"/>
    <w:rsid w:val="00912016"/>
    <w:rsid w:val="009145A7"/>
    <w:rsid w:val="00917312"/>
    <w:rsid w:val="00917543"/>
    <w:rsid w:val="00917D58"/>
    <w:rsid w:val="00931496"/>
    <w:rsid w:val="00931892"/>
    <w:rsid w:val="00932C65"/>
    <w:rsid w:val="00936CE5"/>
    <w:rsid w:val="00936F57"/>
    <w:rsid w:val="00940572"/>
    <w:rsid w:val="00941240"/>
    <w:rsid w:val="00950297"/>
    <w:rsid w:val="009505BD"/>
    <w:rsid w:val="00955BFF"/>
    <w:rsid w:val="00957294"/>
    <w:rsid w:val="009576D2"/>
    <w:rsid w:val="00961120"/>
    <w:rsid w:val="00963B79"/>
    <w:rsid w:val="00965349"/>
    <w:rsid w:val="009658B1"/>
    <w:rsid w:val="00967424"/>
    <w:rsid w:val="00967719"/>
    <w:rsid w:val="00971FC1"/>
    <w:rsid w:val="009723D4"/>
    <w:rsid w:val="00976AAB"/>
    <w:rsid w:val="0097791A"/>
    <w:rsid w:val="0098650E"/>
    <w:rsid w:val="00986AC3"/>
    <w:rsid w:val="009A123E"/>
    <w:rsid w:val="009A1311"/>
    <w:rsid w:val="009A2510"/>
    <w:rsid w:val="009A2BED"/>
    <w:rsid w:val="009A41D5"/>
    <w:rsid w:val="009A536D"/>
    <w:rsid w:val="009B4463"/>
    <w:rsid w:val="009C4F91"/>
    <w:rsid w:val="009C7399"/>
    <w:rsid w:val="009C75F9"/>
    <w:rsid w:val="009D08B5"/>
    <w:rsid w:val="009D0B76"/>
    <w:rsid w:val="009D75F8"/>
    <w:rsid w:val="009D7E8C"/>
    <w:rsid w:val="009E0A2C"/>
    <w:rsid w:val="009E0D56"/>
    <w:rsid w:val="00A006BF"/>
    <w:rsid w:val="00A045D8"/>
    <w:rsid w:val="00A048A8"/>
    <w:rsid w:val="00A051C9"/>
    <w:rsid w:val="00A1334E"/>
    <w:rsid w:val="00A15C0F"/>
    <w:rsid w:val="00A20539"/>
    <w:rsid w:val="00A2125C"/>
    <w:rsid w:val="00A224B4"/>
    <w:rsid w:val="00A22B1A"/>
    <w:rsid w:val="00A2572C"/>
    <w:rsid w:val="00A27805"/>
    <w:rsid w:val="00A30F07"/>
    <w:rsid w:val="00A35EBA"/>
    <w:rsid w:val="00A42BBD"/>
    <w:rsid w:val="00A43466"/>
    <w:rsid w:val="00A4558B"/>
    <w:rsid w:val="00A60136"/>
    <w:rsid w:val="00A678D2"/>
    <w:rsid w:val="00A713B4"/>
    <w:rsid w:val="00A719AC"/>
    <w:rsid w:val="00A75AA9"/>
    <w:rsid w:val="00A7653F"/>
    <w:rsid w:val="00A76836"/>
    <w:rsid w:val="00A823EF"/>
    <w:rsid w:val="00A85178"/>
    <w:rsid w:val="00A944E1"/>
    <w:rsid w:val="00A96B80"/>
    <w:rsid w:val="00AA470C"/>
    <w:rsid w:val="00AA4845"/>
    <w:rsid w:val="00AB0689"/>
    <w:rsid w:val="00AB5D4A"/>
    <w:rsid w:val="00AB7A47"/>
    <w:rsid w:val="00AC1619"/>
    <w:rsid w:val="00AC26D1"/>
    <w:rsid w:val="00AC45EE"/>
    <w:rsid w:val="00AC7E67"/>
    <w:rsid w:val="00AD023A"/>
    <w:rsid w:val="00AD54F7"/>
    <w:rsid w:val="00AD664A"/>
    <w:rsid w:val="00AE6584"/>
    <w:rsid w:val="00AF1AFA"/>
    <w:rsid w:val="00AF37A7"/>
    <w:rsid w:val="00AF5E96"/>
    <w:rsid w:val="00AF6D3F"/>
    <w:rsid w:val="00AF78A9"/>
    <w:rsid w:val="00B00288"/>
    <w:rsid w:val="00B10ECF"/>
    <w:rsid w:val="00B11F2B"/>
    <w:rsid w:val="00B127EF"/>
    <w:rsid w:val="00B16BD4"/>
    <w:rsid w:val="00B21AC6"/>
    <w:rsid w:val="00B35359"/>
    <w:rsid w:val="00B36BAF"/>
    <w:rsid w:val="00B40590"/>
    <w:rsid w:val="00B4070D"/>
    <w:rsid w:val="00B43C0E"/>
    <w:rsid w:val="00B4479B"/>
    <w:rsid w:val="00B46A1F"/>
    <w:rsid w:val="00B522F4"/>
    <w:rsid w:val="00B56776"/>
    <w:rsid w:val="00B57B49"/>
    <w:rsid w:val="00B57F83"/>
    <w:rsid w:val="00B60BD6"/>
    <w:rsid w:val="00B62DA8"/>
    <w:rsid w:val="00B712BB"/>
    <w:rsid w:val="00B96A74"/>
    <w:rsid w:val="00BA170A"/>
    <w:rsid w:val="00BA23AE"/>
    <w:rsid w:val="00BA54F8"/>
    <w:rsid w:val="00BA57C3"/>
    <w:rsid w:val="00BA669B"/>
    <w:rsid w:val="00BB02A1"/>
    <w:rsid w:val="00BB4A05"/>
    <w:rsid w:val="00BC1E8A"/>
    <w:rsid w:val="00BC33A9"/>
    <w:rsid w:val="00BC48C7"/>
    <w:rsid w:val="00BC55AA"/>
    <w:rsid w:val="00BD4F4D"/>
    <w:rsid w:val="00BE6E1E"/>
    <w:rsid w:val="00BE7E1D"/>
    <w:rsid w:val="00BE7F9F"/>
    <w:rsid w:val="00BF0699"/>
    <w:rsid w:val="00C01496"/>
    <w:rsid w:val="00C0171E"/>
    <w:rsid w:val="00C02945"/>
    <w:rsid w:val="00C02F0E"/>
    <w:rsid w:val="00C02F7E"/>
    <w:rsid w:val="00C1352E"/>
    <w:rsid w:val="00C155B3"/>
    <w:rsid w:val="00C20178"/>
    <w:rsid w:val="00C3462D"/>
    <w:rsid w:val="00C430E9"/>
    <w:rsid w:val="00C4376A"/>
    <w:rsid w:val="00C43BAA"/>
    <w:rsid w:val="00C4610E"/>
    <w:rsid w:val="00C467F9"/>
    <w:rsid w:val="00C5290C"/>
    <w:rsid w:val="00C54717"/>
    <w:rsid w:val="00C6121E"/>
    <w:rsid w:val="00C651C2"/>
    <w:rsid w:val="00C720DA"/>
    <w:rsid w:val="00C74E60"/>
    <w:rsid w:val="00C80902"/>
    <w:rsid w:val="00C81405"/>
    <w:rsid w:val="00C82C00"/>
    <w:rsid w:val="00C869C3"/>
    <w:rsid w:val="00C86B57"/>
    <w:rsid w:val="00C9341E"/>
    <w:rsid w:val="00C96DC2"/>
    <w:rsid w:val="00CA49FE"/>
    <w:rsid w:val="00CB377B"/>
    <w:rsid w:val="00CD0EDA"/>
    <w:rsid w:val="00CD383C"/>
    <w:rsid w:val="00CD45EB"/>
    <w:rsid w:val="00CD4D13"/>
    <w:rsid w:val="00CD6528"/>
    <w:rsid w:val="00CE0B0D"/>
    <w:rsid w:val="00CE6574"/>
    <w:rsid w:val="00CE6659"/>
    <w:rsid w:val="00CF07CE"/>
    <w:rsid w:val="00D03903"/>
    <w:rsid w:val="00D04644"/>
    <w:rsid w:val="00D064B3"/>
    <w:rsid w:val="00D077F0"/>
    <w:rsid w:val="00D15CAB"/>
    <w:rsid w:val="00D17C8D"/>
    <w:rsid w:val="00D26395"/>
    <w:rsid w:val="00D30345"/>
    <w:rsid w:val="00D359F7"/>
    <w:rsid w:val="00D43407"/>
    <w:rsid w:val="00D44CD3"/>
    <w:rsid w:val="00D44E7A"/>
    <w:rsid w:val="00D51677"/>
    <w:rsid w:val="00D52A41"/>
    <w:rsid w:val="00D54FB9"/>
    <w:rsid w:val="00D60A80"/>
    <w:rsid w:val="00D63A77"/>
    <w:rsid w:val="00D63A98"/>
    <w:rsid w:val="00D672D7"/>
    <w:rsid w:val="00D82F6C"/>
    <w:rsid w:val="00D831FA"/>
    <w:rsid w:val="00D915EA"/>
    <w:rsid w:val="00D92CDB"/>
    <w:rsid w:val="00D9533F"/>
    <w:rsid w:val="00D95EC2"/>
    <w:rsid w:val="00D96514"/>
    <w:rsid w:val="00DA1FDC"/>
    <w:rsid w:val="00DA3C6E"/>
    <w:rsid w:val="00DA5F45"/>
    <w:rsid w:val="00DD0694"/>
    <w:rsid w:val="00DD2810"/>
    <w:rsid w:val="00DE7B19"/>
    <w:rsid w:val="00DE7CCB"/>
    <w:rsid w:val="00DF50BB"/>
    <w:rsid w:val="00DF55B2"/>
    <w:rsid w:val="00DF6443"/>
    <w:rsid w:val="00DF6C52"/>
    <w:rsid w:val="00E01D6C"/>
    <w:rsid w:val="00E076BE"/>
    <w:rsid w:val="00E1363B"/>
    <w:rsid w:val="00E13E03"/>
    <w:rsid w:val="00E14696"/>
    <w:rsid w:val="00E201D1"/>
    <w:rsid w:val="00E21501"/>
    <w:rsid w:val="00E2198D"/>
    <w:rsid w:val="00E236BF"/>
    <w:rsid w:val="00E2424D"/>
    <w:rsid w:val="00E32FE8"/>
    <w:rsid w:val="00E33683"/>
    <w:rsid w:val="00E37D38"/>
    <w:rsid w:val="00E446E7"/>
    <w:rsid w:val="00E44DF8"/>
    <w:rsid w:val="00E455C1"/>
    <w:rsid w:val="00E555FC"/>
    <w:rsid w:val="00E61792"/>
    <w:rsid w:val="00E62D8A"/>
    <w:rsid w:val="00E63ABC"/>
    <w:rsid w:val="00E726C4"/>
    <w:rsid w:val="00E72E2C"/>
    <w:rsid w:val="00E73D45"/>
    <w:rsid w:val="00E74FB7"/>
    <w:rsid w:val="00E82198"/>
    <w:rsid w:val="00E82BE2"/>
    <w:rsid w:val="00E85723"/>
    <w:rsid w:val="00E8660A"/>
    <w:rsid w:val="00E9141B"/>
    <w:rsid w:val="00E91BA3"/>
    <w:rsid w:val="00E934BE"/>
    <w:rsid w:val="00E9475C"/>
    <w:rsid w:val="00EA109D"/>
    <w:rsid w:val="00EA2098"/>
    <w:rsid w:val="00EA4729"/>
    <w:rsid w:val="00EB2DA0"/>
    <w:rsid w:val="00EB773F"/>
    <w:rsid w:val="00EB7C0E"/>
    <w:rsid w:val="00EB7D2F"/>
    <w:rsid w:val="00EC3325"/>
    <w:rsid w:val="00EC7BE8"/>
    <w:rsid w:val="00ED24CC"/>
    <w:rsid w:val="00ED2BF9"/>
    <w:rsid w:val="00ED7127"/>
    <w:rsid w:val="00EE163A"/>
    <w:rsid w:val="00EE59CD"/>
    <w:rsid w:val="00EF0157"/>
    <w:rsid w:val="00EF0D98"/>
    <w:rsid w:val="00F01130"/>
    <w:rsid w:val="00F015AF"/>
    <w:rsid w:val="00F02292"/>
    <w:rsid w:val="00F03FF7"/>
    <w:rsid w:val="00F04294"/>
    <w:rsid w:val="00F04507"/>
    <w:rsid w:val="00F10D53"/>
    <w:rsid w:val="00F1661D"/>
    <w:rsid w:val="00F1720F"/>
    <w:rsid w:val="00F1724D"/>
    <w:rsid w:val="00F21FA9"/>
    <w:rsid w:val="00F23898"/>
    <w:rsid w:val="00F2610A"/>
    <w:rsid w:val="00F33E74"/>
    <w:rsid w:val="00F36034"/>
    <w:rsid w:val="00F37CD3"/>
    <w:rsid w:val="00F42A26"/>
    <w:rsid w:val="00F433E7"/>
    <w:rsid w:val="00F467FB"/>
    <w:rsid w:val="00F46D6B"/>
    <w:rsid w:val="00F47085"/>
    <w:rsid w:val="00F50929"/>
    <w:rsid w:val="00F52CCD"/>
    <w:rsid w:val="00F549C8"/>
    <w:rsid w:val="00F5622A"/>
    <w:rsid w:val="00F62051"/>
    <w:rsid w:val="00F6328A"/>
    <w:rsid w:val="00F6581B"/>
    <w:rsid w:val="00F65A62"/>
    <w:rsid w:val="00F7244B"/>
    <w:rsid w:val="00F74F28"/>
    <w:rsid w:val="00F75BC5"/>
    <w:rsid w:val="00F77A95"/>
    <w:rsid w:val="00F816DA"/>
    <w:rsid w:val="00F81D14"/>
    <w:rsid w:val="00F84B69"/>
    <w:rsid w:val="00F85CC0"/>
    <w:rsid w:val="00F92B32"/>
    <w:rsid w:val="00F943EF"/>
    <w:rsid w:val="00F95BF0"/>
    <w:rsid w:val="00FB03D3"/>
    <w:rsid w:val="00FB351A"/>
    <w:rsid w:val="00FB5916"/>
    <w:rsid w:val="00FC72DC"/>
    <w:rsid w:val="00FD0413"/>
    <w:rsid w:val="00FD58C5"/>
    <w:rsid w:val="00FD5D6E"/>
    <w:rsid w:val="00FE1F67"/>
    <w:rsid w:val="00FE3DB7"/>
    <w:rsid w:val="00FF3F21"/>
    <w:rsid w:val="00FF5449"/>
    <w:rsid w:val="012201AF"/>
    <w:rsid w:val="042D2649"/>
    <w:rsid w:val="044C69C8"/>
    <w:rsid w:val="061B0DEF"/>
    <w:rsid w:val="061C8FFE"/>
    <w:rsid w:val="0796A5B4"/>
    <w:rsid w:val="086803E5"/>
    <w:rsid w:val="08C35B35"/>
    <w:rsid w:val="09102FEA"/>
    <w:rsid w:val="09A4165E"/>
    <w:rsid w:val="0A6830F3"/>
    <w:rsid w:val="0A7E818A"/>
    <w:rsid w:val="0AB3CF3A"/>
    <w:rsid w:val="0AE271A9"/>
    <w:rsid w:val="0B78DEE9"/>
    <w:rsid w:val="0C2D4914"/>
    <w:rsid w:val="0CE8ADE7"/>
    <w:rsid w:val="0D14AF4A"/>
    <w:rsid w:val="0D9A0393"/>
    <w:rsid w:val="0DEB6FFC"/>
    <w:rsid w:val="0E2E9238"/>
    <w:rsid w:val="0EB07FAB"/>
    <w:rsid w:val="0EB7638B"/>
    <w:rsid w:val="0EEBB655"/>
    <w:rsid w:val="0FB09FA5"/>
    <w:rsid w:val="0FEB7F56"/>
    <w:rsid w:val="108786B6"/>
    <w:rsid w:val="10A4B779"/>
    <w:rsid w:val="10C2CE1C"/>
    <w:rsid w:val="10F4CBF4"/>
    <w:rsid w:val="11A8D082"/>
    <w:rsid w:val="12BF116D"/>
    <w:rsid w:val="138DE93C"/>
    <w:rsid w:val="15228371"/>
    <w:rsid w:val="15372DBC"/>
    <w:rsid w:val="1541CF7C"/>
    <w:rsid w:val="16173609"/>
    <w:rsid w:val="17378E71"/>
    <w:rsid w:val="1931FC87"/>
    <w:rsid w:val="199E61DA"/>
    <w:rsid w:val="1AB76369"/>
    <w:rsid w:val="1DD22F13"/>
    <w:rsid w:val="1EC8AD74"/>
    <w:rsid w:val="1ED00708"/>
    <w:rsid w:val="1ED9EC99"/>
    <w:rsid w:val="1F94426A"/>
    <w:rsid w:val="1FA13E0B"/>
    <w:rsid w:val="2079E063"/>
    <w:rsid w:val="20DE70B7"/>
    <w:rsid w:val="20F3B0B9"/>
    <w:rsid w:val="218D0AE5"/>
    <w:rsid w:val="21B54F73"/>
    <w:rsid w:val="21E3C68B"/>
    <w:rsid w:val="226CD5CD"/>
    <w:rsid w:val="22BFB670"/>
    <w:rsid w:val="23A7D090"/>
    <w:rsid w:val="23C0D203"/>
    <w:rsid w:val="240B20E1"/>
    <w:rsid w:val="253CA203"/>
    <w:rsid w:val="27672630"/>
    <w:rsid w:val="27932793"/>
    <w:rsid w:val="28BE3DEA"/>
    <w:rsid w:val="297E2645"/>
    <w:rsid w:val="29F394A1"/>
    <w:rsid w:val="2A6AC9DA"/>
    <w:rsid w:val="2AA34CE2"/>
    <w:rsid w:val="2B0617C8"/>
    <w:rsid w:val="2BE76211"/>
    <w:rsid w:val="2C3A9753"/>
    <w:rsid w:val="2C89CE8C"/>
    <w:rsid w:val="2CAA7E26"/>
    <w:rsid w:val="2CD82880"/>
    <w:rsid w:val="2D6A7989"/>
    <w:rsid w:val="2E73F8E1"/>
    <w:rsid w:val="2F60B889"/>
    <w:rsid w:val="2FA0284C"/>
    <w:rsid w:val="2FAF31D3"/>
    <w:rsid w:val="30611469"/>
    <w:rsid w:val="308983DF"/>
    <w:rsid w:val="316A9EC3"/>
    <w:rsid w:val="320AD7B9"/>
    <w:rsid w:val="3244542E"/>
    <w:rsid w:val="328F041C"/>
    <w:rsid w:val="32B80F1C"/>
    <w:rsid w:val="32EB62AC"/>
    <w:rsid w:val="34757404"/>
    <w:rsid w:val="3528B429"/>
    <w:rsid w:val="353524BB"/>
    <w:rsid w:val="35982218"/>
    <w:rsid w:val="35AD7C81"/>
    <w:rsid w:val="35B63135"/>
    <w:rsid w:val="3609DAFB"/>
    <w:rsid w:val="36EC3EC6"/>
    <w:rsid w:val="37A7F60E"/>
    <w:rsid w:val="39A02FB5"/>
    <w:rsid w:val="39D5FA08"/>
    <w:rsid w:val="39F20893"/>
    <w:rsid w:val="3A8A3BF0"/>
    <w:rsid w:val="3B62D95C"/>
    <w:rsid w:val="3BFEB87C"/>
    <w:rsid w:val="3C1CBE05"/>
    <w:rsid w:val="3C24AB8B"/>
    <w:rsid w:val="3C755CD5"/>
    <w:rsid w:val="3C7B6731"/>
    <w:rsid w:val="3CBE2540"/>
    <w:rsid w:val="3CF639D0"/>
    <w:rsid w:val="3D22F77F"/>
    <w:rsid w:val="3D9E24A9"/>
    <w:rsid w:val="3EB2F7BF"/>
    <w:rsid w:val="3F545EC7"/>
    <w:rsid w:val="3F86E6B7"/>
    <w:rsid w:val="3FA5263C"/>
    <w:rsid w:val="42C7EA27"/>
    <w:rsid w:val="431BC3BA"/>
    <w:rsid w:val="432B7F47"/>
    <w:rsid w:val="436E21A3"/>
    <w:rsid w:val="441EFB10"/>
    <w:rsid w:val="44C050D5"/>
    <w:rsid w:val="4555C1AB"/>
    <w:rsid w:val="4592FDE5"/>
    <w:rsid w:val="46B24E82"/>
    <w:rsid w:val="46F1920C"/>
    <w:rsid w:val="47675E32"/>
    <w:rsid w:val="477C2B9F"/>
    <w:rsid w:val="47AB2631"/>
    <w:rsid w:val="47F7F197"/>
    <w:rsid w:val="48BB1FA0"/>
    <w:rsid w:val="48D93006"/>
    <w:rsid w:val="4993C1F8"/>
    <w:rsid w:val="49F68900"/>
    <w:rsid w:val="4BC47749"/>
    <w:rsid w:val="4BDC6E83"/>
    <w:rsid w:val="4C30103E"/>
    <w:rsid w:val="4CCB62BA"/>
    <w:rsid w:val="4D628A0A"/>
    <w:rsid w:val="4D830352"/>
    <w:rsid w:val="4DD69FB6"/>
    <w:rsid w:val="4DDEF744"/>
    <w:rsid w:val="4E630FB2"/>
    <w:rsid w:val="4E7ABB7E"/>
    <w:rsid w:val="4EADDF14"/>
    <w:rsid w:val="4F727017"/>
    <w:rsid w:val="505CA338"/>
    <w:rsid w:val="51970512"/>
    <w:rsid w:val="52836F53"/>
    <w:rsid w:val="529D3890"/>
    <w:rsid w:val="5332797E"/>
    <w:rsid w:val="539FE472"/>
    <w:rsid w:val="53C3305B"/>
    <w:rsid w:val="53C72C4E"/>
    <w:rsid w:val="5500DE62"/>
    <w:rsid w:val="5521DC96"/>
    <w:rsid w:val="553A1151"/>
    <w:rsid w:val="555F00BC"/>
    <w:rsid w:val="56A26026"/>
    <w:rsid w:val="56BC4C31"/>
    <w:rsid w:val="56BDACF7"/>
    <w:rsid w:val="56F04949"/>
    <w:rsid w:val="57DBFBC4"/>
    <w:rsid w:val="57E3BB8C"/>
    <w:rsid w:val="594ADE7A"/>
    <w:rsid w:val="59C98B97"/>
    <w:rsid w:val="59CA213A"/>
    <w:rsid w:val="5A3CC6E2"/>
    <w:rsid w:val="5BB163C6"/>
    <w:rsid w:val="5BD3709A"/>
    <w:rsid w:val="5C02BED3"/>
    <w:rsid w:val="5C0C69F3"/>
    <w:rsid w:val="5D2B8DB5"/>
    <w:rsid w:val="5D8219F7"/>
    <w:rsid w:val="5EA7DAAA"/>
    <w:rsid w:val="5F344202"/>
    <w:rsid w:val="5F8B7BA1"/>
    <w:rsid w:val="6020245B"/>
    <w:rsid w:val="60972B8F"/>
    <w:rsid w:val="61FEFED8"/>
    <w:rsid w:val="6232FBF0"/>
    <w:rsid w:val="62DF4E3F"/>
    <w:rsid w:val="633C6E67"/>
    <w:rsid w:val="64533521"/>
    <w:rsid w:val="64EE90A7"/>
    <w:rsid w:val="6594FF4B"/>
    <w:rsid w:val="665E5FA5"/>
    <w:rsid w:val="67311927"/>
    <w:rsid w:val="67AC0CF6"/>
    <w:rsid w:val="67B45BB3"/>
    <w:rsid w:val="67BCA31C"/>
    <w:rsid w:val="6837493F"/>
    <w:rsid w:val="68F33479"/>
    <w:rsid w:val="694F9BD3"/>
    <w:rsid w:val="695F1D21"/>
    <w:rsid w:val="6B0767E6"/>
    <w:rsid w:val="6B24DA01"/>
    <w:rsid w:val="6B7CA83E"/>
    <w:rsid w:val="6C048A4A"/>
    <w:rsid w:val="6CBE2E4C"/>
    <w:rsid w:val="6CD61F1E"/>
    <w:rsid w:val="6D38C8D5"/>
    <w:rsid w:val="6D46A831"/>
    <w:rsid w:val="6D4AFFCB"/>
    <w:rsid w:val="6D603FCD"/>
    <w:rsid w:val="6DC3E90F"/>
    <w:rsid w:val="6F5964E7"/>
    <w:rsid w:val="6FF6A162"/>
    <w:rsid w:val="7000F665"/>
    <w:rsid w:val="70150CD2"/>
    <w:rsid w:val="7112D13A"/>
    <w:rsid w:val="714A5D05"/>
    <w:rsid w:val="719271C3"/>
    <w:rsid w:val="7256FAA7"/>
    <w:rsid w:val="7294BA9F"/>
    <w:rsid w:val="73511C43"/>
    <w:rsid w:val="7414D06B"/>
    <w:rsid w:val="74EB8C14"/>
    <w:rsid w:val="765B5B12"/>
    <w:rsid w:val="775E1D27"/>
    <w:rsid w:val="77C32E5B"/>
    <w:rsid w:val="77E35FFA"/>
    <w:rsid w:val="785E6380"/>
    <w:rsid w:val="786A5ABD"/>
    <w:rsid w:val="78DA9A6E"/>
    <w:rsid w:val="7A357B47"/>
    <w:rsid w:val="7A893342"/>
    <w:rsid w:val="7BE57EBC"/>
    <w:rsid w:val="7C318E4A"/>
    <w:rsid w:val="7C5CBBCC"/>
    <w:rsid w:val="7C9FEDCA"/>
    <w:rsid w:val="7CB9EA0D"/>
    <w:rsid w:val="7D2732E3"/>
    <w:rsid w:val="7E162298"/>
    <w:rsid w:val="7EF93F77"/>
    <w:rsid w:val="7FD78E8C"/>
    <w:rsid w:val="7FE4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39CC"/>
  <w15:docId w15:val="{7970E15B-3ABB-4D5A-9BE5-65A79C2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731DF"/>
    <w:pPr>
      <w:ind w:left="720"/>
      <w:contextualSpacing/>
    </w:pPr>
  </w:style>
  <w:style w:type="character" w:customStyle="1" w:styleId="cf01">
    <w:name w:val="cf01"/>
    <w:basedOn w:val="Numatytasispastraiposriftas"/>
    <w:rsid w:val="00753BC6"/>
    <w:rPr>
      <w:rFonts w:ascii="Segoe UI" w:hAnsi="Segoe UI" w:cs="Segoe UI" w:hint="default"/>
      <w:i/>
      <w:iCs/>
      <w:sz w:val="18"/>
      <w:szCs w:val="18"/>
    </w:rPr>
  </w:style>
  <w:style w:type="character" w:styleId="Hipersaitas">
    <w:name w:val="Hyperlink"/>
    <w:basedOn w:val="Numatytasispastraiposriftas"/>
    <w:unhideWhenUsed/>
    <w:rsid w:val="00F03FF7"/>
    <w:rPr>
      <w:color w:val="0000FF"/>
      <w:u w:val="single"/>
    </w:rPr>
  </w:style>
  <w:style w:type="paragraph" w:customStyle="1" w:styleId="Default">
    <w:name w:val="Default"/>
    <w:rsid w:val="001D2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0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09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09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0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0902"/>
    <w:rPr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6078F3"/>
  </w:style>
  <w:style w:type="paragraph" w:customStyle="1" w:styleId="paragraph">
    <w:name w:val="paragraph"/>
    <w:basedOn w:val="prastasis"/>
    <w:rsid w:val="0007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Numatytasispastraiposriftas"/>
    <w:rsid w:val="00073DC4"/>
  </w:style>
  <w:style w:type="character" w:customStyle="1" w:styleId="superscript">
    <w:name w:val="superscript"/>
    <w:basedOn w:val="Numatytasispastraiposriftas"/>
    <w:rsid w:val="00F65A62"/>
  </w:style>
  <w:style w:type="character" w:customStyle="1" w:styleId="contentcontrolboundarysink">
    <w:name w:val="contentcontrolboundarysink"/>
    <w:basedOn w:val="Numatytasispastraiposriftas"/>
    <w:rsid w:val="00F65A62"/>
  </w:style>
  <w:style w:type="paragraph" w:styleId="Pataisymai">
    <w:name w:val="Revision"/>
    <w:hidden/>
    <w:uiPriority w:val="99"/>
    <w:semiHidden/>
    <w:rsid w:val="000852E7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A22B1A"/>
    <w:rPr>
      <w:color w:val="808080"/>
    </w:rPr>
  </w:style>
  <w:style w:type="character" w:customStyle="1" w:styleId="Style2">
    <w:name w:val="Style2"/>
    <w:basedOn w:val="Numatytasispastraiposriftas"/>
    <w:uiPriority w:val="1"/>
    <w:rsid w:val="00A22B1A"/>
    <w:rPr>
      <w:rFonts w:ascii="Times New Roman" w:hAnsi="Times New Roman"/>
      <w:color w:val="000000" w:themeColor="text1"/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D0653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568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9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96CAF"/>
  </w:style>
  <w:style w:type="paragraph" w:styleId="Porat">
    <w:name w:val="footer"/>
    <w:basedOn w:val="prastasis"/>
    <w:link w:val="PoratDiagrama"/>
    <w:uiPriority w:val="99"/>
    <w:semiHidden/>
    <w:unhideWhenUsed/>
    <w:rsid w:val="0039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96CAF"/>
  </w:style>
  <w:style w:type="character" w:styleId="Puslapioinaosnuoroda">
    <w:name w:val="footnote reference"/>
    <w:basedOn w:val="Numatytasispastraiposriftas"/>
    <w:uiPriority w:val="99"/>
    <w:semiHidden/>
    <w:unhideWhenUsed/>
    <w:rsid w:val="00396CAF"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6CAF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6CA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Numatytasispastraiposriftas"/>
    <w:uiPriority w:val="99"/>
    <w:semiHidden/>
    <w:rsid w:val="00396CAF"/>
    <w:rPr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D1AA6"/>
  </w:style>
  <w:style w:type="paragraph" w:styleId="Betarp">
    <w:name w:val="No Spacing"/>
    <w:link w:val="BetarpDiagrama"/>
    <w:uiPriority w:val="1"/>
    <w:qFormat/>
    <w:rsid w:val="00105A88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05A88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ta.seselgiene@silut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A75647-03F1-4B78-86E9-F5BBB262BF8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3" ma:contentTypeDescription="Create a new document." ma:contentTypeScope="" ma:versionID="7a42a948e6a823503da85ec6b4a9481b">
  <xsd:schema xmlns:xsd="http://www.w3.org/2001/XMLSchema" xmlns:xs="http://www.w3.org/2001/XMLSchema" xmlns:p="http://schemas.microsoft.com/office/2006/metadata/properties" xmlns:ns2="1c713a7c-8a7c-4327-be4a-3e364f1677f1" targetNamespace="http://schemas.microsoft.com/office/2006/metadata/properties" ma:root="true" ma:fieldsID="6f0a417a96117ddc58d90b4b09b51e92" ns2:_="">
    <xsd:import namespace="1c713a7c-8a7c-4327-be4a-3e364f167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9BD12-E741-42FD-B35A-3AC6BE137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7406B-0DB7-4A7A-9804-FB818C881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DB469-C505-43C9-A3F4-6487F33BD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617B2-81D5-4D7E-8779-A0DDD9D6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7819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Zapolskienė</dc:creator>
  <cp:keywords/>
  <dc:description/>
  <cp:lastModifiedBy>VPS_RS</cp:lastModifiedBy>
  <cp:revision>4</cp:revision>
  <dcterms:created xsi:type="dcterms:W3CDTF">2025-04-30T06:26:00Z</dcterms:created>
  <dcterms:modified xsi:type="dcterms:W3CDTF">2025-04-30T07:27:00Z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</Properties>
</file>