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3190E" w:rsidRDefault="0073190E" w:rsidP="00E3670F">
      <w:pPr>
        <w:tabs>
          <w:tab w:val="left" w:pos="5400"/>
        </w:tabs>
        <w:jc w:val="right"/>
        <w:textAlignment w:val="center"/>
      </w:pPr>
      <w:r>
        <w:t>2</w:t>
      </w:r>
      <w:bookmarkStart w:id="0" w:name="_GoBack"/>
      <w:bookmarkEnd w:id="0"/>
      <w:r w:rsidR="00E3670F" w:rsidRPr="0073190E">
        <w:t xml:space="preserve"> priedas</w:t>
      </w:r>
    </w:p>
    <w:p w:rsidR="00E3670F" w:rsidRPr="00A145BE" w:rsidRDefault="00E3670F" w:rsidP="00E3670F">
      <w:pPr>
        <w:jc w:val="center"/>
        <w:rPr>
          <w:b/>
          <w:szCs w:val="24"/>
        </w:rPr>
      </w:pPr>
      <w:r>
        <w:rPr>
          <w:b/>
          <w:szCs w:val="24"/>
        </w:rPr>
        <w:t>PLUNGĖS RAJONO</w:t>
      </w:r>
      <w:r w:rsidRPr="00A145BE">
        <w:rPr>
          <w:b/>
          <w:szCs w:val="24"/>
        </w:rPr>
        <w:t xml:space="preserve"> SAVIVALDYBĖS ADMINISTRACIJA</w:t>
      </w:r>
    </w:p>
    <w:p w:rsidR="00E3670F" w:rsidRPr="00A145BE" w:rsidRDefault="00E3670F" w:rsidP="00E3670F">
      <w:pPr>
        <w:jc w:val="center"/>
        <w:rPr>
          <w:b/>
          <w:szCs w:val="24"/>
        </w:rPr>
      </w:pPr>
    </w:p>
    <w:p w:rsidR="00E3670F" w:rsidRDefault="00E3670F" w:rsidP="00E3670F">
      <w:pPr>
        <w:jc w:val="center"/>
        <w:rPr>
          <w:b/>
          <w:szCs w:val="24"/>
        </w:rPr>
      </w:pPr>
      <w:r w:rsidRPr="00763658">
        <w:rPr>
          <w:b/>
          <w:szCs w:val="24"/>
        </w:rPr>
        <w:t xml:space="preserve">SOCIALINIŲ KORTELIŲ GAMINIMO IR APTARNAVIMO PASLAUGŲ </w:t>
      </w:r>
      <w:r w:rsidRPr="00A145BE">
        <w:rPr>
          <w:b/>
          <w:szCs w:val="24"/>
        </w:rPr>
        <w:t>TECHNINĖ SPECIFIKACIJ</w:t>
      </w:r>
      <w:r>
        <w:rPr>
          <w:b/>
          <w:szCs w:val="24"/>
        </w:rPr>
        <w:t>A</w:t>
      </w:r>
    </w:p>
    <w:p w:rsidR="00E3670F" w:rsidRDefault="00E3670F" w:rsidP="00E3670F">
      <w:pPr>
        <w:jc w:val="center"/>
        <w:rPr>
          <w:b/>
          <w:szCs w:val="24"/>
        </w:rPr>
      </w:pPr>
    </w:p>
    <w:p w:rsidR="00E3670F" w:rsidRPr="00A145BE" w:rsidRDefault="00E3670F" w:rsidP="00E3670F">
      <w:pPr>
        <w:jc w:val="center"/>
        <w:rPr>
          <w:b/>
          <w:szCs w:val="24"/>
        </w:rPr>
      </w:pPr>
    </w:p>
    <w:p w:rsidR="00E3670F" w:rsidRPr="00984255" w:rsidRDefault="00E3670F" w:rsidP="00E3670F">
      <w:pPr>
        <w:numPr>
          <w:ilvl w:val="0"/>
          <w:numId w:val="11"/>
        </w:numPr>
        <w:tabs>
          <w:tab w:val="left" w:pos="284"/>
          <w:tab w:val="left" w:pos="720"/>
          <w:tab w:val="left" w:pos="1134"/>
          <w:tab w:val="left" w:pos="1560"/>
        </w:tabs>
        <w:spacing w:after="160" w:line="259" w:lineRule="auto"/>
        <w:contextualSpacing/>
        <w:jc w:val="both"/>
        <w:rPr>
          <w:color w:val="000000"/>
        </w:rPr>
      </w:pPr>
      <w:r w:rsidRPr="00984255">
        <w:rPr>
          <w:rFonts w:eastAsia="Calibri"/>
          <w:b/>
          <w:szCs w:val="22"/>
        </w:rPr>
        <w:t>Pirkimo objektas</w:t>
      </w:r>
      <w:r w:rsidRPr="00984255">
        <w:rPr>
          <w:rFonts w:eastAsia="Calibri"/>
          <w:szCs w:val="22"/>
        </w:rPr>
        <w:t xml:space="preserve"> – S</w:t>
      </w:r>
      <w:r w:rsidRPr="00984255">
        <w:rPr>
          <w:rFonts w:eastAsia="Calibri"/>
          <w:snapToGrid w:val="0"/>
          <w:szCs w:val="22"/>
        </w:rPr>
        <w:t xml:space="preserve">ocialinių kortelių gaminimo ir aptarnavimo paslauga. </w:t>
      </w:r>
      <w:r w:rsidRPr="00984255">
        <w:rPr>
          <w:color w:val="000000"/>
        </w:rPr>
        <w:t xml:space="preserve"> </w:t>
      </w:r>
    </w:p>
    <w:p w:rsidR="00E3670F" w:rsidRPr="00984255" w:rsidRDefault="00E3670F" w:rsidP="00E3670F">
      <w:pPr>
        <w:numPr>
          <w:ilvl w:val="0"/>
          <w:numId w:val="11"/>
        </w:numPr>
        <w:tabs>
          <w:tab w:val="left" w:pos="1134"/>
        </w:tabs>
        <w:spacing w:after="160" w:line="256" w:lineRule="auto"/>
        <w:ind w:left="0" w:firstLine="720"/>
        <w:contextualSpacing/>
        <w:jc w:val="both"/>
        <w:rPr>
          <w:color w:val="000000"/>
          <w:szCs w:val="24"/>
        </w:rPr>
      </w:pPr>
      <w:r w:rsidRPr="00984255">
        <w:rPr>
          <w:rFonts w:eastAsia="Calibri"/>
          <w:b/>
          <w:bCs/>
          <w:szCs w:val="24"/>
        </w:rPr>
        <w:t xml:space="preserve">Perkamų paslaugų apimtys – </w:t>
      </w:r>
      <w:r w:rsidRPr="00984255">
        <w:rPr>
          <w:szCs w:val="24"/>
        </w:rPr>
        <w:t xml:space="preserve">per 36 mėnesius į socialines korteles bus pervedama iki 216 000,00 Eur su PVM. Nėra įsipareigojama pervesti visos planuojamos išmokų sumos. </w:t>
      </w:r>
      <w:r w:rsidRPr="00984255">
        <w:rPr>
          <w:szCs w:val="24"/>
          <w:lang w:eastAsia="lt-LT"/>
        </w:rPr>
        <w:t xml:space="preserve">Preliminarus asmenų skaičius, kuriems per 36 mėnesius bus pervedamos išmokos į socialines korteles – 150. </w:t>
      </w:r>
      <w:r w:rsidRPr="00984255">
        <w:rPr>
          <w:szCs w:val="24"/>
        </w:rPr>
        <w:t xml:space="preserve"> </w:t>
      </w:r>
      <w:r w:rsidRPr="00984255">
        <w:rPr>
          <w:bCs/>
          <w:color w:val="000000"/>
          <w:szCs w:val="24"/>
        </w:rPr>
        <w:t>Socialinių kortelių skaičius gali didėti arba mažėti iki 30 procentų.</w:t>
      </w:r>
      <w:r w:rsidR="00AC004D" w:rsidRPr="00984255">
        <w:rPr>
          <w:bCs/>
          <w:color w:val="000000"/>
          <w:szCs w:val="24"/>
        </w:rPr>
        <w:t xml:space="preserve"> </w:t>
      </w:r>
    </w:p>
    <w:p w:rsidR="00E3670F" w:rsidRPr="00984255" w:rsidRDefault="00E3670F" w:rsidP="0058731D">
      <w:pPr>
        <w:numPr>
          <w:ilvl w:val="0"/>
          <w:numId w:val="11"/>
        </w:numPr>
        <w:tabs>
          <w:tab w:val="left" w:pos="284"/>
          <w:tab w:val="left" w:pos="720"/>
          <w:tab w:val="left" w:pos="1134"/>
          <w:tab w:val="left" w:pos="1560"/>
        </w:tabs>
        <w:spacing w:after="160" w:line="259" w:lineRule="auto"/>
        <w:ind w:left="0" w:firstLine="720"/>
        <w:contextualSpacing/>
        <w:jc w:val="both"/>
        <w:rPr>
          <w:rFonts w:eastAsia="Calibri"/>
          <w:snapToGrid w:val="0"/>
          <w:szCs w:val="24"/>
        </w:rPr>
      </w:pPr>
      <w:r w:rsidRPr="00984255">
        <w:rPr>
          <w:rFonts w:eastAsia="Calibri"/>
          <w:b/>
          <w:szCs w:val="24"/>
        </w:rPr>
        <w:t>Socialinė kortelė</w:t>
      </w:r>
      <w:r w:rsidRPr="00984255">
        <w:rPr>
          <w:rFonts w:eastAsia="Calibri"/>
          <w:szCs w:val="24"/>
        </w:rPr>
        <w:t xml:space="preserve"> - magnetinė atsiskaitomoji kortelė, skirta Plungės rajono savivaldybės administracijos skiriamoms </w:t>
      </w:r>
      <w:r w:rsidRPr="00984255">
        <w:rPr>
          <w:bCs/>
          <w:szCs w:val="24"/>
        </w:rPr>
        <w:t>socialinėms pašalpoms ir išmokoms vaikams, asmenims ir šeimoms, patyrusiems socialinę riziką, pervedimui, kuria socialinės kortelės turėtojams suteikiama teisė įsigyti maisto produktų ir kitų būtinų prekių, išskyrus alkoholinius gėrimus, tabako gaminius ir loterijos bilietus.</w:t>
      </w:r>
      <w:r w:rsidRPr="00984255">
        <w:rPr>
          <w:rFonts w:eastAsia="Calibri"/>
          <w:szCs w:val="24"/>
        </w:rPr>
        <w:t xml:space="preserve"> Socialinėje kortelėje turi būti nurodytas jos turėtojo vardas, pavardė arba kitokie pardavėjo sąraše nurodyti kortelės turėtoją identifikuojantys duomenys, kortelės turėtojo parašas parašo juostelėje, kortelės galiojimo terminas, numeris. Socialinė kortelė yra išimtinai ti</w:t>
      </w:r>
      <w:r w:rsidR="00B302BE" w:rsidRPr="00984255">
        <w:rPr>
          <w:rFonts w:eastAsia="Calibri"/>
          <w:szCs w:val="24"/>
        </w:rPr>
        <w:t>e</w:t>
      </w:r>
      <w:r w:rsidRPr="00984255">
        <w:rPr>
          <w:rFonts w:eastAsia="Calibri"/>
          <w:szCs w:val="24"/>
        </w:rPr>
        <w:t xml:space="preserve">kėjo nuosavybė. Socialinė kortelė nėra bankinio tipo kortelė, jai nėra taikomi banko išduodamas korteles reglamentuojantys teisės aktai. </w:t>
      </w:r>
    </w:p>
    <w:p w:rsidR="00E3670F" w:rsidRPr="00984255" w:rsidRDefault="00E3670F" w:rsidP="00662F08">
      <w:pPr>
        <w:numPr>
          <w:ilvl w:val="0"/>
          <w:numId w:val="11"/>
        </w:numPr>
        <w:tabs>
          <w:tab w:val="left" w:pos="284"/>
          <w:tab w:val="left" w:pos="720"/>
          <w:tab w:val="left" w:pos="1134"/>
          <w:tab w:val="left" w:pos="1560"/>
        </w:tabs>
        <w:spacing w:after="160" w:line="259" w:lineRule="auto"/>
        <w:ind w:left="0" w:firstLine="720"/>
        <w:contextualSpacing/>
        <w:jc w:val="both"/>
        <w:rPr>
          <w:rFonts w:eastAsia="Calibri"/>
          <w:snapToGrid w:val="0"/>
          <w:szCs w:val="24"/>
        </w:rPr>
      </w:pPr>
      <w:r w:rsidRPr="00984255">
        <w:rPr>
          <w:rFonts w:eastAsia="Calibri"/>
          <w:b/>
          <w:szCs w:val="24"/>
        </w:rPr>
        <w:t>Socialinės kortelės turėtojas</w:t>
      </w:r>
      <w:r w:rsidRPr="00984255">
        <w:rPr>
          <w:rFonts w:eastAsia="Calibri"/>
          <w:szCs w:val="24"/>
        </w:rPr>
        <w:t xml:space="preserve"> – sąraše nurodytas fizinis asmuo, kuriam galiojantys teisės aktai suteikia teisę Socialinę kortelę pateikti parduotuvės kasai, prieš fiksuojant prekių pardavimą kasoje.</w:t>
      </w:r>
    </w:p>
    <w:p w:rsidR="00E3670F" w:rsidRPr="00984255" w:rsidRDefault="00E3670F" w:rsidP="00662F08">
      <w:pPr>
        <w:numPr>
          <w:ilvl w:val="0"/>
          <w:numId w:val="11"/>
        </w:numPr>
        <w:tabs>
          <w:tab w:val="left" w:pos="1134"/>
          <w:tab w:val="left" w:pos="1701"/>
        </w:tabs>
        <w:ind w:left="0" w:firstLine="720"/>
        <w:jc w:val="both"/>
        <w:rPr>
          <w:szCs w:val="24"/>
        </w:rPr>
      </w:pPr>
      <w:r w:rsidRPr="00984255">
        <w:rPr>
          <w:rFonts w:eastAsia="Calibri"/>
          <w:b/>
          <w:szCs w:val="24"/>
        </w:rPr>
        <w:t>Prekės</w:t>
      </w:r>
      <w:r w:rsidRPr="00984255">
        <w:rPr>
          <w:rFonts w:eastAsia="Calibri"/>
          <w:szCs w:val="24"/>
        </w:rPr>
        <w:t xml:space="preserve"> -</w:t>
      </w:r>
      <w:r w:rsidRPr="00984255">
        <w:rPr>
          <w:rFonts w:eastAsia="Calibri"/>
          <w:color w:val="FF0000"/>
          <w:szCs w:val="24"/>
        </w:rPr>
        <w:t xml:space="preserve"> </w:t>
      </w:r>
      <w:r w:rsidRPr="00984255">
        <w:rPr>
          <w:rFonts w:eastAsia="Calibri"/>
          <w:color w:val="000000"/>
          <w:szCs w:val="24"/>
        </w:rPr>
        <w:t>tai Ti</w:t>
      </w:r>
      <w:r w:rsidR="00B302BE" w:rsidRPr="00984255">
        <w:rPr>
          <w:rFonts w:eastAsia="Calibri"/>
          <w:color w:val="000000"/>
          <w:szCs w:val="24"/>
        </w:rPr>
        <w:t>e</w:t>
      </w:r>
      <w:r w:rsidRPr="00984255">
        <w:rPr>
          <w:rFonts w:eastAsia="Calibri"/>
          <w:color w:val="000000"/>
          <w:szCs w:val="24"/>
        </w:rPr>
        <w:t xml:space="preserve">kėjo </w:t>
      </w:r>
      <w:r w:rsidRPr="00984255">
        <w:rPr>
          <w:szCs w:val="24"/>
        </w:rPr>
        <w:t>prekybos centre parduodamos prekės. Į prekių sąrašą neįeina,</w:t>
      </w:r>
      <w:r w:rsidR="00662F08" w:rsidRPr="00984255">
        <w:rPr>
          <w:szCs w:val="24"/>
        </w:rPr>
        <w:t xml:space="preserve"> </w:t>
      </w:r>
      <w:r w:rsidRPr="00984255">
        <w:rPr>
          <w:szCs w:val="24"/>
        </w:rPr>
        <w:t>tabako, alkoholio gaminių (įskaitant alų) bei loterijos bilietai, t. y. socialinės kortelės turėtojas negali įsigyti tabako, alkoholio gaminių (įskaitant alų) bei loterijos bilietų.</w:t>
      </w:r>
    </w:p>
    <w:p w:rsidR="00E3670F" w:rsidRPr="00984255" w:rsidRDefault="00E3670F" w:rsidP="00662F08">
      <w:pPr>
        <w:numPr>
          <w:ilvl w:val="0"/>
          <w:numId w:val="11"/>
        </w:numPr>
        <w:tabs>
          <w:tab w:val="left" w:pos="284"/>
          <w:tab w:val="left" w:pos="720"/>
          <w:tab w:val="left" w:pos="1134"/>
          <w:tab w:val="left" w:pos="1560"/>
        </w:tabs>
        <w:spacing w:after="160" w:line="259" w:lineRule="auto"/>
        <w:ind w:left="0" w:firstLine="720"/>
        <w:contextualSpacing/>
        <w:jc w:val="both"/>
        <w:rPr>
          <w:rFonts w:eastAsia="Calibri"/>
          <w:snapToGrid w:val="0"/>
          <w:szCs w:val="24"/>
        </w:rPr>
      </w:pPr>
      <w:r w:rsidRPr="00984255">
        <w:rPr>
          <w:rFonts w:eastAsia="Calibri"/>
          <w:b/>
          <w:color w:val="000000"/>
          <w:szCs w:val="24"/>
        </w:rPr>
        <w:t>Reikalavimai ti</w:t>
      </w:r>
      <w:r w:rsidR="00B302BE" w:rsidRPr="00984255">
        <w:rPr>
          <w:rFonts w:eastAsia="Calibri"/>
          <w:b/>
          <w:color w:val="000000"/>
          <w:szCs w:val="24"/>
        </w:rPr>
        <w:t>e</w:t>
      </w:r>
      <w:r w:rsidRPr="00984255">
        <w:rPr>
          <w:rFonts w:eastAsia="Calibri"/>
          <w:b/>
          <w:color w:val="000000"/>
          <w:szCs w:val="24"/>
        </w:rPr>
        <w:t>kėjui:</w:t>
      </w:r>
    </w:p>
    <w:p w:rsidR="00E3670F" w:rsidRPr="00984255" w:rsidRDefault="00E3670F" w:rsidP="00662F08">
      <w:pPr>
        <w:numPr>
          <w:ilvl w:val="1"/>
          <w:numId w:val="11"/>
        </w:numPr>
        <w:tabs>
          <w:tab w:val="left" w:pos="1134"/>
        </w:tabs>
        <w:spacing w:after="160" w:line="256" w:lineRule="auto"/>
        <w:ind w:left="0" w:firstLine="720"/>
        <w:contextualSpacing/>
        <w:jc w:val="both"/>
        <w:rPr>
          <w:szCs w:val="24"/>
          <w:lang w:eastAsia="lt-LT"/>
        </w:rPr>
      </w:pPr>
      <w:r w:rsidRPr="00984255">
        <w:rPr>
          <w:szCs w:val="24"/>
          <w:lang w:eastAsia="lt-LT"/>
        </w:rPr>
        <w:t>organizuoja socialinių kortelių pagaminimą ir aptarnavimą, užtikrina kokybiškų maisto, pramoninių bei kitų prekių įsigijimą panaudojant socialines korteles;</w:t>
      </w:r>
    </w:p>
    <w:p w:rsidR="00E3670F" w:rsidRPr="00984255" w:rsidRDefault="00E3670F" w:rsidP="00E3670F">
      <w:pPr>
        <w:numPr>
          <w:ilvl w:val="1"/>
          <w:numId w:val="11"/>
        </w:numPr>
        <w:tabs>
          <w:tab w:val="left" w:pos="1134"/>
        </w:tabs>
        <w:spacing w:after="160" w:line="256" w:lineRule="auto"/>
        <w:ind w:left="0" w:firstLine="720"/>
        <w:contextualSpacing/>
        <w:jc w:val="both"/>
        <w:rPr>
          <w:szCs w:val="24"/>
          <w:lang w:eastAsia="lt-LT"/>
        </w:rPr>
      </w:pPr>
      <w:r w:rsidRPr="00984255">
        <w:rPr>
          <w:szCs w:val="24"/>
          <w:lang w:eastAsia="lt-LT"/>
        </w:rPr>
        <w:t>ti</w:t>
      </w:r>
      <w:r w:rsidR="00B302BE" w:rsidRPr="00984255">
        <w:rPr>
          <w:szCs w:val="24"/>
          <w:lang w:eastAsia="lt-LT"/>
        </w:rPr>
        <w:t>e</w:t>
      </w:r>
      <w:r w:rsidRPr="00984255">
        <w:rPr>
          <w:szCs w:val="24"/>
          <w:lang w:eastAsia="lt-LT"/>
        </w:rPr>
        <w:t>kėjas turi t</w:t>
      </w:r>
      <w:r w:rsidRPr="00984255">
        <w:rPr>
          <w:szCs w:val="24"/>
        </w:rPr>
        <w:t xml:space="preserve">urėti  ne mažiau kaip 2 parduotuvių tinklą </w:t>
      </w:r>
      <w:r w:rsidRPr="00984255">
        <w:rPr>
          <w:szCs w:val="24"/>
          <w:lang w:eastAsia="lt-LT"/>
        </w:rPr>
        <w:t>Plungės rajone;</w:t>
      </w:r>
    </w:p>
    <w:p w:rsidR="00E3670F" w:rsidRPr="00C4425E" w:rsidRDefault="00E3670F" w:rsidP="00E3670F">
      <w:pPr>
        <w:numPr>
          <w:ilvl w:val="1"/>
          <w:numId w:val="11"/>
        </w:numPr>
        <w:tabs>
          <w:tab w:val="left" w:pos="1134"/>
        </w:tabs>
        <w:spacing w:after="160" w:line="256" w:lineRule="auto"/>
        <w:ind w:left="0" w:firstLine="720"/>
        <w:contextualSpacing/>
        <w:jc w:val="both"/>
        <w:rPr>
          <w:szCs w:val="24"/>
          <w:lang w:eastAsia="lt-LT"/>
        </w:rPr>
      </w:pPr>
      <w:r w:rsidRPr="00984255">
        <w:rPr>
          <w:szCs w:val="24"/>
          <w:lang w:eastAsia="lt-LT"/>
        </w:rPr>
        <w:t>ti</w:t>
      </w:r>
      <w:r w:rsidR="00B302BE" w:rsidRPr="00984255">
        <w:rPr>
          <w:szCs w:val="24"/>
          <w:lang w:eastAsia="lt-LT"/>
        </w:rPr>
        <w:t>e</w:t>
      </w:r>
      <w:r w:rsidRPr="00984255">
        <w:rPr>
          <w:szCs w:val="24"/>
          <w:lang w:eastAsia="lt-LT"/>
        </w:rPr>
        <w:t>kėjas</w:t>
      </w:r>
      <w:r w:rsidRPr="00984255">
        <w:rPr>
          <w:szCs w:val="24"/>
        </w:rPr>
        <w:t xml:space="preserve">, gavęs iš </w:t>
      </w:r>
      <w:r w:rsidR="00786B07" w:rsidRPr="00984255">
        <w:rPr>
          <w:rFonts w:eastAsia="Calibri"/>
          <w:color w:val="000000"/>
          <w:szCs w:val="24"/>
          <w:lang w:eastAsia="lt-LT"/>
        </w:rPr>
        <w:t>pirkėjo</w:t>
      </w:r>
      <w:r w:rsidRPr="00984255">
        <w:rPr>
          <w:szCs w:val="24"/>
        </w:rPr>
        <w:t xml:space="preserve"> socialinių kortelių gamybos užsakymą, per 7 (septynias) kalendorines dienas neatlygintinai pagamina ir perduoda </w:t>
      </w:r>
      <w:r w:rsidR="00786B07" w:rsidRPr="00984255">
        <w:rPr>
          <w:rFonts w:eastAsia="Calibri"/>
          <w:color w:val="000000"/>
          <w:szCs w:val="24"/>
          <w:lang w:eastAsia="lt-LT"/>
        </w:rPr>
        <w:t>pirkėjui</w:t>
      </w:r>
      <w:r w:rsidRPr="00984255">
        <w:rPr>
          <w:szCs w:val="24"/>
        </w:rPr>
        <w:t xml:space="preserve"> socialines korteles, pristatant jas nurodytu adresu</w:t>
      </w:r>
      <w:r w:rsidR="00B302BE" w:rsidRPr="00984255">
        <w:rPr>
          <w:szCs w:val="24"/>
        </w:rPr>
        <w:t>:</w:t>
      </w:r>
      <w:r w:rsidRPr="00984255">
        <w:rPr>
          <w:szCs w:val="24"/>
        </w:rPr>
        <w:t xml:space="preserve"> </w:t>
      </w:r>
      <w:r w:rsidR="009F12D0">
        <w:rPr>
          <w:rFonts w:eastAsia="Lucida Sans Unicode"/>
          <w:bCs/>
          <w:lang w:eastAsia="lt-LT"/>
        </w:rPr>
        <w:t xml:space="preserve">Vytauto g. 12, </w:t>
      </w:r>
      <w:r w:rsidR="009F12D0" w:rsidRPr="00C4425E">
        <w:rPr>
          <w:rFonts w:eastAsia="Lucida Sans Unicode"/>
          <w:bCs/>
          <w:lang w:eastAsia="lt-LT"/>
        </w:rPr>
        <w:t>LT-9012</w:t>
      </w:r>
      <w:r w:rsidR="00B302BE" w:rsidRPr="00C4425E">
        <w:rPr>
          <w:rFonts w:eastAsia="Lucida Sans Unicode"/>
          <w:bCs/>
          <w:lang w:eastAsia="lt-LT"/>
        </w:rPr>
        <w:t>3, Plungė.</w:t>
      </w:r>
    </w:p>
    <w:p w:rsidR="00B302BE" w:rsidRPr="00984255" w:rsidRDefault="00E3670F" w:rsidP="00B74492">
      <w:pPr>
        <w:numPr>
          <w:ilvl w:val="1"/>
          <w:numId w:val="11"/>
        </w:numPr>
        <w:tabs>
          <w:tab w:val="left" w:pos="1134"/>
        </w:tabs>
        <w:spacing w:after="160" w:line="256" w:lineRule="auto"/>
        <w:ind w:left="0" w:firstLine="720"/>
        <w:contextualSpacing/>
        <w:jc w:val="both"/>
        <w:rPr>
          <w:szCs w:val="24"/>
        </w:rPr>
      </w:pPr>
      <w:r w:rsidRPr="00C4425E">
        <w:rPr>
          <w:szCs w:val="24"/>
          <w:lang w:eastAsia="lt-LT"/>
        </w:rPr>
        <w:t>ti</w:t>
      </w:r>
      <w:r w:rsidR="00B302BE" w:rsidRPr="00C4425E">
        <w:rPr>
          <w:szCs w:val="24"/>
          <w:lang w:eastAsia="lt-LT"/>
        </w:rPr>
        <w:t>e</w:t>
      </w:r>
      <w:r w:rsidRPr="00C4425E">
        <w:rPr>
          <w:szCs w:val="24"/>
          <w:lang w:eastAsia="lt-LT"/>
        </w:rPr>
        <w:t>kėjas privalo</w:t>
      </w:r>
      <w:r w:rsidRPr="00C4425E">
        <w:rPr>
          <w:szCs w:val="24"/>
        </w:rPr>
        <w:t xml:space="preserve">, gavęs iš </w:t>
      </w:r>
      <w:r w:rsidR="00786B07" w:rsidRPr="00C4425E">
        <w:rPr>
          <w:rFonts w:eastAsia="Calibri"/>
          <w:szCs w:val="24"/>
          <w:lang w:eastAsia="lt-LT"/>
        </w:rPr>
        <w:t>pirkėjo</w:t>
      </w:r>
      <w:r w:rsidRPr="00C4425E">
        <w:rPr>
          <w:szCs w:val="24"/>
        </w:rPr>
        <w:t xml:space="preserve"> užsakymą </w:t>
      </w:r>
      <w:r w:rsidRPr="00984255">
        <w:rPr>
          <w:szCs w:val="24"/>
        </w:rPr>
        <w:t xml:space="preserve">papildyti socialinių kortelių sąskaitas užsakyme nurodytomis sumomis, per 3 (tris) darbo dienas nuo </w:t>
      </w:r>
      <w:r w:rsidR="00786B07" w:rsidRPr="00984255">
        <w:rPr>
          <w:rFonts w:eastAsia="Calibri"/>
          <w:color w:val="000000"/>
          <w:szCs w:val="24"/>
          <w:lang w:eastAsia="lt-LT"/>
        </w:rPr>
        <w:t>pirkėjo</w:t>
      </w:r>
      <w:r w:rsidRPr="00984255">
        <w:rPr>
          <w:szCs w:val="24"/>
        </w:rPr>
        <w:t xml:space="preserve"> pervestų pinigų pagal ti</w:t>
      </w:r>
      <w:r w:rsidR="00B302BE" w:rsidRPr="00984255">
        <w:rPr>
          <w:szCs w:val="24"/>
        </w:rPr>
        <w:t>e</w:t>
      </w:r>
      <w:r w:rsidRPr="00984255">
        <w:rPr>
          <w:szCs w:val="24"/>
        </w:rPr>
        <w:t>kėjo pateiktą</w:t>
      </w:r>
      <w:r w:rsidR="003A250A" w:rsidRPr="00984255">
        <w:rPr>
          <w:szCs w:val="24"/>
        </w:rPr>
        <w:t xml:space="preserve"> </w:t>
      </w:r>
      <w:r w:rsidRPr="00984255">
        <w:rPr>
          <w:szCs w:val="24"/>
        </w:rPr>
        <w:t xml:space="preserve">apmokėjimo sąskaitą </w:t>
      </w:r>
      <w:r w:rsidR="00B302BE" w:rsidRPr="00984255">
        <w:rPr>
          <w:szCs w:val="24"/>
        </w:rPr>
        <w:t xml:space="preserve">faktūrą </w:t>
      </w:r>
      <w:r w:rsidRPr="00984255">
        <w:rPr>
          <w:szCs w:val="24"/>
        </w:rPr>
        <w:t>gavimo</w:t>
      </w:r>
      <w:r w:rsidR="003A250A" w:rsidRPr="00984255">
        <w:rPr>
          <w:szCs w:val="24"/>
        </w:rPr>
        <w:t>;</w:t>
      </w:r>
      <w:r w:rsidR="00912620" w:rsidRPr="00984255">
        <w:rPr>
          <w:szCs w:val="24"/>
        </w:rPr>
        <w:t xml:space="preserve"> </w:t>
      </w:r>
    </w:p>
    <w:p w:rsidR="006F2C96" w:rsidRDefault="00E3670F" w:rsidP="006F2C96">
      <w:pPr>
        <w:tabs>
          <w:tab w:val="left" w:pos="1134"/>
        </w:tabs>
        <w:spacing w:after="160" w:line="256" w:lineRule="auto"/>
        <w:ind w:left="720"/>
        <w:contextualSpacing/>
        <w:jc w:val="both"/>
        <w:rPr>
          <w:szCs w:val="24"/>
        </w:rPr>
      </w:pPr>
      <w:r w:rsidRPr="00984255">
        <w:rPr>
          <w:szCs w:val="24"/>
        </w:rPr>
        <w:t xml:space="preserve">6.4.1. sąskaitas papildyti, kai socialinės kortelės turėtojo ir užsakyme pateikti asmens duomenys </w:t>
      </w:r>
    </w:p>
    <w:p w:rsidR="006F2C96" w:rsidRDefault="00E3670F" w:rsidP="006F2C96">
      <w:pPr>
        <w:tabs>
          <w:tab w:val="left" w:pos="1134"/>
        </w:tabs>
        <w:spacing w:after="160" w:line="256" w:lineRule="auto"/>
        <w:contextualSpacing/>
        <w:jc w:val="both"/>
        <w:rPr>
          <w:szCs w:val="24"/>
        </w:rPr>
      </w:pPr>
      <w:r w:rsidRPr="00984255">
        <w:rPr>
          <w:szCs w:val="24"/>
        </w:rPr>
        <w:t>visiškai sutampa;</w:t>
      </w:r>
    </w:p>
    <w:p w:rsidR="006F2C96" w:rsidRDefault="00E3670F" w:rsidP="006F2C96">
      <w:pPr>
        <w:tabs>
          <w:tab w:val="left" w:pos="1134"/>
        </w:tabs>
        <w:spacing w:after="160" w:line="256" w:lineRule="auto"/>
        <w:ind w:left="720"/>
        <w:contextualSpacing/>
        <w:jc w:val="both"/>
        <w:rPr>
          <w:szCs w:val="24"/>
        </w:rPr>
      </w:pPr>
      <w:r w:rsidRPr="00984255">
        <w:rPr>
          <w:szCs w:val="24"/>
        </w:rPr>
        <w:t xml:space="preserve">6.4.2. neįskaitytas sumas pervesti į </w:t>
      </w:r>
      <w:r w:rsidR="00786B07" w:rsidRPr="00984255">
        <w:rPr>
          <w:szCs w:val="24"/>
        </w:rPr>
        <w:t>pirkėjo</w:t>
      </w:r>
      <w:r w:rsidRPr="00984255">
        <w:rPr>
          <w:szCs w:val="24"/>
        </w:rPr>
        <w:t xml:space="preserve"> nurodytą sąskaitą ir pateikti </w:t>
      </w:r>
      <w:r w:rsidR="00786B07" w:rsidRPr="00984255">
        <w:rPr>
          <w:rFonts w:eastAsia="Calibri"/>
          <w:color w:val="000000"/>
          <w:szCs w:val="24"/>
          <w:lang w:eastAsia="lt-LT"/>
        </w:rPr>
        <w:t>pirkėjui</w:t>
      </w:r>
      <w:r w:rsidR="006F2C96">
        <w:rPr>
          <w:szCs w:val="24"/>
        </w:rPr>
        <w:t xml:space="preserve"> asmenų, kuriems </w:t>
      </w:r>
    </w:p>
    <w:p w:rsidR="00E3670F" w:rsidRPr="00984255" w:rsidRDefault="00E3670F" w:rsidP="006F2C96">
      <w:pPr>
        <w:tabs>
          <w:tab w:val="left" w:pos="1134"/>
        </w:tabs>
        <w:spacing w:after="160" w:line="256" w:lineRule="auto"/>
        <w:contextualSpacing/>
        <w:jc w:val="both"/>
        <w:rPr>
          <w:szCs w:val="24"/>
        </w:rPr>
      </w:pPr>
      <w:r w:rsidRPr="00984255">
        <w:rPr>
          <w:szCs w:val="24"/>
        </w:rPr>
        <w:t>yra neįskaitytos sumos, sąrašą;</w:t>
      </w:r>
    </w:p>
    <w:p w:rsidR="00E3670F" w:rsidRPr="00984255" w:rsidRDefault="00E3670F" w:rsidP="00E3670F">
      <w:pPr>
        <w:numPr>
          <w:ilvl w:val="1"/>
          <w:numId w:val="11"/>
        </w:numPr>
        <w:tabs>
          <w:tab w:val="left" w:pos="1134"/>
        </w:tabs>
        <w:spacing w:after="160" w:line="256" w:lineRule="auto"/>
        <w:ind w:left="0" w:firstLine="720"/>
        <w:contextualSpacing/>
        <w:jc w:val="both"/>
        <w:rPr>
          <w:color w:val="000000"/>
          <w:szCs w:val="24"/>
          <w:lang w:eastAsia="lt-LT"/>
        </w:rPr>
      </w:pPr>
      <w:r w:rsidRPr="00984255">
        <w:rPr>
          <w:rFonts w:eastAsia="Calibri"/>
          <w:color w:val="000000"/>
          <w:szCs w:val="24"/>
          <w:lang w:eastAsia="lt-LT"/>
        </w:rPr>
        <w:t>ti</w:t>
      </w:r>
      <w:r w:rsidR="00B302BE" w:rsidRPr="00984255">
        <w:rPr>
          <w:rFonts w:eastAsia="Calibri"/>
          <w:color w:val="000000"/>
          <w:szCs w:val="24"/>
          <w:lang w:eastAsia="lt-LT"/>
        </w:rPr>
        <w:t>e</w:t>
      </w:r>
      <w:r w:rsidRPr="00984255">
        <w:rPr>
          <w:rFonts w:eastAsia="Calibri"/>
          <w:color w:val="000000"/>
          <w:szCs w:val="24"/>
          <w:lang w:eastAsia="lt-LT"/>
        </w:rPr>
        <w:t xml:space="preserve">kėjas, gavęs iš </w:t>
      </w:r>
      <w:r w:rsidR="00786B07" w:rsidRPr="00984255">
        <w:rPr>
          <w:rFonts w:eastAsia="Calibri"/>
          <w:color w:val="000000"/>
          <w:szCs w:val="24"/>
          <w:lang w:eastAsia="lt-LT"/>
        </w:rPr>
        <w:t>pirkėjo</w:t>
      </w:r>
      <w:r w:rsidRPr="00984255">
        <w:rPr>
          <w:rFonts w:eastAsia="Calibri"/>
          <w:color w:val="000000"/>
          <w:szCs w:val="24"/>
          <w:lang w:eastAsia="lt-LT"/>
        </w:rPr>
        <w:t xml:space="preserve"> atitinkamą pranešimą, turi užblokuoti kortelę ir p</w:t>
      </w:r>
      <w:r w:rsidR="00786B07" w:rsidRPr="00984255">
        <w:rPr>
          <w:rFonts w:eastAsia="Calibri"/>
          <w:color w:val="000000"/>
          <w:szCs w:val="24"/>
          <w:lang w:eastAsia="lt-LT"/>
        </w:rPr>
        <w:t>irkėjui</w:t>
      </w:r>
      <w:r w:rsidRPr="00984255">
        <w:rPr>
          <w:rFonts w:eastAsia="Calibri"/>
          <w:color w:val="000000"/>
          <w:szCs w:val="24"/>
          <w:lang w:eastAsia="lt-LT"/>
        </w:rPr>
        <w:t xml:space="preserve"> prašant, per protingą terminą pakartotinai neatlygintinai pagaminti socialinę kortelę ir</w:t>
      </w:r>
      <w:r w:rsidRPr="002F5EFF">
        <w:rPr>
          <w:rFonts w:eastAsia="Calibri"/>
          <w:color w:val="000000"/>
          <w:szCs w:val="24"/>
          <w:lang w:eastAsia="lt-LT"/>
        </w:rPr>
        <w:t xml:space="preserve"> atstatyti blokavimo metu socialinėje </w:t>
      </w:r>
      <w:r w:rsidRPr="00984255">
        <w:rPr>
          <w:rFonts w:eastAsia="Calibri"/>
          <w:color w:val="000000"/>
          <w:szCs w:val="24"/>
          <w:lang w:eastAsia="lt-LT"/>
        </w:rPr>
        <w:t>kortelėje turėtojui tenkančią pinigų sumą tuo atveju, jei socialinė kortelė p</w:t>
      </w:r>
      <w:r w:rsidR="00786B07" w:rsidRPr="00984255">
        <w:rPr>
          <w:rFonts w:eastAsia="Calibri"/>
          <w:color w:val="000000"/>
          <w:szCs w:val="24"/>
          <w:lang w:eastAsia="lt-LT"/>
        </w:rPr>
        <w:t>irkėjo</w:t>
      </w:r>
      <w:r w:rsidRPr="00984255">
        <w:rPr>
          <w:rFonts w:eastAsia="Calibri"/>
          <w:color w:val="000000"/>
          <w:szCs w:val="24"/>
          <w:lang w:eastAsia="lt-LT"/>
        </w:rPr>
        <w:t xml:space="preserve"> ar jos turėtojo prarandama, sugadinama, pavagiama ar dėl kitų priežasčių negali būti naudojama pagal paskirtį;</w:t>
      </w:r>
    </w:p>
    <w:p w:rsidR="00E3670F" w:rsidRPr="00984255" w:rsidRDefault="00E3670F" w:rsidP="00E3670F">
      <w:pPr>
        <w:numPr>
          <w:ilvl w:val="1"/>
          <w:numId w:val="11"/>
        </w:numPr>
        <w:ind w:left="0" w:firstLine="709"/>
        <w:jc w:val="both"/>
        <w:rPr>
          <w:rFonts w:eastAsia="Calibri"/>
          <w:szCs w:val="24"/>
          <w:lang w:eastAsia="x-none"/>
        </w:rPr>
      </w:pPr>
      <w:r w:rsidRPr="00984255">
        <w:rPr>
          <w:rFonts w:eastAsia="Calibri"/>
          <w:szCs w:val="24"/>
          <w:lang w:eastAsia="x-none"/>
        </w:rPr>
        <w:t xml:space="preserve">užtikrinti, jei socialinės kortelės turėtojas socialinės kortelės galiojimo terminu nepanaudos socialinės kortelės ir/arba įgis prekių už mažesnę sumą, nei nurodyta sąraše, tai pasibaigus socialinės </w:t>
      </w:r>
      <w:r w:rsidRPr="00984255">
        <w:rPr>
          <w:rFonts w:eastAsia="Calibri"/>
          <w:szCs w:val="24"/>
          <w:lang w:eastAsia="x-none"/>
        </w:rPr>
        <w:lastRenderedPageBreak/>
        <w:t>kortelės galiojimo terminui, Ti</w:t>
      </w:r>
      <w:r w:rsidR="00B302BE" w:rsidRPr="00984255">
        <w:rPr>
          <w:rFonts w:eastAsia="Calibri"/>
          <w:szCs w:val="24"/>
          <w:lang w:eastAsia="x-none"/>
        </w:rPr>
        <w:t>e</w:t>
      </w:r>
      <w:r w:rsidRPr="00984255">
        <w:rPr>
          <w:rFonts w:eastAsia="Calibri"/>
          <w:szCs w:val="24"/>
          <w:lang w:eastAsia="x-none"/>
        </w:rPr>
        <w:t xml:space="preserve">kėjas likusią pinigų sumą grąžina </w:t>
      </w:r>
      <w:r w:rsidR="00786B07" w:rsidRPr="00984255">
        <w:rPr>
          <w:rFonts w:eastAsia="Calibri"/>
          <w:szCs w:val="24"/>
          <w:lang w:eastAsia="x-none"/>
        </w:rPr>
        <w:t>pirkėju</w:t>
      </w:r>
      <w:r w:rsidRPr="00984255">
        <w:rPr>
          <w:rFonts w:eastAsia="Calibri"/>
          <w:szCs w:val="24"/>
          <w:lang w:eastAsia="x-none"/>
        </w:rPr>
        <w:t>i per 30 (trisdešimt) kalendorinių dienų po to, kai gauna nepanaudoto likučio Socialinėse kortelėse suderinimo aktą</w:t>
      </w:r>
      <w:r w:rsidRPr="00984255">
        <w:rPr>
          <w:rFonts w:eastAsia="Calibri"/>
          <w:color w:val="000000"/>
          <w:szCs w:val="24"/>
          <w:lang w:eastAsia="lt-LT"/>
        </w:rPr>
        <w:t>;</w:t>
      </w:r>
    </w:p>
    <w:p w:rsidR="00E3670F" w:rsidRPr="00984255" w:rsidRDefault="00E3670F" w:rsidP="00E3670F">
      <w:pPr>
        <w:numPr>
          <w:ilvl w:val="1"/>
          <w:numId w:val="11"/>
        </w:numPr>
        <w:tabs>
          <w:tab w:val="left" w:pos="1134"/>
        </w:tabs>
        <w:spacing w:after="160" w:line="256" w:lineRule="auto"/>
        <w:ind w:left="0" w:firstLine="709"/>
        <w:contextualSpacing/>
        <w:jc w:val="both"/>
        <w:rPr>
          <w:color w:val="000000"/>
          <w:szCs w:val="24"/>
          <w:lang w:eastAsia="lt-LT"/>
        </w:rPr>
      </w:pPr>
      <w:r w:rsidRPr="00984255">
        <w:rPr>
          <w:szCs w:val="24"/>
        </w:rPr>
        <w:t xml:space="preserve"> </w:t>
      </w:r>
      <w:r w:rsidRPr="00984255">
        <w:rPr>
          <w:rFonts w:eastAsia="Calibri"/>
          <w:color w:val="000000"/>
          <w:szCs w:val="24"/>
        </w:rPr>
        <w:t>sudaryti galimybę socialine kortele apmokėti komunalines paslaugas;</w:t>
      </w:r>
    </w:p>
    <w:p w:rsidR="00E3670F" w:rsidRPr="00984255" w:rsidRDefault="00E3670F" w:rsidP="00301B8E">
      <w:pPr>
        <w:spacing w:after="160" w:line="256" w:lineRule="auto"/>
        <w:ind w:firstLine="709"/>
        <w:contextualSpacing/>
        <w:jc w:val="both"/>
        <w:rPr>
          <w:color w:val="000000"/>
          <w:szCs w:val="24"/>
          <w:lang w:eastAsia="lt-LT"/>
        </w:rPr>
      </w:pPr>
      <w:r w:rsidRPr="00984255">
        <w:rPr>
          <w:szCs w:val="24"/>
        </w:rPr>
        <w:t>6.8. užtikrinti, kad atsiskaitant socialine kortele kiekvieno atsiskaitymo šia kortele metu</w:t>
      </w:r>
      <w:r w:rsidRPr="00984255">
        <w:rPr>
          <w:color w:val="000000"/>
          <w:szCs w:val="24"/>
          <w:lang w:eastAsia="lt-LT"/>
        </w:rPr>
        <w:t xml:space="preserve"> </w:t>
      </w:r>
      <w:r w:rsidRPr="00984255">
        <w:rPr>
          <w:szCs w:val="24"/>
        </w:rPr>
        <w:t>parduotuvės išduotame kasos kvite būtų nurodytas sąskaitos likutis;</w:t>
      </w:r>
    </w:p>
    <w:p w:rsidR="00E3670F" w:rsidRPr="00984255" w:rsidRDefault="00E3670F" w:rsidP="00E3670F">
      <w:pPr>
        <w:numPr>
          <w:ilvl w:val="1"/>
          <w:numId w:val="11"/>
        </w:numPr>
        <w:tabs>
          <w:tab w:val="left" w:pos="1134"/>
        </w:tabs>
        <w:spacing w:after="160" w:line="256" w:lineRule="auto"/>
        <w:ind w:left="0" w:firstLine="709"/>
        <w:contextualSpacing/>
        <w:jc w:val="both"/>
        <w:rPr>
          <w:color w:val="000000"/>
          <w:szCs w:val="24"/>
          <w:lang w:eastAsia="lt-LT"/>
        </w:rPr>
      </w:pPr>
      <w:r w:rsidRPr="00984255">
        <w:rPr>
          <w:rFonts w:eastAsia="Calibri"/>
          <w:color w:val="000000"/>
          <w:szCs w:val="24"/>
        </w:rPr>
        <w:t xml:space="preserve"> užtikrinti, </w:t>
      </w:r>
      <w:r w:rsidRPr="00984255">
        <w:rPr>
          <w:rFonts w:eastAsia="Calibri"/>
          <w:szCs w:val="24"/>
        </w:rPr>
        <w:t xml:space="preserve">kad atsiskaitant socialine kortele </w:t>
      </w:r>
      <w:r w:rsidRPr="00984255">
        <w:rPr>
          <w:szCs w:val="24"/>
        </w:rPr>
        <w:t>turėtojui</w:t>
      </w:r>
      <w:r w:rsidRPr="00984255">
        <w:rPr>
          <w:rFonts w:eastAsia="Calibri"/>
          <w:szCs w:val="24"/>
        </w:rPr>
        <w:t xml:space="preserve"> nebūtų parduodami alkoholiniai gėrimai (įskaitant alų), tabako gaminiai ir loterijos bilietai, atsiskaitoma už finansines paslaugas (greituosius kreditus, lizingo paslaugas);</w:t>
      </w:r>
    </w:p>
    <w:p w:rsidR="00E3670F" w:rsidRPr="00984255" w:rsidRDefault="00E3670F" w:rsidP="00E3670F">
      <w:pPr>
        <w:numPr>
          <w:ilvl w:val="1"/>
          <w:numId w:val="11"/>
        </w:numPr>
        <w:tabs>
          <w:tab w:val="left" w:pos="1134"/>
        </w:tabs>
        <w:spacing w:after="160" w:line="256" w:lineRule="auto"/>
        <w:ind w:left="0" w:firstLine="720"/>
        <w:contextualSpacing/>
        <w:jc w:val="both"/>
        <w:rPr>
          <w:color w:val="000000"/>
          <w:szCs w:val="24"/>
          <w:lang w:eastAsia="lt-LT"/>
        </w:rPr>
      </w:pPr>
      <w:r w:rsidRPr="00984255">
        <w:rPr>
          <w:rFonts w:eastAsia="Calibri"/>
          <w:szCs w:val="24"/>
        </w:rPr>
        <w:t xml:space="preserve">užtikrinti, kad </w:t>
      </w:r>
      <w:r w:rsidRPr="00984255">
        <w:rPr>
          <w:szCs w:val="24"/>
          <w:lang w:eastAsia="lt-LT"/>
        </w:rPr>
        <w:t>jeigu socialine kortele bandoma įsigyti neleistinų prekių, kasos programinė įranga neleistų to padaryti;</w:t>
      </w:r>
    </w:p>
    <w:p w:rsidR="00E3670F" w:rsidRPr="00984255" w:rsidRDefault="00E3670F" w:rsidP="00E3670F">
      <w:pPr>
        <w:numPr>
          <w:ilvl w:val="1"/>
          <w:numId w:val="11"/>
        </w:numPr>
        <w:tabs>
          <w:tab w:val="left" w:pos="1134"/>
        </w:tabs>
        <w:spacing w:after="160" w:line="256" w:lineRule="auto"/>
        <w:ind w:left="0" w:firstLine="720"/>
        <w:contextualSpacing/>
        <w:jc w:val="both"/>
        <w:rPr>
          <w:color w:val="000000"/>
          <w:szCs w:val="24"/>
          <w:lang w:eastAsia="lt-LT"/>
        </w:rPr>
      </w:pPr>
      <w:r w:rsidRPr="00984255">
        <w:rPr>
          <w:rFonts w:eastAsia="Calibri"/>
          <w:szCs w:val="24"/>
        </w:rPr>
        <w:t>užtikrinti, kad socialinės kortelės sąskaitoje esančių lėšų nebūtų galimybės išgryninti (įskaitant ir tą atvejį, kai prekė (- ės) yra gražinamos vadovaujantis Daiktų gražinimo ir keitimo taisyklėmis);</w:t>
      </w:r>
    </w:p>
    <w:p w:rsidR="00E3670F" w:rsidRPr="00984255" w:rsidRDefault="00E3670F" w:rsidP="00E3670F">
      <w:pPr>
        <w:numPr>
          <w:ilvl w:val="1"/>
          <w:numId w:val="11"/>
        </w:numPr>
        <w:tabs>
          <w:tab w:val="left" w:pos="1134"/>
        </w:tabs>
        <w:spacing w:after="160" w:line="256" w:lineRule="auto"/>
        <w:ind w:left="0" w:firstLine="720"/>
        <w:contextualSpacing/>
        <w:jc w:val="both"/>
        <w:rPr>
          <w:color w:val="000000"/>
          <w:szCs w:val="24"/>
          <w:lang w:eastAsia="lt-LT"/>
        </w:rPr>
      </w:pPr>
      <w:r w:rsidRPr="00984255">
        <w:rPr>
          <w:rFonts w:eastAsia="Calibri"/>
          <w:szCs w:val="24"/>
        </w:rPr>
        <w:t>užtikrinti, kad socialine kortele už prekes atsiskaitytu tik kortelės turėtojas;</w:t>
      </w:r>
    </w:p>
    <w:p w:rsidR="00E3670F" w:rsidRPr="00984255" w:rsidRDefault="00E3670F" w:rsidP="002E2786">
      <w:pPr>
        <w:numPr>
          <w:ilvl w:val="1"/>
          <w:numId w:val="11"/>
        </w:numPr>
        <w:tabs>
          <w:tab w:val="left" w:pos="1134"/>
        </w:tabs>
        <w:spacing w:after="160" w:line="256" w:lineRule="auto"/>
        <w:ind w:left="0" w:firstLine="720"/>
        <w:contextualSpacing/>
        <w:jc w:val="both"/>
        <w:rPr>
          <w:color w:val="000000"/>
          <w:szCs w:val="24"/>
          <w:lang w:eastAsia="lt-LT"/>
        </w:rPr>
      </w:pPr>
      <w:r w:rsidRPr="00984255">
        <w:rPr>
          <w:rFonts w:eastAsia="Calibri"/>
          <w:szCs w:val="24"/>
        </w:rPr>
        <w:t>Plungės rajono savivaldybės administracijai prašant pateikti socialinės kortelės turėtojo pirkimo išklotinę, peržiūrėti kokioms prekėms išleidžiami pinigai;</w:t>
      </w:r>
    </w:p>
    <w:p w:rsidR="00E3670F" w:rsidRPr="00984255" w:rsidRDefault="00E3670F" w:rsidP="002E2786">
      <w:pPr>
        <w:numPr>
          <w:ilvl w:val="1"/>
          <w:numId w:val="11"/>
        </w:numPr>
        <w:tabs>
          <w:tab w:val="left" w:pos="1134"/>
        </w:tabs>
        <w:spacing w:after="160" w:line="256" w:lineRule="auto"/>
        <w:ind w:left="0" w:firstLine="720"/>
        <w:contextualSpacing/>
        <w:jc w:val="both"/>
        <w:rPr>
          <w:color w:val="000000"/>
          <w:szCs w:val="24"/>
          <w:lang w:eastAsia="lt-LT"/>
        </w:rPr>
      </w:pPr>
      <w:r w:rsidRPr="00984255">
        <w:rPr>
          <w:color w:val="000000"/>
          <w:szCs w:val="24"/>
          <w:lang w:eastAsia="lt-LT"/>
        </w:rPr>
        <w:t>užtikrinti galimybę socialinės kortelės turėtojui atsiskaityti už prekes savo tinklo parduotuvėse visoje Lietuvos Respublikos teritorijoje.</w:t>
      </w:r>
    </w:p>
    <w:p w:rsidR="00E3670F" w:rsidRPr="00984255" w:rsidRDefault="00E3670F" w:rsidP="002E2786">
      <w:pPr>
        <w:numPr>
          <w:ilvl w:val="0"/>
          <w:numId w:val="11"/>
        </w:numPr>
        <w:tabs>
          <w:tab w:val="left" w:pos="1134"/>
        </w:tabs>
        <w:spacing w:after="160" w:line="256" w:lineRule="auto"/>
        <w:ind w:left="0" w:firstLine="720"/>
        <w:contextualSpacing/>
        <w:jc w:val="both"/>
        <w:rPr>
          <w:szCs w:val="24"/>
          <w:lang w:eastAsia="lt-LT"/>
        </w:rPr>
      </w:pPr>
      <w:r w:rsidRPr="00984255">
        <w:rPr>
          <w:szCs w:val="24"/>
          <w:lang w:eastAsia="lt-LT"/>
        </w:rPr>
        <w:t>Ti</w:t>
      </w:r>
      <w:r w:rsidR="00B302BE" w:rsidRPr="00984255">
        <w:rPr>
          <w:szCs w:val="24"/>
          <w:lang w:eastAsia="lt-LT"/>
        </w:rPr>
        <w:t>e</w:t>
      </w:r>
      <w:r w:rsidRPr="00984255">
        <w:rPr>
          <w:szCs w:val="24"/>
          <w:lang w:eastAsia="lt-LT"/>
        </w:rPr>
        <w:t>kėjas privalo p</w:t>
      </w:r>
      <w:r w:rsidRPr="00984255">
        <w:rPr>
          <w:szCs w:val="24"/>
        </w:rPr>
        <w:t>rekiauti maisto produktais, asmens higienos ir</w:t>
      </w:r>
      <w:r w:rsidRPr="00984255">
        <w:rPr>
          <w:szCs w:val="24"/>
          <w:lang w:eastAsia="lt-LT"/>
        </w:rPr>
        <w:t xml:space="preserve"> </w:t>
      </w:r>
      <w:r w:rsidRPr="00984255">
        <w:rPr>
          <w:szCs w:val="24"/>
        </w:rPr>
        <w:t>buities prekėmis.</w:t>
      </w:r>
    </w:p>
    <w:p w:rsidR="00E3670F" w:rsidRPr="00984255" w:rsidRDefault="00E3670F" w:rsidP="002E2786">
      <w:pPr>
        <w:numPr>
          <w:ilvl w:val="0"/>
          <w:numId w:val="11"/>
        </w:numPr>
        <w:tabs>
          <w:tab w:val="left" w:pos="1134"/>
        </w:tabs>
        <w:ind w:left="0" w:firstLine="720"/>
        <w:contextualSpacing/>
        <w:jc w:val="both"/>
        <w:rPr>
          <w:color w:val="000000"/>
          <w:szCs w:val="24"/>
          <w:lang w:eastAsia="lt-LT"/>
        </w:rPr>
      </w:pPr>
      <w:r w:rsidRPr="00984255">
        <w:rPr>
          <w:color w:val="000000"/>
          <w:szCs w:val="24"/>
          <w:lang w:eastAsia="lt-LT"/>
        </w:rPr>
        <w:t>Naudodamasis socialine kortele, kortelės turėtojas negali viršyti ti</w:t>
      </w:r>
      <w:r w:rsidR="00B302BE" w:rsidRPr="00984255">
        <w:rPr>
          <w:color w:val="000000"/>
          <w:szCs w:val="24"/>
          <w:lang w:eastAsia="lt-LT"/>
        </w:rPr>
        <w:t>e</w:t>
      </w:r>
      <w:r w:rsidRPr="00984255">
        <w:rPr>
          <w:color w:val="000000"/>
          <w:szCs w:val="24"/>
          <w:lang w:eastAsia="lt-LT"/>
        </w:rPr>
        <w:t xml:space="preserve">kėjo skirtos ir </w:t>
      </w:r>
      <w:r w:rsidRPr="00984255">
        <w:rPr>
          <w:szCs w:val="24"/>
          <w:lang w:eastAsia="lt-LT"/>
        </w:rPr>
        <w:t>perkančiosios organizacijos</w:t>
      </w:r>
      <w:r w:rsidRPr="00984255">
        <w:rPr>
          <w:color w:val="000000"/>
          <w:szCs w:val="24"/>
          <w:lang w:eastAsia="lt-LT"/>
        </w:rPr>
        <w:t xml:space="preserve"> pervestos prekių įsigijimui pinigų sumos.</w:t>
      </w:r>
    </w:p>
    <w:p w:rsidR="00F20AFA" w:rsidRPr="00984255" w:rsidRDefault="00F20AFA" w:rsidP="002E2786">
      <w:pPr>
        <w:pStyle w:val="Sraopastraipa"/>
        <w:numPr>
          <w:ilvl w:val="0"/>
          <w:numId w:val="11"/>
        </w:numPr>
        <w:tabs>
          <w:tab w:val="left" w:pos="1134"/>
        </w:tabs>
        <w:ind w:left="0" w:firstLine="720"/>
        <w:jc w:val="both"/>
        <w:rPr>
          <w:rFonts w:eastAsia="Calibri"/>
          <w:szCs w:val="22"/>
        </w:rPr>
      </w:pPr>
      <w:r w:rsidRPr="00984255">
        <w:rPr>
          <w:rFonts w:eastAsia="Calibri"/>
          <w:szCs w:val="22"/>
        </w:rPr>
        <w:t>Draudžiamas grynųjų pinigų nuo socialinės kortelės sąskaitos nuėmimas</w:t>
      </w:r>
      <w:r w:rsidR="00B302BE" w:rsidRPr="00984255">
        <w:rPr>
          <w:rFonts w:eastAsia="Calibri"/>
          <w:szCs w:val="22"/>
        </w:rPr>
        <w:t>.</w:t>
      </w:r>
      <w:r w:rsidRPr="00984255">
        <w:rPr>
          <w:rFonts w:eastAsia="Calibri"/>
          <w:szCs w:val="22"/>
        </w:rPr>
        <w:t xml:space="preserve">. </w:t>
      </w:r>
    </w:p>
    <w:p w:rsidR="00E3670F" w:rsidRPr="00984255" w:rsidRDefault="00E3670F" w:rsidP="002E2786">
      <w:pPr>
        <w:numPr>
          <w:ilvl w:val="0"/>
          <w:numId w:val="11"/>
        </w:numPr>
        <w:tabs>
          <w:tab w:val="left" w:pos="1134"/>
        </w:tabs>
        <w:ind w:left="0" w:firstLine="720"/>
        <w:contextualSpacing/>
        <w:jc w:val="both"/>
        <w:rPr>
          <w:szCs w:val="24"/>
          <w:lang w:eastAsia="lt-LT"/>
        </w:rPr>
      </w:pPr>
      <w:r w:rsidRPr="00984255">
        <w:t>Atsiskaitant su socialine kortele, prekių kaina yra nustatoma pagal tos dienos, kada jos perkamos, kainas, nustatytas parduotuvėje, kurioje jos buvo pirktos, pritaikant sutartyje nurodytą nuolaidą</w:t>
      </w:r>
      <w:r w:rsidR="000F46C4" w:rsidRPr="00984255">
        <w:t xml:space="preserve"> </w:t>
      </w:r>
      <w:r w:rsidR="000F46C4" w:rsidRPr="00984255">
        <w:rPr>
          <w:kern w:val="2"/>
          <w:szCs w:val="24"/>
        </w:rPr>
        <w:t>(antkainį)</w:t>
      </w:r>
      <w:r w:rsidRPr="00984255">
        <w:t>.</w:t>
      </w:r>
      <w:r w:rsidRPr="00984255">
        <w:rPr>
          <w:szCs w:val="24"/>
          <w:lang w:eastAsia="lt-LT"/>
        </w:rPr>
        <w:t xml:space="preserve"> </w:t>
      </w:r>
    </w:p>
    <w:p w:rsidR="00E3670F" w:rsidRPr="00984255" w:rsidRDefault="00E3670F" w:rsidP="002E2786">
      <w:pPr>
        <w:numPr>
          <w:ilvl w:val="0"/>
          <w:numId w:val="11"/>
        </w:numPr>
        <w:tabs>
          <w:tab w:val="left" w:pos="1134"/>
        </w:tabs>
        <w:spacing w:after="160" w:line="256" w:lineRule="auto"/>
        <w:ind w:left="0" w:firstLine="720"/>
        <w:contextualSpacing/>
        <w:jc w:val="both"/>
        <w:rPr>
          <w:color w:val="000000"/>
          <w:szCs w:val="24"/>
          <w:lang w:eastAsia="lt-LT"/>
        </w:rPr>
      </w:pPr>
      <w:r w:rsidRPr="00984255">
        <w:t xml:space="preserve">Atsiskaitant su socialine kortele, kiekvienai perkamai prekei taikyti tiekėjo pasiūlyme </w:t>
      </w:r>
      <w:r w:rsidR="00301B8E" w:rsidRPr="00984255">
        <w:rPr>
          <w:color w:val="000000"/>
          <w:szCs w:val="24"/>
          <w:lang w:eastAsia="lt-LT"/>
        </w:rPr>
        <w:t xml:space="preserve">  </w:t>
      </w:r>
      <w:r w:rsidRPr="00984255">
        <w:t>nurodytą nuolaidą</w:t>
      </w:r>
      <w:r w:rsidR="00EC7A01" w:rsidRPr="00984255">
        <w:t xml:space="preserve"> </w:t>
      </w:r>
      <w:r w:rsidR="00EC7A01" w:rsidRPr="00984255">
        <w:rPr>
          <w:kern w:val="2"/>
          <w:szCs w:val="24"/>
        </w:rPr>
        <w:t>(antkainį)</w:t>
      </w:r>
      <w:r w:rsidRPr="00984255">
        <w:t>, išskyrus akcines prekes.</w:t>
      </w:r>
      <w:r w:rsidRPr="00984255">
        <w:rPr>
          <w:color w:val="000000"/>
          <w:szCs w:val="24"/>
          <w:lang w:eastAsia="lt-LT"/>
        </w:rPr>
        <w:t xml:space="preserve"> </w:t>
      </w:r>
    </w:p>
    <w:p w:rsidR="00E3670F" w:rsidRPr="00984255" w:rsidRDefault="00E3670F" w:rsidP="002E2786">
      <w:pPr>
        <w:numPr>
          <w:ilvl w:val="0"/>
          <w:numId w:val="11"/>
        </w:numPr>
        <w:tabs>
          <w:tab w:val="left" w:pos="1134"/>
        </w:tabs>
        <w:spacing w:after="160" w:line="256" w:lineRule="auto"/>
        <w:ind w:left="0" w:firstLine="720"/>
        <w:contextualSpacing/>
        <w:jc w:val="both"/>
        <w:rPr>
          <w:color w:val="000000"/>
          <w:szCs w:val="24"/>
          <w:lang w:eastAsia="lt-LT"/>
        </w:rPr>
      </w:pPr>
      <w:r w:rsidRPr="00984255">
        <w:rPr>
          <w:color w:val="000000"/>
          <w:szCs w:val="24"/>
          <w:lang w:eastAsia="lt-LT"/>
        </w:rPr>
        <w:t>Ti</w:t>
      </w:r>
      <w:r w:rsidR="00B302BE" w:rsidRPr="00984255">
        <w:rPr>
          <w:color w:val="000000"/>
          <w:szCs w:val="24"/>
          <w:lang w:eastAsia="lt-LT"/>
        </w:rPr>
        <w:t>e</w:t>
      </w:r>
      <w:r w:rsidRPr="00984255">
        <w:rPr>
          <w:color w:val="000000"/>
          <w:szCs w:val="24"/>
          <w:lang w:eastAsia="lt-LT"/>
        </w:rPr>
        <w:t xml:space="preserve">kėjas privalo vadovautis Bendruoju duomenų apsaugos reglamentu (ES) 2016/679, </w:t>
      </w:r>
      <w:r w:rsidR="00DE387E" w:rsidRPr="00984255">
        <w:rPr>
          <w:color w:val="000000"/>
          <w:szCs w:val="24"/>
          <w:lang w:eastAsia="lt-LT"/>
        </w:rPr>
        <w:t xml:space="preserve"> </w:t>
      </w:r>
      <w:r w:rsidRPr="00984255">
        <w:rPr>
          <w:color w:val="000000"/>
          <w:szCs w:val="24"/>
          <w:lang w:eastAsia="lt-LT"/>
        </w:rPr>
        <w:t>Lietuvos Respublikos asmens duomenų teisinės apsaugos įstatymu, kitais teisės aktais, reglamentuojančiais asmens duomenų tvarkymą.</w:t>
      </w:r>
    </w:p>
    <w:p w:rsidR="00E3670F" w:rsidRPr="00572DC3" w:rsidRDefault="00E3670F" w:rsidP="00E3670F">
      <w:pPr>
        <w:tabs>
          <w:tab w:val="left" w:pos="1134"/>
        </w:tabs>
        <w:rPr>
          <w:color w:val="000000"/>
          <w:szCs w:val="24"/>
          <w:lang w:eastAsia="lt-LT"/>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E3670F" w:rsidRDefault="00E3670F" w:rsidP="00E3670F">
      <w:pPr>
        <w:tabs>
          <w:tab w:val="left" w:pos="5400"/>
        </w:tabs>
        <w:jc w:val="center"/>
        <w:textAlignment w:val="center"/>
        <w:rPr>
          <w:b/>
        </w:rPr>
      </w:pPr>
    </w:p>
    <w:p w:rsidR="00DC00E1" w:rsidRDefault="00DC00E1" w:rsidP="00D833BA">
      <w:pPr>
        <w:tabs>
          <w:tab w:val="left" w:pos="5400"/>
        </w:tabs>
        <w:textAlignment w:val="center"/>
        <w:rPr>
          <w:b/>
        </w:rPr>
      </w:pPr>
    </w:p>
    <w:sectPr w:rsidR="00DC00E1" w:rsidSect="007A66A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E9" w:rsidRDefault="00825FE9">
      <w:pPr>
        <w:rPr>
          <w:sz w:val="20"/>
        </w:rPr>
      </w:pPr>
      <w:r>
        <w:rPr>
          <w:sz w:val="20"/>
        </w:rPr>
        <w:separator/>
      </w:r>
    </w:p>
  </w:endnote>
  <w:endnote w:type="continuationSeparator" w:id="0">
    <w:p w:rsidR="00825FE9" w:rsidRDefault="00825FE9">
      <w:pPr>
        <w:rPr>
          <w:sz w:val="20"/>
        </w:rPr>
      </w:pPr>
      <w:r>
        <w:rPr>
          <w:sz w:val="20"/>
        </w:rPr>
        <w:continuationSeparator/>
      </w:r>
    </w:p>
  </w:endnote>
  <w:endnote w:type="continuationNotice" w:id="1">
    <w:p w:rsidR="00825FE9" w:rsidRDefault="00825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D4" w:rsidRDefault="003D3CD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E9" w:rsidRDefault="00825FE9">
      <w:pPr>
        <w:rPr>
          <w:sz w:val="20"/>
        </w:rPr>
      </w:pPr>
      <w:r>
        <w:rPr>
          <w:sz w:val="20"/>
        </w:rPr>
        <w:separator/>
      </w:r>
    </w:p>
  </w:footnote>
  <w:footnote w:type="continuationSeparator" w:id="0">
    <w:p w:rsidR="00825FE9" w:rsidRDefault="00825FE9">
      <w:pPr>
        <w:rPr>
          <w:sz w:val="20"/>
        </w:rPr>
      </w:pPr>
      <w:r>
        <w:rPr>
          <w:sz w:val="20"/>
        </w:rPr>
        <w:continuationSeparator/>
      </w:r>
    </w:p>
  </w:footnote>
  <w:footnote w:type="continuationNotice" w:id="1">
    <w:p w:rsidR="00825FE9" w:rsidRDefault="00825FE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CD4" w:rsidRDefault="003D3CD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A66A9">
      <w:rPr>
        <w:rFonts w:ascii="Arial" w:eastAsia="Arial" w:hAnsi="Arial" w:cs="Arial"/>
        <w:noProof/>
        <w:sz w:val="18"/>
        <w:szCs w:val="18"/>
      </w:rPr>
      <w:t>2</w:t>
    </w:r>
    <w:r>
      <w:rPr>
        <w:rFonts w:ascii="Arial" w:eastAsia="Arial" w:hAnsi="Arial" w:cs="Arial"/>
        <w:sz w:val="18"/>
        <w:szCs w:val="18"/>
      </w:rPr>
      <w:fldChar w:fldCharType="end"/>
    </w:r>
  </w:p>
  <w:p w:rsidR="003D3CD4" w:rsidRDefault="003D3CD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6"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7"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1"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
  </w:num>
  <w:num w:numId="2">
    <w:abstractNumId w:val="2"/>
  </w:num>
  <w:num w:numId="3">
    <w:abstractNumId w:val="10"/>
  </w:num>
  <w:num w:numId="4">
    <w:abstractNumId w:val="1"/>
  </w:num>
  <w:num w:numId="5">
    <w:abstractNumId w:val="4"/>
  </w:num>
  <w:num w:numId="6">
    <w:abstractNumId w:val="9"/>
  </w:num>
  <w:num w:numId="7">
    <w:abstractNumId w:val="5"/>
  </w:num>
  <w:num w:numId="8">
    <w:abstractNumId w:val="7"/>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74D00"/>
    <w:rsid w:val="00095CB1"/>
    <w:rsid w:val="000A075C"/>
    <w:rsid w:val="000B0897"/>
    <w:rsid w:val="000B3B78"/>
    <w:rsid w:val="000B4E0F"/>
    <w:rsid w:val="000C2F83"/>
    <w:rsid w:val="000D3EBE"/>
    <w:rsid w:val="000E05B5"/>
    <w:rsid w:val="000F46C4"/>
    <w:rsid w:val="00102CF0"/>
    <w:rsid w:val="00122361"/>
    <w:rsid w:val="00122564"/>
    <w:rsid w:val="001407E8"/>
    <w:rsid w:val="00140EAE"/>
    <w:rsid w:val="0014732F"/>
    <w:rsid w:val="001D7DDB"/>
    <w:rsid w:val="00223CA2"/>
    <w:rsid w:val="00224869"/>
    <w:rsid w:val="0023076F"/>
    <w:rsid w:val="00234BA6"/>
    <w:rsid w:val="00235556"/>
    <w:rsid w:val="0025160F"/>
    <w:rsid w:val="002B7FEB"/>
    <w:rsid w:val="002C0E68"/>
    <w:rsid w:val="002E2786"/>
    <w:rsid w:val="00301B8E"/>
    <w:rsid w:val="00304B63"/>
    <w:rsid w:val="00345AAD"/>
    <w:rsid w:val="00357F17"/>
    <w:rsid w:val="00363168"/>
    <w:rsid w:val="003A250A"/>
    <w:rsid w:val="003B7A24"/>
    <w:rsid w:val="003D2FCB"/>
    <w:rsid w:val="003D3CD4"/>
    <w:rsid w:val="003D55C8"/>
    <w:rsid w:val="003F18FC"/>
    <w:rsid w:val="005031A3"/>
    <w:rsid w:val="00512A2A"/>
    <w:rsid w:val="00550AF4"/>
    <w:rsid w:val="00557007"/>
    <w:rsid w:val="0058731D"/>
    <w:rsid w:val="00592E59"/>
    <w:rsid w:val="005A274F"/>
    <w:rsid w:val="005C3BC7"/>
    <w:rsid w:val="005D42D8"/>
    <w:rsid w:val="00622B50"/>
    <w:rsid w:val="00662F08"/>
    <w:rsid w:val="006630C1"/>
    <w:rsid w:val="00671B4D"/>
    <w:rsid w:val="00673E0B"/>
    <w:rsid w:val="00682323"/>
    <w:rsid w:val="00692A06"/>
    <w:rsid w:val="006C5E82"/>
    <w:rsid w:val="006F2C96"/>
    <w:rsid w:val="0070490E"/>
    <w:rsid w:val="0073190E"/>
    <w:rsid w:val="00752510"/>
    <w:rsid w:val="00756450"/>
    <w:rsid w:val="00775758"/>
    <w:rsid w:val="00777FFD"/>
    <w:rsid w:val="00786B07"/>
    <w:rsid w:val="007A66A9"/>
    <w:rsid w:val="007D0452"/>
    <w:rsid w:val="007E6737"/>
    <w:rsid w:val="008059A5"/>
    <w:rsid w:val="00825FE9"/>
    <w:rsid w:val="00846F23"/>
    <w:rsid w:val="00853532"/>
    <w:rsid w:val="00862616"/>
    <w:rsid w:val="0087235E"/>
    <w:rsid w:val="008769E9"/>
    <w:rsid w:val="008968A5"/>
    <w:rsid w:val="008D205F"/>
    <w:rsid w:val="008D5347"/>
    <w:rsid w:val="009118ED"/>
    <w:rsid w:val="00912620"/>
    <w:rsid w:val="00930A40"/>
    <w:rsid w:val="009728BC"/>
    <w:rsid w:val="00982FE4"/>
    <w:rsid w:val="00984255"/>
    <w:rsid w:val="0099228A"/>
    <w:rsid w:val="009D0376"/>
    <w:rsid w:val="009E2C89"/>
    <w:rsid w:val="009F12D0"/>
    <w:rsid w:val="00A17DA2"/>
    <w:rsid w:val="00A5149F"/>
    <w:rsid w:val="00A64F48"/>
    <w:rsid w:val="00AA44B0"/>
    <w:rsid w:val="00AC004D"/>
    <w:rsid w:val="00B302BE"/>
    <w:rsid w:val="00B32060"/>
    <w:rsid w:val="00B36546"/>
    <w:rsid w:val="00B52479"/>
    <w:rsid w:val="00B74492"/>
    <w:rsid w:val="00B77918"/>
    <w:rsid w:val="00B84476"/>
    <w:rsid w:val="00BA462E"/>
    <w:rsid w:val="00BC7606"/>
    <w:rsid w:val="00BD0935"/>
    <w:rsid w:val="00C32729"/>
    <w:rsid w:val="00C344B9"/>
    <w:rsid w:val="00C4425E"/>
    <w:rsid w:val="00C50F45"/>
    <w:rsid w:val="00C70447"/>
    <w:rsid w:val="00C90F56"/>
    <w:rsid w:val="00CB2C50"/>
    <w:rsid w:val="00CB504A"/>
    <w:rsid w:val="00CD40C7"/>
    <w:rsid w:val="00CE78B3"/>
    <w:rsid w:val="00CF0FB0"/>
    <w:rsid w:val="00CF2FBC"/>
    <w:rsid w:val="00D2149A"/>
    <w:rsid w:val="00D30554"/>
    <w:rsid w:val="00D346EB"/>
    <w:rsid w:val="00D51D66"/>
    <w:rsid w:val="00D64A9E"/>
    <w:rsid w:val="00D833BA"/>
    <w:rsid w:val="00DA4E0C"/>
    <w:rsid w:val="00DB0C99"/>
    <w:rsid w:val="00DB41DB"/>
    <w:rsid w:val="00DC00E1"/>
    <w:rsid w:val="00DE387E"/>
    <w:rsid w:val="00DF0AAC"/>
    <w:rsid w:val="00E16FB7"/>
    <w:rsid w:val="00E3670F"/>
    <w:rsid w:val="00E567EF"/>
    <w:rsid w:val="00E71204"/>
    <w:rsid w:val="00E74DF0"/>
    <w:rsid w:val="00EC13FD"/>
    <w:rsid w:val="00EC2CF0"/>
    <w:rsid w:val="00EC7A01"/>
    <w:rsid w:val="00ED5D5C"/>
    <w:rsid w:val="00F065DD"/>
    <w:rsid w:val="00F16200"/>
    <w:rsid w:val="00F20AFA"/>
    <w:rsid w:val="00F316B2"/>
    <w:rsid w:val="00F60BD9"/>
    <w:rsid w:val="00F810F1"/>
    <w:rsid w:val="00FA1320"/>
    <w:rsid w:val="00FA2710"/>
    <w:rsid w:val="00FB231E"/>
    <w:rsid w:val="00FB3B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8FD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E7D76-53C7-4AEF-A0A1-DCF5E942F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3587</Words>
  <Characters>2046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Vaida Burčikienė</cp:lastModifiedBy>
  <cp:revision>2</cp:revision>
  <cp:lastPrinted>2017-06-29T23:42:00Z</cp:lastPrinted>
  <dcterms:created xsi:type="dcterms:W3CDTF">2025-04-29T13:45:00Z</dcterms:created>
  <dcterms:modified xsi:type="dcterms:W3CDTF">2025-04-29T13:45:00Z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