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BF040" w14:textId="77777777" w:rsidR="00D12E79" w:rsidRPr="00B777C4" w:rsidRDefault="00D12E79" w:rsidP="00D12E79">
      <w:pPr>
        <w:spacing w:line="300" w:lineRule="atLeast"/>
        <w:jc w:val="both"/>
        <w:rPr>
          <w:b/>
          <w:bCs/>
          <w:color w:val="000000"/>
          <w:lang w:val="lt-LT"/>
        </w:rPr>
      </w:pPr>
      <w:r w:rsidRPr="00B777C4">
        <w:rPr>
          <w:b/>
          <w:bCs/>
          <w:color w:val="000000"/>
          <w:lang w:val="lt-LT"/>
        </w:rPr>
        <w:t>DĖL ATSAKYMŲ Į KLAUSIMUS</w:t>
      </w:r>
    </w:p>
    <w:p w14:paraId="658CB6E4" w14:textId="77777777" w:rsidR="00D12E79" w:rsidRPr="00D45394" w:rsidRDefault="00D12E79" w:rsidP="00D12E79">
      <w:pPr>
        <w:spacing w:line="300" w:lineRule="atLeast"/>
        <w:jc w:val="both"/>
        <w:rPr>
          <w:color w:val="000000"/>
          <w:lang w:val="lt-LT"/>
        </w:rPr>
      </w:pPr>
    </w:p>
    <w:p w14:paraId="62513B8B" w14:textId="77777777" w:rsidR="00D12E79" w:rsidRDefault="00D12E79" w:rsidP="00D12E79">
      <w:pPr>
        <w:spacing w:line="300" w:lineRule="atLeast"/>
        <w:jc w:val="both"/>
        <w:rPr>
          <w:color w:val="000000"/>
          <w:lang w:val="lt-LT"/>
        </w:rPr>
      </w:pPr>
    </w:p>
    <w:p w14:paraId="616620DB" w14:textId="77777777" w:rsidR="00D12E79" w:rsidRDefault="00D12E79" w:rsidP="00D12E79">
      <w:pPr>
        <w:spacing w:line="300" w:lineRule="atLeast"/>
        <w:ind w:firstLine="720"/>
        <w:jc w:val="both"/>
        <w:rPr>
          <w:color w:val="000000"/>
          <w:lang w:val="lt-LT"/>
        </w:rPr>
      </w:pPr>
      <w:r w:rsidRPr="00D45394">
        <w:rPr>
          <w:color w:val="000000"/>
          <w:lang w:val="lt-LT"/>
        </w:rPr>
        <w:t xml:space="preserve">Viešoji įstaiga CPO LT, vykdydama </w:t>
      </w:r>
      <w:r>
        <w:rPr>
          <w:color w:val="000000"/>
          <w:lang w:val="lt-LT"/>
        </w:rPr>
        <w:t xml:space="preserve">viešąjį pirkimą atviro konkurso būdu (tarptautinis pirkimas) </w:t>
      </w:r>
      <w:r w:rsidRPr="00D45394">
        <w:rPr>
          <w:color w:val="000000"/>
          <w:lang w:val="lt-LT"/>
        </w:rPr>
        <w:t>„</w:t>
      </w:r>
      <w:r>
        <w:rPr>
          <w:color w:val="000000"/>
          <w:lang w:val="lt-LT"/>
        </w:rPr>
        <w:t>KELIONIŲ ORGANIZAVIMO</w:t>
      </w:r>
      <w:r w:rsidRPr="00066B68">
        <w:rPr>
          <w:color w:val="000000"/>
          <w:lang w:val="lt-LT"/>
        </w:rPr>
        <w:t xml:space="preserve"> PASLAUGOS</w:t>
      </w:r>
      <w:r w:rsidRPr="00D45394">
        <w:rPr>
          <w:lang w:val="lt-LT"/>
        </w:rPr>
        <w:t>“</w:t>
      </w:r>
      <w:r>
        <w:rPr>
          <w:lang w:val="lt-LT"/>
        </w:rPr>
        <w:t>, CVP IS</w:t>
      </w:r>
      <w:r w:rsidRPr="00D45394">
        <w:rPr>
          <w:rFonts w:eastAsia="Times New Roman"/>
          <w:lang w:val="lt-LT"/>
        </w:rPr>
        <w:t xml:space="preserve"> </w:t>
      </w:r>
      <w:r>
        <w:rPr>
          <w:rFonts w:eastAsia="Times New Roman"/>
          <w:lang w:val="lt-LT"/>
        </w:rPr>
        <w:t>ID</w:t>
      </w:r>
      <w:r w:rsidRPr="00D45394">
        <w:rPr>
          <w:rFonts w:eastAsia="Times New Roman"/>
          <w:lang w:val="lt-LT"/>
        </w:rPr>
        <w:t xml:space="preserve"> </w:t>
      </w:r>
      <w:r w:rsidRPr="00C518BB">
        <w:rPr>
          <w:lang w:val="lt-LT"/>
        </w:rPr>
        <w:t>2229046</w:t>
      </w:r>
      <w:r w:rsidRPr="00D45394">
        <w:rPr>
          <w:color w:val="000000"/>
          <w:lang w:val="lt-LT"/>
        </w:rPr>
        <w:t>,</w:t>
      </w:r>
      <w:r>
        <w:rPr>
          <w:color w:val="000000"/>
          <w:lang w:val="lt-LT"/>
        </w:rPr>
        <w:t xml:space="preserve"> gavo suinteresuoto tiekėjo klausimus. </w:t>
      </w:r>
    </w:p>
    <w:p w14:paraId="260757D6" w14:textId="77777777" w:rsidR="00D12E79" w:rsidRPr="00B777C4" w:rsidRDefault="00D12E79" w:rsidP="00D12E79">
      <w:pPr>
        <w:ind w:firstLine="851"/>
        <w:jc w:val="both"/>
        <w:rPr>
          <w:lang w:val="lt-LT"/>
        </w:rPr>
      </w:pPr>
      <w:r w:rsidRPr="00AE563F">
        <w:rPr>
          <w:lang w:val="lt-LT" w:eastAsia="en-GB"/>
        </w:rPr>
        <w:t xml:space="preserve">Vadovaudamiesi Lietuvos Respublikos viešųjų pirkimų įstatymo 36 straipsnio 5 dalimi </w:t>
      </w:r>
      <w:bookmarkStart w:id="0" w:name="_Hlk98232754"/>
      <w:r w:rsidRPr="00AE563F">
        <w:rPr>
          <w:lang w:val="lt-LT" w:eastAsia="en-GB"/>
        </w:rPr>
        <w:t>bei Bendrųjų pirkimo sąlygų 5.2 pun</w:t>
      </w:r>
      <w:bookmarkEnd w:id="0"/>
      <w:r w:rsidRPr="00AE563F">
        <w:rPr>
          <w:lang w:val="lt-LT" w:eastAsia="en-GB"/>
        </w:rPr>
        <w:t>ktu,</w:t>
      </w:r>
      <w:r w:rsidRPr="00AE563F">
        <w:rPr>
          <w:lang w:val="lt-LT"/>
        </w:rPr>
        <w:t xml:space="preserve"> teikiame atsakym</w:t>
      </w:r>
      <w:r>
        <w:rPr>
          <w:lang w:val="lt-LT"/>
        </w:rPr>
        <w:t>us į klausimus</w:t>
      </w:r>
      <w:r w:rsidRPr="00AE563F">
        <w:rPr>
          <w:lang w:val="lt-LT"/>
        </w:rPr>
        <w:t>:</w:t>
      </w:r>
    </w:p>
    <w:p w14:paraId="02C18443" w14:textId="77777777" w:rsidR="00D12E79" w:rsidRPr="00D45394" w:rsidRDefault="00D12E79" w:rsidP="00D12E79">
      <w:pPr>
        <w:rPr>
          <w:lang w:val="lt-LT"/>
        </w:rPr>
      </w:pPr>
    </w:p>
    <w:tbl>
      <w:tblPr>
        <w:tblStyle w:val="TableGrid"/>
        <w:tblW w:w="9890" w:type="dxa"/>
        <w:tblInd w:w="-95" w:type="dxa"/>
        <w:tblLook w:val="04A0" w:firstRow="1" w:lastRow="0" w:firstColumn="1" w:lastColumn="0" w:noHBand="0" w:noVBand="1"/>
      </w:tblPr>
      <w:tblGrid>
        <w:gridCol w:w="570"/>
        <w:gridCol w:w="4847"/>
        <w:gridCol w:w="4473"/>
      </w:tblGrid>
      <w:tr w:rsidR="00D12E79" w:rsidRPr="007B4182" w14:paraId="08918534" w14:textId="77777777" w:rsidTr="00B43566">
        <w:tc>
          <w:tcPr>
            <w:tcW w:w="570" w:type="dxa"/>
            <w:vAlign w:val="center"/>
          </w:tcPr>
          <w:p w14:paraId="54FBB7CF" w14:textId="77777777" w:rsidR="00D12E79" w:rsidRPr="007B4182" w:rsidRDefault="00D12E79" w:rsidP="00B43566">
            <w:pPr>
              <w:rPr>
                <w:b/>
                <w:bCs/>
                <w:i/>
                <w:iCs/>
              </w:rPr>
            </w:pPr>
            <w:r w:rsidRPr="007B4182">
              <w:rPr>
                <w:b/>
                <w:bCs/>
                <w:i/>
                <w:iCs/>
              </w:rPr>
              <w:t>Eil. Nr.</w:t>
            </w:r>
          </w:p>
        </w:tc>
        <w:tc>
          <w:tcPr>
            <w:tcW w:w="4847" w:type="dxa"/>
            <w:vAlign w:val="center"/>
          </w:tcPr>
          <w:p w14:paraId="57C76641" w14:textId="77777777" w:rsidR="00D12E79" w:rsidRPr="007B4182" w:rsidRDefault="00D12E79" w:rsidP="00B43566">
            <w:pPr>
              <w:jc w:val="center"/>
              <w:rPr>
                <w:b/>
                <w:bCs/>
                <w:i/>
                <w:iCs/>
              </w:rPr>
            </w:pPr>
            <w:r w:rsidRPr="007B4182">
              <w:rPr>
                <w:b/>
                <w:bCs/>
                <w:i/>
                <w:iCs/>
              </w:rPr>
              <w:t>KLAUSIMAS</w:t>
            </w:r>
          </w:p>
        </w:tc>
        <w:tc>
          <w:tcPr>
            <w:tcW w:w="4473" w:type="dxa"/>
            <w:vAlign w:val="center"/>
          </w:tcPr>
          <w:p w14:paraId="17AAA53B" w14:textId="77777777" w:rsidR="00D12E79" w:rsidRPr="007B4182" w:rsidRDefault="00D12E79" w:rsidP="00B43566">
            <w:pPr>
              <w:jc w:val="center"/>
              <w:rPr>
                <w:b/>
                <w:bCs/>
                <w:i/>
                <w:iCs/>
              </w:rPr>
            </w:pPr>
            <w:r w:rsidRPr="007B4182">
              <w:rPr>
                <w:b/>
                <w:bCs/>
                <w:i/>
                <w:iCs/>
              </w:rPr>
              <w:t>ATSAKYMAS</w:t>
            </w:r>
          </w:p>
        </w:tc>
      </w:tr>
      <w:tr w:rsidR="00D12E79" w:rsidRPr="00D12E79" w14:paraId="777ACDA5" w14:textId="77777777" w:rsidTr="00B43566">
        <w:tc>
          <w:tcPr>
            <w:tcW w:w="570" w:type="dxa"/>
          </w:tcPr>
          <w:p w14:paraId="51AFDB47" w14:textId="77777777" w:rsidR="00D12E79" w:rsidRPr="007B4182" w:rsidRDefault="00D12E79" w:rsidP="00B43566">
            <w:pPr>
              <w:jc w:val="both"/>
              <w:rPr>
                <w:rFonts w:eastAsia="Times New Roman"/>
                <w:lang w:eastAsia="lt-LT"/>
              </w:rPr>
            </w:pPr>
            <w:r w:rsidRPr="007B4182">
              <w:rPr>
                <w:rFonts w:eastAsia="Times New Roman"/>
                <w:lang w:eastAsia="lt-LT"/>
              </w:rPr>
              <w:t>1.</w:t>
            </w:r>
          </w:p>
        </w:tc>
        <w:tc>
          <w:tcPr>
            <w:tcW w:w="4847" w:type="dxa"/>
            <w:shd w:val="clear" w:color="auto" w:fill="auto"/>
          </w:tcPr>
          <w:p w14:paraId="627C2641" w14:textId="77777777" w:rsidR="00D12E79" w:rsidRPr="005D3CA2" w:rsidRDefault="00D12E79" w:rsidP="00B43566">
            <w:pPr>
              <w:jc w:val="both"/>
            </w:pPr>
            <w:r w:rsidRPr="005D3CA2">
              <w:t xml:space="preserve">Perkančioji organizacija ketina pirkti automobilių nuomos paslaugas (techninės specifikacijos 1.3, 39 p.). Prašome paaiškinti ar teisingai suprantame, kad: </w:t>
            </w:r>
          </w:p>
          <w:p w14:paraId="4FD4884B" w14:textId="77777777" w:rsidR="00D12E79" w:rsidRPr="00192070" w:rsidRDefault="00D12E79" w:rsidP="00B43566">
            <w:pPr>
              <w:jc w:val="both"/>
            </w:pPr>
            <w:r w:rsidRPr="00192070">
              <w:t>1.1. Perkančioji organizacija įsipareigoja padengti visas su automobilių nuomos paslaugomis susijusias išlaidas pagal automobilių nuomos kompanijų pateiktas sąskaitas?</w:t>
            </w:r>
          </w:p>
          <w:p w14:paraId="277D88AE" w14:textId="77777777" w:rsidR="00D12E79" w:rsidRPr="00192070" w:rsidRDefault="00D12E79" w:rsidP="00B43566">
            <w:pPr>
              <w:jc w:val="both"/>
            </w:pPr>
            <w:r w:rsidRPr="00192070">
              <w:t>1.2. Perkančiajai organizacijai yra suprantama ir aišku, kad esant ginčui tarp automobilių nuomos kompanijos ir perkančiosios organizacijos darbuotojo atlikto pažeidimo, padarytos žalos automobilių nuomos kompanijai ir/ar trečiajam asmeniui, įrodinėjimo pareiga tampa perkančiajai organizacijai?</w:t>
            </w:r>
          </w:p>
          <w:p w14:paraId="15F1301D" w14:textId="77777777" w:rsidR="00D12E79" w:rsidRPr="00192070" w:rsidRDefault="00D12E79" w:rsidP="00B43566">
            <w:pPr>
              <w:jc w:val="both"/>
            </w:pPr>
            <w:r w:rsidRPr="00192070">
              <w:t>1.3. Perkančiajai organizacijai yra suprantama ir aišku, kad užsakant automobilių nuomos paslaugas perkančioji organizacija prisiima visą administracinę, baudžiamąją ir civilinę atsakomybę, atsiradusią tiesiogiai naudojantis automobilių nuomos paslaugomis?</w:t>
            </w:r>
          </w:p>
          <w:p w14:paraId="60CF8527" w14:textId="77777777" w:rsidR="00D12E79" w:rsidRPr="00192070" w:rsidRDefault="00D12E79" w:rsidP="00B43566">
            <w:pPr>
              <w:jc w:val="both"/>
            </w:pPr>
            <w:r w:rsidRPr="00192070">
              <w:t>1.4. Perkančioji organizacija įsipareigoja visiškai atlyginti tiekėjui nuostolius, jei perkančiosios organizacijos darbuotojai, naudodamiesi automobilių nuomos paslaugomis, nesilaikytų atitinkamoje šalyje galiojančių teisės aktų reikalavimų, kelių eismo taisyklių ar pan., taip pat dėl savo tyčios, neatsargumo ar neapdairumo padarytų žalą automobilių nuomos kompanijai ir/ar trečiajam asmeniui ir dėl ko tiekėjui būtų pateikti kokie nors reikalavimai ir/ar pradėti procesiniai veiksmai?</w:t>
            </w:r>
          </w:p>
          <w:p w14:paraId="143400FD" w14:textId="77777777" w:rsidR="00D12E79" w:rsidRPr="00192070" w:rsidRDefault="00D12E79" w:rsidP="00B43566">
            <w:pPr>
              <w:jc w:val="both"/>
            </w:pPr>
            <w:r w:rsidRPr="00192070">
              <w:t>Arba</w:t>
            </w:r>
          </w:p>
          <w:p w14:paraId="2A1698E4" w14:textId="77777777" w:rsidR="00D12E79" w:rsidRPr="00192070" w:rsidRDefault="00D12E79" w:rsidP="00B43566">
            <w:pPr>
              <w:jc w:val="both"/>
            </w:pPr>
            <w:r w:rsidRPr="00192070">
              <w:t>1.5. Prašome išbraukti automobilių nuomos paslaugas ir jas pirkti vykdant mažos vertės neskeliamas apklausas.</w:t>
            </w:r>
          </w:p>
        </w:tc>
        <w:tc>
          <w:tcPr>
            <w:tcW w:w="4473" w:type="dxa"/>
            <w:shd w:val="clear" w:color="auto" w:fill="auto"/>
          </w:tcPr>
          <w:p w14:paraId="3FF43866" w14:textId="77777777" w:rsidR="00D12E79" w:rsidRPr="00192070" w:rsidRDefault="00D12E79" w:rsidP="00B43566">
            <w:pPr>
              <w:jc w:val="both"/>
            </w:pPr>
            <w:r>
              <w:t>1.1. Taip, p</w:t>
            </w:r>
            <w:r w:rsidRPr="00192070">
              <w:t>erkančioji organizacija įsipareigoja padengti visas su automobilių nuomos paslaugomis susijusias išlaidas pagal automobilių nuomos kompanijų pateiktas sąskaitas.</w:t>
            </w:r>
          </w:p>
          <w:p w14:paraId="1724652B" w14:textId="77777777" w:rsidR="00D12E79" w:rsidRPr="00107AC3" w:rsidRDefault="00D12E79" w:rsidP="00B43566">
            <w:pPr>
              <w:jc w:val="both"/>
            </w:pPr>
            <w:r>
              <w:t>1.2. Taip</w:t>
            </w:r>
            <w:r w:rsidRPr="00107AC3">
              <w:t>, Perkančioji organizacija pareigą supranta.</w:t>
            </w:r>
          </w:p>
          <w:p w14:paraId="6A49DA5E" w14:textId="77777777" w:rsidR="00D12E79" w:rsidRDefault="00D12E79" w:rsidP="00B43566">
            <w:pPr>
              <w:jc w:val="both"/>
            </w:pPr>
            <w:r>
              <w:t>1.3. Taip, Perkančiajai organizacijai atsakomybė suprantama.</w:t>
            </w:r>
          </w:p>
          <w:p w14:paraId="2E4B2762" w14:textId="77777777" w:rsidR="00D12E79" w:rsidRDefault="00D12E79" w:rsidP="00B43566">
            <w:pPr>
              <w:jc w:val="both"/>
            </w:pPr>
            <w:r>
              <w:t>1.4. P</w:t>
            </w:r>
            <w:r w:rsidRPr="00750D80">
              <w:t>erkančioji organizacija įsipareigoja atlyginti nuostolius</w:t>
            </w:r>
            <w:r>
              <w:t>, jei tokių būtų.</w:t>
            </w:r>
          </w:p>
          <w:p w14:paraId="1432AF46" w14:textId="77777777" w:rsidR="00D12E79" w:rsidRPr="00684BF3" w:rsidRDefault="00D12E79" w:rsidP="00B43566">
            <w:pPr>
              <w:jc w:val="both"/>
            </w:pPr>
            <w:r>
              <w:t>1.5. Perkančioji organizacija neketina atsisakyti automobilių nuomos paslaugų.</w:t>
            </w:r>
          </w:p>
        </w:tc>
      </w:tr>
      <w:tr w:rsidR="00D12E79" w:rsidRPr="00D12E79" w14:paraId="1F0DF53A" w14:textId="77777777" w:rsidTr="00B43566">
        <w:tc>
          <w:tcPr>
            <w:tcW w:w="570" w:type="dxa"/>
          </w:tcPr>
          <w:p w14:paraId="3D301C24" w14:textId="77777777" w:rsidR="00D12E79" w:rsidRPr="007B4182" w:rsidRDefault="00D12E79" w:rsidP="00B43566">
            <w:pPr>
              <w:jc w:val="both"/>
              <w:rPr>
                <w:rFonts w:eastAsia="Times New Roman"/>
                <w:lang w:eastAsia="lt-LT"/>
              </w:rPr>
            </w:pPr>
            <w:r w:rsidRPr="007B4182">
              <w:rPr>
                <w:rFonts w:eastAsia="Times New Roman"/>
                <w:lang w:eastAsia="lt-LT"/>
              </w:rPr>
              <w:t>2.</w:t>
            </w:r>
          </w:p>
        </w:tc>
        <w:tc>
          <w:tcPr>
            <w:tcW w:w="4847" w:type="dxa"/>
            <w:shd w:val="clear" w:color="auto" w:fill="auto"/>
          </w:tcPr>
          <w:p w14:paraId="79B46BD0" w14:textId="77777777" w:rsidR="00D12E79" w:rsidRPr="00C32060" w:rsidRDefault="00D12E79" w:rsidP="00B43566">
            <w:pPr>
              <w:spacing w:line="259" w:lineRule="auto"/>
              <w:contextualSpacing/>
              <w:jc w:val="both"/>
              <w:rPr>
                <w:rFonts w:eastAsia="Calibri"/>
              </w:rPr>
            </w:pPr>
            <w:r w:rsidRPr="00C32060">
              <w:rPr>
                <w:rFonts w:eastAsia="Calibri"/>
              </w:rPr>
              <w:t>Perkančioji organizacija taip pat gali prašyti užsakyti automobilio stovėjimo aikštelės vietą šalia viešbučio ir prašyti tiekėjo apmokėti šią paslaugą tiesiai viešbučiui (techninės specifikacijos 35.7 p.)</w:t>
            </w:r>
            <w:r>
              <w:rPr>
                <w:rFonts w:eastAsia="Calibri"/>
              </w:rPr>
              <w:t xml:space="preserve">. </w:t>
            </w:r>
            <w:r w:rsidRPr="00C32060">
              <w:rPr>
                <w:rFonts w:eastAsia="Calibri"/>
              </w:rPr>
              <w:t xml:space="preserve">Prašome paaiškinti ar teisingai suprantame, kad esant perkančiosios organizacijos pageidavimui tiekėjas turi užsakyti ir apmokėti transporto priemonių </w:t>
            </w:r>
            <w:r w:rsidRPr="00C32060">
              <w:rPr>
                <w:rFonts w:eastAsia="Calibri"/>
              </w:rPr>
              <w:lastRenderedPageBreak/>
              <w:t>parkavimo vietą prie viešbučio, jei tokia galimybė yra; jeigu nėra galimybės iš anksto apmokėti transporto priemonės parkavimo, tuomet tiekėjas turi tik užsakyti transporto priemonės parkavimo vietą ir informuoti keliautoją apie būtinybę atsiskaityti vietoje atskirai?</w:t>
            </w:r>
          </w:p>
        </w:tc>
        <w:tc>
          <w:tcPr>
            <w:tcW w:w="4473" w:type="dxa"/>
            <w:shd w:val="clear" w:color="auto" w:fill="auto"/>
          </w:tcPr>
          <w:p w14:paraId="1999097E" w14:textId="77777777" w:rsidR="00D12E79" w:rsidRPr="005D3CA2" w:rsidRDefault="00D12E79" w:rsidP="00B43566">
            <w:pPr>
              <w:tabs>
                <w:tab w:val="left" w:pos="1080"/>
              </w:tabs>
              <w:jc w:val="both"/>
            </w:pPr>
            <w:r w:rsidRPr="005D3CA2">
              <w:lastRenderedPageBreak/>
              <w:t>Taip, tiek</w:t>
            </w:r>
            <w:r w:rsidRPr="005D3CA2">
              <w:rPr>
                <w:rFonts w:hint="eastAsia"/>
              </w:rPr>
              <w:t>ė</w:t>
            </w:r>
            <w:r w:rsidRPr="005D3CA2">
              <w:t>jas turi užsakyti ir apmok</w:t>
            </w:r>
            <w:r w:rsidRPr="005D3CA2">
              <w:rPr>
                <w:rFonts w:hint="eastAsia"/>
              </w:rPr>
              <w:t>ė</w:t>
            </w:r>
            <w:r w:rsidRPr="005D3CA2">
              <w:t>ti iš anksto arba informuoti apie b</w:t>
            </w:r>
            <w:r w:rsidRPr="005D3CA2">
              <w:rPr>
                <w:rFonts w:hint="eastAsia"/>
              </w:rPr>
              <w:t>ū</w:t>
            </w:r>
            <w:r w:rsidRPr="005D3CA2">
              <w:t>tinyb</w:t>
            </w:r>
            <w:r w:rsidRPr="005D3CA2">
              <w:rPr>
                <w:rFonts w:hint="eastAsia"/>
              </w:rPr>
              <w:t>ę</w:t>
            </w:r>
            <w:r w:rsidRPr="005D3CA2">
              <w:t xml:space="preserve"> atsiskaityti vietoje atskirai</w:t>
            </w:r>
            <w:r>
              <w:t>.</w:t>
            </w:r>
          </w:p>
        </w:tc>
      </w:tr>
      <w:tr w:rsidR="00D12E79" w:rsidRPr="006668B3" w14:paraId="47A4F9A8" w14:textId="77777777" w:rsidTr="00B43566">
        <w:tc>
          <w:tcPr>
            <w:tcW w:w="570" w:type="dxa"/>
          </w:tcPr>
          <w:p w14:paraId="75856C5D" w14:textId="77777777" w:rsidR="00D12E79" w:rsidRPr="00254056" w:rsidRDefault="00D12E79" w:rsidP="00B43566">
            <w:pPr>
              <w:jc w:val="both"/>
              <w:rPr>
                <w:rFonts w:eastAsia="Times New Roman"/>
                <w:lang w:eastAsia="lt-LT"/>
              </w:rPr>
            </w:pPr>
            <w:r w:rsidRPr="00254056">
              <w:rPr>
                <w:rFonts w:eastAsia="Times New Roman"/>
                <w:lang w:eastAsia="lt-LT"/>
              </w:rPr>
              <w:t>3.</w:t>
            </w:r>
          </w:p>
        </w:tc>
        <w:tc>
          <w:tcPr>
            <w:tcW w:w="4847" w:type="dxa"/>
            <w:shd w:val="clear" w:color="auto" w:fill="auto"/>
          </w:tcPr>
          <w:p w14:paraId="1A9B11C4" w14:textId="77777777" w:rsidR="00D12E79" w:rsidRPr="00CE3931" w:rsidRDefault="00D12E79" w:rsidP="00B43566">
            <w:pPr>
              <w:spacing w:line="259" w:lineRule="auto"/>
              <w:contextualSpacing/>
              <w:jc w:val="both"/>
              <w:rPr>
                <w:rFonts w:eastAsia="Calibri"/>
                <w:bCs/>
              </w:rPr>
            </w:pPr>
            <w:r w:rsidRPr="0002295F">
              <w:rPr>
                <w:rFonts w:eastAsia="Calibri"/>
                <w:bCs/>
              </w:rPr>
              <w:t>Perkančioji organizacija planuoja pirkti paslaugas užsienyje ir Lietuvoje (techninės specifikacijos 5 p.), tačiau jokios konkrečios informacijos apie pirkimus Lietuvoje nepateikiama.</w:t>
            </w:r>
            <w:r>
              <w:rPr>
                <w:rFonts w:eastAsia="Calibri"/>
                <w:bCs/>
              </w:rPr>
              <w:t xml:space="preserve"> </w:t>
            </w:r>
            <w:r w:rsidRPr="00CE3931">
              <w:rPr>
                <w:rFonts w:eastAsia="Calibri"/>
                <w:bCs/>
              </w:rPr>
              <w:t>Prašome keliones užsienyje ir Lietuvoje atskirti į atskiras pirkimo objekto dalis bei papildomai pateikti kiek galima išsamesnę informaciją apie Lietuvoje planuojamas keliones arba paslaugas Lietuvoje pirkti neskelbiamos apklausos būdu (priklausomai nuo numatomos pirkimų Lietuvoje vertės).</w:t>
            </w:r>
          </w:p>
        </w:tc>
        <w:tc>
          <w:tcPr>
            <w:tcW w:w="4473" w:type="dxa"/>
            <w:shd w:val="clear" w:color="auto" w:fill="auto"/>
          </w:tcPr>
          <w:p w14:paraId="4A0547EC" w14:textId="77777777" w:rsidR="00D12E79" w:rsidRPr="00BE2612" w:rsidRDefault="00D12E79" w:rsidP="00B43566">
            <w:pPr>
              <w:tabs>
                <w:tab w:val="left" w:pos="1080"/>
              </w:tabs>
              <w:jc w:val="both"/>
            </w:pPr>
            <w:r w:rsidRPr="00B5094E">
              <w:t xml:space="preserve">Paslaugos bus perkamos pagal </w:t>
            </w:r>
            <w:r>
              <w:t>p</w:t>
            </w:r>
            <w:r w:rsidRPr="00B5094E">
              <w:t>erkančiosios organizacijos poreikį. Šiuo metu prognozuoti kiek paslaugų bus reikalinga Lietuvoje ir kiek Užsienyje nėra galimybės. Perkančioji organizacija įprastai turi nuo 80 iki 110 kelionių per 12 (dvylika) mėnesių. Viena kelione yra laikoma vieno asmens kelionė, nepriklausomai nuo to, ar vykstama grupėje, ar ne. Pirkimo objektas nebus skaidomas</w:t>
            </w:r>
            <w:r>
              <w:t xml:space="preserve"> į atskiras pirkimo dalis.</w:t>
            </w:r>
          </w:p>
        </w:tc>
      </w:tr>
      <w:tr w:rsidR="00D12E79" w:rsidRPr="00D12E79" w14:paraId="513070E0" w14:textId="77777777" w:rsidTr="00B43566">
        <w:tc>
          <w:tcPr>
            <w:tcW w:w="570" w:type="dxa"/>
          </w:tcPr>
          <w:p w14:paraId="1F0A8277" w14:textId="77777777" w:rsidR="00D12E79" w:rsidRPr="00254056" w:rsidRDefault="00D12E79" w:rsidP="00B43566">
            <w:pPr>
              <w:jc w:val="both"/>
              <w:rPr>
                <w:rFonts w:eastAsia="Times New Roman"/>
                <w:lang w:eastAsia="lt-LT"/>
              </w:rPr>
            </w:pPr>
            <w:r>
              <w:rPr>
                <w:rFonts w:eastAsia="Times New Roman"/>
                <w:lang w:eastAsia="lt-LT"/>
              </w:rPr>
              <w:t>4.</w:t>
            </w:r>
          </w:p>
        </w:tc>
        <w:tc>
          <w:tcPr>
            <w:tcW w:w="4847" w:type="dxa"/>
            <w:shd w:val="clear" w:color="auto" w:fill="auto"/>
          </w:tcPr>
          <w:p w14:paraId="713BE04D" w14:textId="77777777" w:rsidR="00D12E79" w:rsidRPr="00A81238" w:rsidRDefault="00D12E79" w:rsidP="00B43566">
            <w:pPr>
              <w:spacing w:line="259" w:lineRule="auto"/>
              <w:contextualSpacing/>
              <w:jc w:val="both"/>
              <w:rPr>
                <w:rFonts w:eastAsia="Calibri"/>
                <w:bCs/>
              </w:rPr>
            </w:pPr>
            <w:r w:rsidRPr="00A81238">
              <w:rPr>
                <w:rFonts w:eastAsia="Calibri"/>
                <w:bCs/>
              </w:rPr>
              <w:t>Esant perkančiosios organizacijos pageidavimui tiekėjas turės pirkti bilietus pagal internetinius pasiūlymus (techninės specifikacijos 20 p.)</w:t>
            </w:r>
            <w:r>
              <w:rPr>
                <w:rFonts w:eastAsia="Calibri"/>
                <w:bCs/>
              </w:rPr>
              <w:t xml:space="preserve">. </w:t>
            </w:r>
            <w:r w:rsidRPr="0070066C">
              <w:rPr>
                <w:rFonts w:eastAsia="Calibri"/>
                <w:bCs/>
              </w:rPr>
              <w:t xml:space="preserve">Prašome paaiškinti ar teisingai suprantame, kad viešai internetu platinamo bilieto pirkimo/pardavimo atveju perkančioji organizacija tiekėjui netaikys techninės specifikacijos reikalavimų dėl paslaugų, kurių </w:t>
            </w:r>
            <w:r>
              <w:rPr>
                <w:rFonts w:eastAsia="Calibri"/>
                <w:bCs/>
              </w:rPr>
              <w:t xml:space="preserve"> </w:t>
            </w:r>
            <w:r w:rsidRPr="0070066C">
              <w:rPr>
                <w:rFonts w:eastAsia="Calibri"/>
                <w:bCs/>
              </w:rPr>
              <w:t>tiekėjas, parduodamas bilietą ne per savo sutartinius teikėjus, negalės suteikti?</w:t>
            </w:r>
          </w:p>
        </w:tc>
        <w:tc>
          <w:tcPr>
            <w:tcW w:w="4473" w:type="dxa"/>
            <w:shd w:val="clear" w:color="auto" w:fill="auto"/>
          </w:tcPr>
          <w:p w14:paraId="2118D858" w14:textId="77777777" w:rsidR="00D12E79" w:rsidRPr="00476868" w:rsidRDefault="00D12E79" w:rsidP="00B43566">
            <w:pPr>
              <w:tabs>
                <w:tab w:val="left" w:pos="1080"/>
              </w:tabs>
              <w:jc w:val="both"/>
            </w:pPr>
            <w:r w:rsidRPr="008938C7">
              <w:t>Esant perkančiosios organizacijos pageidavimui, Tiekėjas turi nupirkti perkančiosios organizacijos nurodytus viešai internetu siūlomus ir platinamus kelionių bilietų pasiūlymus už perkančiosios  organizacijos nurodytą viešai internetu siūlomą kainą. Jei perkant prieš tai nurodytą paslaugą, nebūtų galimybės laikytis tam tikrų techninės specifikacijos reikalavimų – Tiekėjas turėtų apie tai informuoti perkančiąją organizaciją.</w:t>
            </w:r>
          </w:p>
        </w:tc>
      </w:tr>
      <w:tr w:rsidR="00D12E79" w:rsidRPr="00D12E79" w14:paraId="1C8A7074" w14:textId="77777777" w:rsidTr="00B43566">
        <w:tc>
          <w:tcPr>
            <w:tcW w:w="570" w:type="dxa"/>
          </w:tcPr>
          <w:p w14:paraId="4A671119" w14:textId="77777777" w:rsidR="00D12E79" w:rsidRPr="008938C7" w:rsidRDefault="00D12E79" w:rsidP="00B43566">
            <w:pPr>
              <w:jc w:val="both"/>
              <w:rPr>
                <w:rFonts w:eastAsia="Times New Roman"/>
                <w:lang w:eastAsia="lt-LT"/>
              </w:rPr>
            </w:pPr>
            <w:r w:rsidRPr="008938C7">
              <w:rPr>
                <w:rFonts w:eastAsia="Times New Roman"/>
                <w:lang w:eastAsia="lt-LT"/>
              </w:rPr>
              <w:t>5.</w:t>
            </w:r>
          </w:p>
        </w:tc>
        <w:tc>
          <w:tcPr>
            <w:tcW w:w="4847" w:type="dxa"/>
            <w:shd w:val="clear" w:color="auto" w:fill="auto"/>
          </w:tcPr>
          <w:p w14:paraId="6F07D01C" w14:textId="77777777" w:rsidR="00D12E79" w:rsidRPr="00E127DA" w:rsidRDefault="00D12E79" w:rsidP="00B43566">
            <w:pPr>
              <w:spacing w:line="259" w:lineRule="auto"/>
              <w:contextualSpacing/>
              <w:jc w:val="both"/>
              <w:rPr>
                <w:rFonts w:eastAsia="Calibri"/>
                <w:bCs/>
              </w:rPr>
            </w:pPr>
            <w:r w:rsidRPr="00E127DA">
              <w:rPr>
                <w:rFonts w:eastAsia="Calibri"/>
                <w:bCs/>
              </w:rPr>
              <w:t>Perkančiajai organizacijai turi būti suteikiama galimybė gauti aviakompanijų skiriamus taškus už keliones ir juos panaudoti kaip nuolaidą (techninės specifikacijos 33 p.)</w:t>
            </w:r>
            <w:r>
              <w:rPr>
                <w:rFonts w:eastAsia="Calibri"/>
                <w:bCs/>
              </w:rPr>
              <w:t xml:space="preserve"> </w:t>
            </w:r>
            <w:r w:rsidRPr="00E127DA">
              <w:rPr>
                <w:rFonts w:eastAsia="Calibri"/>
                <w:bCs/>
              </w:rPr>
              <w:t xml:space="preserve">Organizacijos norinčios kaupti oro kompanijų taškus, dėl duomenų apsaugos bei konfidencialios </w:t>
            </w:r>
            <w:r>
              <w:rPr>
                <w:rFonts w:eastAsia="Calibri"/>
                <w:bCs/>
              </w:rPr>
              <w:t xml:space="preserve"> </w:t>
            </w:r>
            <w:r w:rsidRPr="00E127DA">
              <w:rPr>
                <w:rFonts w:eastAsia="Calibri"/>
                <w:bCs/>
              </w:rPr>
              <w:t xml:space="preserve">informacijos, savarankiškai turi registruotis konkrečios aviakompanijos internetiniame puslapyje: susikurti </w:t>
            </w:r>
            <w:r>
              <w:rPr>
                <w:rFonts w:eastAsia="Calibri"/>
                <w:bCs/>
              </w:rPr>
              <w:t xml:space="preserve"> </w:t>
            </w:r>
            <w:r w:rsidRPr="00E127DA">
              <w:rPr>
                <w:rFonts w:eastAsia="Calibri"/>
                <w:bCs/>
              </w:rPr>
              <w:t xml:space="preserve">vartotojo vardą, slaptažodį, užpildyti prašomus duomenis. Tam, kad Tiekėjas galėtų paskaičiuoti sukauptus </w:t>
            </w:r>
            <w:r>
              <w:rPr>
                <w:rFonts w:eastAsia="Calibri"/>
                <w:bCs/>
              </w:rPr>
              <w:t xml:space="preserve"> </w:t>
            </w:r>
            <w:r w:rsidRPr="00E127DA">
              <w:rPr>
                <w:rFonts w:eastAsia="Calibri"/>
                <w:bCs/>
              </w:rPr>
              <w:t>taškus, Perkančioji organizacija turėtų atsiųsti savo prisijungimo duomenis.</w:t>
            </w:r>
            <w:r>
              <w:rPr>
                <w:rFonts w:eastAsia="Calibri"/>
                <w:bCs/>
              </w:rPr>
              <w:t xml:space="preserve"> </w:t>
            </w:r>
            <w:r w:rsidRPr="00E127DA">
              <w:rPr>
                <w:rFonts w:eastAsia="Calibri"/>
                <w:bCs/>
              </w:rPr>
              <w:t xml:space="preserve">Prašome paaiškinti ar teisingai suprantame, kad Tiekėjas galės teikti naudojimosi taškais paslaugą tik </w:t>
            </w:r>
            <w:r>
              <w:rPr>
                <w:rFonts w:eastAsia="Calibri"/>
                <w:bCs/>
              </w:rPr>
              <w:t xml:space="preserve"> </w:t>
            </w:r>
            <w:r w:rsidRPr="00E127DA">
              <w:rPr>
                <w:rFonts w:eastAsia="Calibri"/>
                <w:bCs/>
              </w:rPr>
              <w:t xml:space="preserve">tokiu atveju, jei Perkančioji organizacija bus prisiregistravusi prie aviakompanijų programų ir teiks </w:t>
            </w:r>
            <w:r>
              <w:rPr>
                <w:rFonts w:eastAsia="Calibri"/>
                <w:bCs/>
              </w:rPr>
              <w:t xml:space="preserve"> </w:t>
            </w:r>
            <w:r w:rsidRPr="00E127DA">
              <w:rPr>
                <w:rFonts w:eastAsia="Calibri"/>
                <w:bCs/>
              </w:rPr>
              <w:t>tiekėjui su tuo susijusius duomenis?</w:t>
            </w:r>
          </w:p>
        </w:tc>
        <w:tc>
          <w:tcPr>
            <w:tcW w:w="4473" w:type="dxa"/>
            <w:shd w:val="clear" w:color="auto" w:fill="auto"/>
          </w:tcPr>
          <w:p w14:paraId="19C7AED2" w14:textId="77777777" w:rsidR="00D12E79" w:rsidRPr="00B73A25" w:rsidRDefault="00D12E79" w:rsidP="00B43566">
            <w:pPr>
              <w:tabs>
                <w:tab w:val="left" w:pos="1080"/>
              </w:tabs>
              <w:jc w:val="both"/>
            </w:pPr>
            <w:r w:rsidRPr="00B73A25">
              <w:t>Taip, perkančioji organizacija prisiregistruos ir pateiks prisijungimo duomenis Tiekėjui paprašius</w:t>
            </w:r>
            <w:r>
              <w:t>.</w:t>
            </w:r>
          </w:p>
        </w:tc>
      </w:tr>
      <w:tr w:rsidR="00D12E79" w:rsidRPr="00D12E79" w14:paraId="2848E00A" w14:textId="77777777" w:rsidTr="00B43566">
        <w:tc>
          <w:tcPr>
            <w:tcW w:w="570" w:type="dxa"/>
          </w:tcPr>
          <w:p w14:paraId="0608D488" w14:textId="77777777" w:rsidR="00D12E79" w:rsidRPr="008938C7" w:rsidRDefault="00D12E79" w:rsidP="00B43566">
            <w:pPr>
              <w:jc w:val="both"/>
              <w:rPr>
                <w:rFonts w:eastAsia="Times New Roman"/>
                <w:lang w:eastAsia="lt-LT"/>
              </w:rPr>
            </w:pPr>
            <w:r w:rsidRPr="008938C7">
              <w:rPr>
                <w:rFonts w:eastAsia="Times New Roman"/>
                <w:lang w:eastAsia="lt-LT"/>
              </w:rPr>
              <w:t>6.</w:t>
            </w:r>
          </w:p>
        </w:tc>
        <w:tc>
          <w:tcPr>
            <w:tcW w:w="4847" w:type="dxa"/>
            <w:shd w:val="clear" w:color="auto" w:fill="auto"/>
          </w:tcPr>
          <w:p w14:paraId="1BCE1656" w14:textId="77777777" w:rsidR="00D12E79" w:rsidRPr="00953CB6" w:rsidRDefault="00D12E79" w:rsidP="00B43566">
            <w:pPr>
              <w:spacing w:line="259" w:lineRule="auto"/>
              <w:contextualSpacing/>
              <w:jc w:val="both"/>
              <w:rPr>
                <w:rFonts w:eastAsia="Calibri"/>
                <w:bCs/>
              </w:rPr>
            </w:pPr>
            <w:r w:rsidRPr="00C03A45">
              <w:rPr>
                <w:rFonts w:eastAsia="Calibri"/>
                <w:bCs/>
              </w:rPr>
              <w:t>Perkančioji organizacija nurodo, kad apgyvendinimo paslaugas pirks ne tik viešbučiuose, taip pat norėtų pirkti apgyvendinimą kaimo turizmo sodybose, svečių namuose, iš privačių nuomotojų ir pan. (TS 35.4 p.).</w:t>
            </w:r>
            <w:r>
              <w:rPr>
                <w:rFonts w:eastAsia="Calibri"/>
                <w:bCs/>
              </w:rPr>
              <w:t xml:space="preserve"> </w:t>
            </w:r>
            <w:r w:rsidRPr="00953CB6">
              <w:rPr>
                <w:rFonts w:eastAsia="Calibri"/>
                <w:bCs/>
              </w:rPr>
              <w:t>Prašome panaikinti įpareigojimą perparduoti kitokių nei viešbučiai apgyvendinimo įstaigų paslaugas. Tiekėjas turi siūlyti ir perparduoti tik tokių apgyvendinimo įstaigų paslaugas, kurios nebus papildomai apmokestinamos, dėl to, kad apgyvendinimo įstaiga atsisakys/neišrašys PVM sąskaitos faktūros visai faktinei pagyvendinimo kainai. Kitų nei viešbučiai apgyvendinimo įstaigų paslaugas perkančioji organizacija gali pirkti vykdydama mažos vertės neskel</w:t>
            </w:r>
            <w:r>
              <w:rPr>
                <w:rFonts w:eastAsia="Calibri"/>
                <w:bCs/>
              </w:rPr>
              <w:t>b</w:t>
            </w:r>
            <w:r w:rsidRPr="00953CB6">
              <w:rPr>
                <w:rFonts w:eastAsia="Calibri"/>
                <w:bCs/>
              </w:rPr>
              <w:t>iamas apklausas.</w:t>
            </w:r>
          </w:p>
        </w:tc>
        <w:tc>
          <w:tcPr>
            <w:tcW w:w="4473" w:type="dxa"/>
            <w:shd w:val="clear" w:color="auto" w:fill="auto"/>
          </w:tcPr>
          <w:p w14:paraId="4C3BAC2C" w14:textId="77777777" w:rsidR="00D12E79" w:rsidRPr="004E175D" w:rsidRDefault="00D12E79" w:rsidP="00B43566">
            <w:pPr>
              <w:tabs>
                <w:tab w:val="left" w:pos="1080"/>
              </w:tabs>
              <w:jc w:val="both"/>
            </w:pPr>
            <w:r w:rsidRPr="004E175D">
              <w:t>Techninės specifikacijos 35.4. punkte nurodytos paslaugos bus perkamos tik iš licencijuotų paslaugų teikėjų. Jei dėl tam tikrų prieža</w:t>
            </w:r>
            <w:r>
              <w:t>s</w:t>
            </w:r>
            <w:r w:rsidRPr="004E175D">
              <w:t>čių Tiekėjas negalės suteikti pageidaujamos paslaugos, t.</w:t>
            </w:r>
            <w:r>
              <w:t xml:space="preserve"> </w:t>
            </w:r>
            <w:r w:rsidRPr="004E175D">
              <w:t>y. užsakyti pageidaujamo apgyvendinimo – perkančioji organizacija turi būti apie tai informuota. Pažymėtina, kad tiek viešbučio paslaugas teikiantys apgyvendinimo paslaugų teikėjai, tiek kitų apgyvendinimo paslaugų teikėjai gali būti ne PVM mokėtojai.</w:t>
            </w:r>
          </w:p>
        </w:tc>
      </w:tr>
      <w:tr w:rsidR="00D12E79" w:rsidRPr="00D12E79" w14:paraId="03D39111" w14:textId="77777777" w:rsidTr="00B43566">
        <w:tc>
          <w:tcPr>
            <w:tcW w:w="570" w:type="dxa"/>
          </w:tcPr>
          <w:p w14:paraId="0EC7A120" w14:textId="77777777" w:rsidR="00D12E79" w:rsidRPr="008938C7" w:rsidRDefault="00D12E79" w:rsidP="00B43566">
            <w:pPr>
              <w:jc w:val="both"/>
              <w:rPr>
                <w:rFonts w:eastAsia="Times New Roman"/>
                <w:lang w:eastAsia="lt-LT"/>
              </w:rPr>
            </w:pPr>
            <w:r w:rsidRPr="008938C7">
              <w:rPr>
                <w:rFonts w:eastAsia="Times New Roman"/>
                <w:lang w:eastAsia="lt-LT"/>
              </w:rPr>
              <w:t>7.</w:t>
            </w:r>
          </w:p>
        </w:tc>
        <w:tc>
          <w:tcPr>
            <w:tcW w:w="4847" w:type="dxa"/>
            <w:shd w:val="clear" w:color="auto" w:fill="auto"/>
          </w:tcPr>
          <w:p w14:paraId="1B7CF2AA" w14:textId="77777777" w:rsidR="00D12E79" w:rsidRPr="00BF63A1" w:rsidRDefault="00D12E79" w:rsidP="00B43566">
            <w:pPr>
              <w:spacing w:line="259" w:lineRule="auto"/>
              <w:contextualSpacing/>
              <w:jc w:val="both"/>
              <w:rPr>
                <w:rFonts w:eastAsia="Calibri"/>
                <w:bCs/>
              </w:rPr>
            </w:pPr>
            <w:r w:rsidRPr="00BF63A1">
              <w:rPr>
                <w:rFonts w:eastAsia="Calibri"/>
                <w:bCs/>
              </w:rPr>
              <w:t>Perkančioji organizacija nurodo, kad tiekėjas turi įsipareigoti ir užtikrinti, kad atliks visus veiksmus esant atvejams, kai reikalinga susigrąžinti kompensacijas iš aviakompanijų dėl neįvykusio ar atšaukto skrydžio (techninės specifikacijos 32 p.)</w:t>
            </w:r>
            <w:r>
              <w:rPr>
                <w:rFonts w:eastAsia="Calibri"/>
                <w:bCs/>
              </w:rPr>
              <w:t xml:space="preserve">. </w:t>
            </w:r>
            <w:r w:rsidRPr="00BF63A1">
              <w:rPr>
                <w:rFonts w:eastAsia="Calibri"/>
                <w:bCs/>
              </w:rPr>
              <w:t>Prašome panaikinti įpareigojimą tiekėjui “atliks visus veiksmus tai pateikiant per kreditinę sąskaitą faktūrą“, kadangi kompensacijų mokėjimo mechanizmas ir santykiai tarp šalių yra reguliuojami pagal 2004-02-11 reglamentą Nr. 261/2004.</w:t>
            </w:r>
          </w:p>
        </w:tc>
        <w:tc>
          <w:tcPr>
            <w:tcW w:w="4473" w:type="dxa"/>
            <w:shd w:val="clear" w:color="auto" w:fill="auto"/>
          </w:tcPr>
          <w:p w14:paraId="2376136A" w14:textId="77777777" w:rsidR="00D12E79" w:rsidRPr="00E97443" w:rsidRDefault="00D12E79" w:rsidP="00B43566">
            <w:pPr>
              <w:tabs>
                <w:tab w:val="left" w:pos="1080"/>
              </w:tabs>
              <w:jc w:val="both"/>
            </w:pPr>
            <w:r w:rsidRPr="00E97443">
              <w:t>Kompensacija šiame punkte turėtų būti suprantama kaip perkančiosios organizacijos patirtų išlaidų už neįvykusi skrydį dėl oro bendrovės kaltės grąžinimas perkanči</w:t>
            </w:r>
            <w:r>
              <w:t>a</w:t>
            </w:r>
            <w:r w:rsidRPr="00E97443">
              <w:t>jai organizacijai, ne keliautojui, pateikiant kreditinę sąskaitą faktūrą, kai oro bendrovė grąžina lėšas už neįvykusį skrydį Paslaugų teikėjui. Kompensacija taip pat turėtų būti suprantama, kaip galimi oro bendrovės mokėjimai keliautojui dėl atidėtų, vėluojančių skrydžių ar kitų panašių aplinkybių. Šiuo atveju kreditinė sąskaitą faktūra neteikiama. Todėl šiuo Techninės specifikacijos punktu, be kita ko, Tiekėjas įpareigoj</w:t>
            </w:r>
            <w:r>
              <w:t>a</w:t>
            </w:r>
            <w:r w:rsidRPr="00E97443">
              <w:t>mas tarpininkauti keliautojui, jo prašymu, gaunant kompensacijas dėl atidėtų, vėluojančių skrydžių, bagažo vėlavimo, praradimo ar kitų panašių aplinkybių, keliautojui suteikti informaciją dėl kompensavimo ir pagalbos teikimo galimybių.</w:t>
            </w:r>
          </w:p>
        </w:tc>
      </w:tr>
      <w:tr w:rsidR="00D12E79" w:rsidRPr="00D12E79" w14:paraId="05283354" w14:textId="77777777" w:rsidTr="00B43566">
        <w:tc>
          <w:tcPr>
            <w:tcW w:w="570" w:type="dxa"/>
          </w:tcPr>
          <w:p w14:paraId="6670FE8F" w14:textId="77777777" w:rsidR="00D12E79" w:rsidRPr="008938C7" w:rsidRDefault="00D12E79" w:rsidP="00B43566">
            <w:pPr>
              <w:jc w:val="both"/>
              <w:rPr>
                <w:rFonts w:eastAsia="Times New Roman"/>
                <w:lang w:eastAsia="lt-LT"/>
              </w:rPr>
            </w:pPr>
            <w:r w:rsidRPr="008938C7">
              <w:rPr>
                <w:rFonts w:eastAsia="Times New Roman"/>
                <w:lang w:eastAsia="lt-LT"/>
              </w:rPr>
              <w:t>8.</w:t>
            </w:r>
          </w:p>
        </w:tc>
        <w:tc>
          <w:tcPr>
            <w:tcW w:w="4847" w:type="dxa"/>
            <w:shd w:val="clear" w:color="auto" w:fill="auto"/>
          </w:tcPr>
          <w:p w14:paraId="17E2956F" w14:textId="77777777" w:rsidR="00D12E79" w:rsidRPr="00FB0A42" w:rsidRDefault="00D12E79" w:rsidP="00B43566">
            <w:pPr>
              <w:spacing w:line="259" w:lineRule="auto"/>
              <w:contextualSpacing/>
              <w:jc w:val="both"/>
              <w:rPr>
                <w:rFonts w:eastAsia="Calibri"/>
                <w:bCs/>
              </w:rPr>
            </w:pPr>
            <w:r w:rsidRPr="009C317B">
              <w:rPr>
                <w:rFonts w:eastAsia="Calibri"/>
                <w:bCs/>
              </w:rPr>
              <w:t>Jeigu tiekėjas vėluos suteikti paslaugas, jam bus skaičiuojami delspinigiai (specialiųjų sutarties sąlygų 9.2.1 p.), nutraukus sutartį bus taikomos baudos (specialiųjų sutarties sąlygų 9.3.1, 9.3.2, 9.10 p.), terminų pažeidimas taip pat gali būti laikomas esminiu sutarties pažeidimu (specialiųjų sutarties sąlygų 12.2.2, 12.2.3 p.), dėl kurio sutartis gali būti nutraukta. Bendrosiose sutarties sąlygose tradiciškai yra numatytos sankcijos tiekėjui dėl paslaugų trūkumų, netinkamo įsipareigojimų vykdymo ir pan. Tačiau tiekėjas, perparduodamas galutinių paslaugų teikėjų paslaugas, jų kokybės negali tiesiogiai įtakoti</w:t>
            </w:r>
            <w:r>
              <w:rPr>
                <w:rFonts w:eastAsia="Calibri"/>
                <w:bCs/>
              </w:rPr>
              <w:t xml:space="preserve">. </w:t>
            </w:r>
            <w:r w:rsidRPr="00FB0A42">
              <w:rPr>
                <w:rFonts w:eastAsia="Calibri"/>
                <w:bCs/>
              </w:rPr>
              <w:t>Prašome paaiškinti ar teisingai suprantame, kad sutarties bendrosiose ir specialiosiose sąlygose numatytos sankcijos tiekėjui bus taikomos tik tada, kai paslaugų kokybės reikalavimų bus nesilaikoma dėl tiekėjo kaltės?</w:t>
            </w:r>
          </w:p>
        </w:tc>
        <w:tc>
          <w:tcPr>
            <w:tcW w:w="4473" w:type="dxa"/>
            <w:shd w:val="clear" w:color="auto" w:fill="auto"/>
          </w:tcPr>
          <w:p w14:paraId="6A8B82DC" w14:textId="77777777" w:rsidR="00D12E79" w:rsidRPr="00F03D68" w:rsidRDefault="00D12E79" w:rsidP="00B43566">
            <w:pPr>
              <w:tabs>
                <w:tab w:val="left" w:pos="1080"/>
              </w:tabs>
              <w:jc w:val="both"/>
            </w:pPr>
            <w:r w:rsidRPr="00F03D68">
              <w:t>Sutartyje numatytos sankcijos Tiekėjui bus taikomos, jei Tiekėjas dėl savo kaltės nevykdys sutartinių įsipareigojimų ar kitaip pažeis Sutartį, įskaitant kiekvienu konkrečiu atveju užsakant Paslaugas pagal poreikį, Paslaugos nebus suteiktos laikantis Sutartyje ar Techninėje specifikacijoje numatytų įsipareigojimų.</w:t>
            </w:r>
          </w:p>
        </w:tc>
      </w:tr>
    </w:tbl>
    <w:p w14:paraId="321C0B4D" w14:textId="77777777" w:rsidR="009E62D1" w:rsidRPr="00D12E79" w:rsidRDefault="009E62D1">
      <w:pPr>
        <w:rPr>
          <w:lang w:val="lt-LT"/>
        </w:rPr>
      </w:pPr>
    </w:p>
    <w:sectPr w:rsidR="009E62D1" w:rsidRPr="00D12E79" w:rsidSect="00D12E79">
      <w:headerReference w:type="default" r:id="rId6"/>
      <w:pgSz w:w="11900" w:h="16840" w:code="9"/>
      <w:pgMar w:top="1710" w:right="740" w:bottom="1325" w:left="108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A5418" w14:textId="77777777" w:rsidR="00D12E79" w:rsidRDefault="00D12E79" w:rsidP="00D12E79">
      <w:r>
        <w:separator/>
      </w:r>
    </w:p>
  </w:endnote>
  <w:endnote w:type="continuationSeparator" w:id="0">
    <w:p w14:paraId="2BC1D7DC" w14:textId="77777777" w:rsidR="00D12E79" w:rsidRDefault="00D12E79" w:rsidP="00D12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FC8F9" w14:textId="77777777" w:rsidR="00D12E79" w:rsidRDefault="00D12E79" w:rsidP="00D12E79">
      <w:r>
        <w:separator/>
      </w:r>
    </w:p>
  </w:footnote>
  <w:footnote w:type="continuationSeparator" w:id="0">
    <w:p w14:paraId="01CBDADA" w14:textId="77777777" w:rsidR="00D12E79" w:rsidRDefault="00D12E79" w:rsidP="00D12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C46C" w14:textId="77777777" w:rsidR="00D12E79" w:rsidRDefault="00D12E79">
    <w:pPr>
      <w:pStyle w:val="Header"/>
      <w:rPr>
        <w:lang w:val="lt-LT"/>
      </w:rPr>
    </w:pPr>
  </w:p>
  <w:p w14:paraId="272CCE06" w14:textId="77777777" w:rsidR="00D12E79" w:rsidRDefault="00D12E79">
    <w:pPr>
      <w:pStyle w:val="Header"/>
      <w:rPr>
        <w:lang w:val="lt-LT"/>
      </w:rPr>
    </w:pPr>
  </w:p>
  <w:p w14:paraId="7CA2EB1B" w14:textId="11225848" w:rsidR="00D12E79" w:rsidRPr="00D12E79" w:rsidRDefault="00D12E79">
    <w:pPr>
      <w:pStyle w:val="Header"/>
      <w:rPr>
        <w:lang w:val="lt-LT"/>
      </w:rPr>
    </w:pPr>
    <w:r>
      <w:rPr>
        <w:rFonts w:ascii="Nunito Sans" w:hAnsi="Nunito Sans" w:cs="Arial"/>
        <w:noProof/>
        <w:color w:val="515365"/>
        <w:sz w:val="20"/>
        <w:szCs w:val="20"/>
      </w:rPr>
      <w:drawing>
        <wp:inline distT="0" distB="0" distL="0" distR="0" wp14:anchorId="6DA1842A" wp14:editId="0B0EC309">
          <wp:extent cx="1248229" cy="512485"/>
          <wp:effectExtent l="0" t="0" r="0" b="0"/>
          <wp:docPr id="1844789024" name="Picture 1844789024" descr="A black background with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circles&#10;&#10;AI-generated content may be incorrect."/>
                  <pic:cNvPicPr/>
                </pic:nvPicPr>
                <pic:blipFill>
                  <a:blip r:embed="rId1"/>
                  <a:stretch>
                    <a:fillRect/>
                  </a:stretch>
                </pic:blipFill>
                <pic:spPr>
                  <a:xfrm>
                    <a:off x="0" y="0"/>
                    <a:ext cx="1328878" cy="54559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E79"/>
    <w:rsid w:val="002B4116"/>
    <w:rsid w:val="00681129"/>
    <w:rsid w:val="00681758"/>
    <w:rsid w:val="009D2AB4"/>
    <w:rsid w:val="009E62D1"/>
    <w:rsid w:val="00B9697F"/>
    <w:rsid w:val="00D12E79"/>
    <w:rsid w:val="00D604AB"/>
    <w:rsid w:val="00D754A9"/>
    <w:rsid w:val="00FD6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167F2"/>
  <w15:chartTrackingRefBased/>
  <w15:docId w15:val="{45662DB5-642D-4202-BB4F-340568948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E79"/>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D12E7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D12E7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D12E7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D12E7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bdr w:val="none" w:sz="0" w:space="0" w:color="auto"/>
      <w14:ligatures w14:val="standardContextual"/>
    </w:rPr>
  </w:style>
  <w:style w:type="paragraph" w:styleId="Heading5">
    <w:name w:val="heading 5"/>
    <w:basedOn w:val="Normal"/>
    <w:next w:val="Normal"/>
    <w:link w:val="Heading5Char"/>
    <w:uiPriority w:val="9"/>
    <w:semiHidden/>
    <w:unhideWhenUsed/>
    <w:qFormat/>
    <w:rsid w:val="00D12E7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bdr w:val="none" w:sz="0" w:space="0" w:color="auto"/>
      <w14:ligatures w14:val="standardContextual"/>
    </w:rPr>
  </w:style>
  <w:style w:type="paragraph" w:styleId="Heading6">
    <w:name w:val="heading 6"/>
    <w:basedOn w:val="Normal"/>
    <w:next w:val="Normal"/>
    <w:link w:val="Heading6Char"/>
    <w:uiPriority w:val="9"/>
    <w:semiHidden/>
    <w:unhideWhenUsed/>
    <w:qFormat/>
    <w:rsid w:val="00D12E7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14:ligatures w14:val="standardContextual"/>
    </w:rPr>
  </w:style>
  <w:style w:type="paragraph" w:styleId="Heading7">
    <w:name w:val="heading 7"/>
    <w:basedOn w:val="Normal"/>
    <w:next w:val="Normal"/>
    <w:link w:val="Heading7Char"/>
    <w:uiPriority w:val="9"/>
    <w:semiHidden/>
    <w:unhideWhenUsed/>
    <w:qFormat/>
    <w:rsid w:val="00D12E7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14:ligatures w14:val="standardContextual"/>
    </w:rPr>
  </w:style>
  <w:style w:type="paragraph" w:styleId="Heading8">
    <w:name w:val="heading 8"/>
    <w:basedOn w:val="Normal"/>
    <w:next w:val="Normal"/>
    <w:link w:val="Heading8Char"/>
    <w:uiPriority w:val="9"/>
    <w:semiHidden/>
    <w:unhideWhenUsed/>
    <w:qFormat/>
    <w:rsid w:val="00D12E7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14:ligatures w14:val="standardContextual"/>
    </w:rPr>
  </w:style>
  <w:style w:type="paragraph" w:styleId="Heading9">
    <w:name w:val="heading 9"/>
    <w:basedOn w:val="Normal"/>
    <w:next w:val="Normal"/>
    <w:link w:val="Heading9Char"/>
    <w:uiPriority w:val="9"/>
    <w:semiHidden/>
    <w:unhideWhenUsed/>
    <w:qFormat/>
    <w:rsid w:val="00D12E7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E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E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E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E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E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E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E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E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E79"/>
    <w:rPr>
      <w:rFonts w:eastAsiaTheme="majorEastAsia" w:cstheme="majorBidi"/>
      <w:color w:val="272727" w:themeColor="text1" w:themeTint="D8"/>
    </w:rPr>
  </w:style>
  <w:style w:type="paragraph" w:styleId="Title">
    <w:name w:val="Title"/>
    <w:basedOn w:val="Normal"/>
    <w:next w:val="Normal"/>
    <w:link w:val="TitleChar"/>
    <w:uiPriority w:val="10"/>
    <w:qFormat/>
    <w:rsid w:val="00D12E79"/>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D12E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E79"/>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14:ligatures w14:val="standardContextual"/>
    </w:rPr>
  </w:style>
  <w:style w:type="character" w:customStyle="1" w:styleId="SubtitleChar">
    <w:name w:val="Subtitle Char"/>
    <w:basedOn w:val="DefaultParagraphFont"/>
    <w:link w:val="Subtitle"/>
    <w:uiPriority w:val="11"/>
    <w:rsid w:val="00D12E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E79"/>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14:ligatures w14:val="standardContextual"/>
    </w:rPr>
  </w:style>
  <w:style w:type="character" w:customStyle="1" w:styleId="QuoteChar">
    <w:name w:val="Quote Char"/>
    <w:basedOn w:val="DefaultParagraphFont"/>
    <w:link w:val="Quote"/>
    <w:uiPriority w:val="29"/>
    <w:rsid w:val="00D12E79"/>
    <w:rPr>
      <w:i/>
      <w:iCs/>
      <w:color w:val="404040" w:themeColor="text1" w:themeTint="BF"/>
    </w:rPr>
  </w:style>
  <w:style w:type="paragraph" w:styleId="ListParagraph">
    <w:name w:val="List Paragraph"/>
    <w:basedOn w:val="Normal"/>
    <w:uiPriority w:val="34"/>
    <w:qFormat/>
    <w:rsid w:val="00D12E79"/>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14:ligatures w14:val="standardContextual"/>
    </w:rPr>
  </w:style>
  <w:style w:type="character" w:styleId="IntenseEmphasis">
    <w:name w:val="Intense Emphasis"/>
    <w:basedOn w:val="DefaultParagraphFont"/>
    <w:uiPriority w:val="21"/>
    <w:qFormat/>
    <w:rsid w:val="00D12E79"/>
    <w:rPr>
      <w:i/>
      <w:iCs/>
      <w:color w:val="0F4761" w:themeColor="accent1" w:themeShade="BF"/>
    </w:rPr>
  </w:style>
  <w:style w:type="paragraph" w:styleId="IntenseQuote">
    <w:name w:val="Intense Quote"/>
    <w:basedOn w:val="Normal"/>
    <w:next w:val="Normal"/>
    <w:link w:val="IntenseQuoteChar"/>
    <w:uiPriority w:val="30"/>
    <w:qFormat/>
    <w:rsid w:val="00D12E79"/>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bdr w:val="none" w:sz="0" w:space="0" w:color="auto"/>
      <w14:ligatures w14:val="standardContextual"/>
    </w:rPr>
  </w:style>
  <w:style w:type="character" w:customStyle="1" w:styleId="IntenseQuoteChar">
    <w:name w:val="Intense Quote Char"/>
    <w:basedOn w:val="DefaultParagraphFont"/>
    <w:link w:val="IntenseQuote"/>
    <w:uiPriority w:val="30"/>
    <w:rsid w:val="00D12E79"/>
    <w:rPr>
      <w:i/>
      <w:iCs/>
      <w:color w:val="0F4761" w:themeColor="accent1" w:themeShade="BF"/>
    </w:rPr>
  </w:style>
  <w:style w:type="character" w:styleId="IntenseReference">
    <w:name w:val="Intense Reference"/>
    <w:basedOn w:val="DefaultParagraphFont"/>
    <w:uiPriority w:val="32"/>
    <w:qFormat/>
    <w:rsid w:val="00D12E79"/>
    <w:rPr>
      <w:b/>
      <w:bCs/>
      <w:smallCaps/>
      <w:color w:val="0F4761" w:themeColor="accent1" w:themeShade="BF"/>
      <w:spacing w:val="5"/>
    </w:rPr>
  </w:style>
  <w:style w:type="paragraph" w:styleId="Header">
    <w:name w:val="header"/>
    <w:basedOn w:val="Normal"/>
    <w:link w:val="HeaderChar"/>
    <w:uiPriority w:val="99"/>
    <w:unhideWhenUsed/>
    <w:rsid w:val="00D12E79"/>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Theme="minorHAnsi" w:eastAsiaTheme="minorHAnsi" w:hAnsiTheme="minorHAnsi" w:cstheme="minorBidi"/>
      <w:kern w:val="2"/>
      <w:bdr w:val="none" w:sz="0" w:space="0" w:color="auto"/>
      <w14:ligatures w14:val="standardContextual"/>
    </w:rPr>
  </w:style>
  <w:style w:type="character" w:customStyle="1" w:styleId="HeaderChar">
    <w:name w:val="Header Char"/>
    <w:basedOn w:val="DefaultParagraphFont"/>
    <w:link w:val="Header"/>
    <w:uiPriority w:val="99"/>
    <w:rsid w:val="00D12E79"/>
  </w:style>
  <w:style w:type="paragraph" w:styleId="Footer">
    <w:name w:val="footer"/>
    <w:basedOn w:val="Normal"/>
    <w:link w:val="FooterChar"/>
    <w:uiPriority w:val="99"/>
    <w:unhideWhenUsed/>
    <w:rsid w:val="00D12E79"/>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Theme="minorHAnsi" w:eastAsiaTheme="minorHAnsi" w:hAnsiTheme="minorHAnsi" w:cstheme="minorBidi"/>
      <w:kern w:val="2"/>
      <w:bdr w:val="none" w:sz="0" w:space="0" w:color="auto"/>
      <w14:ligatures w14:val="standardContextual"/>
    </w:rPr>
  </w:style>
  <w:style w:type="character" w:customStyle="1" w:styleId="FooterChar">
    <w:name w:val="Footer Char"/>
    <w:basedOn w:val="DefaultParagraphFont"/>
    <w:link w:val="Footer"/>
    <w:uiPriority w:val="99"/>
    <w:rsid w:val="00D12E79"/>
  </w:style>
  <w:style w:type="table" w:styleId="TableGrid">
    <w:name w:val="Table Grid"/>
    <w:basedOn w:val="TableNormal"/>
    <w:uiPriority w:val="39"/>
    <w:rsid w:val="00D12E79"/>
    <w:pPr>
      <w:spacing w:after="0" w:line="240" w:lineRule="auto"/>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Vitkauskienė</dc:creator>
  <cp:keywords/>
  <dc:description/>
  <cp:lastModifiedBy>Rūta Vitkauskienė</cp:lastModifiedBy>
  <cp:revision>1</cp:revision>
  <dcterms:created xsi:type="dcterms:W3CDTF">2025-04-30T11:34:00Z</dcterms:created>
  <dcterms:modified xsi:type="dcterms:W3CDTF">2025-04-30T11:48:00Z</dcterms:modified>
</cp:coreProperties>
</file>