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34A" w:rsidRDefault="00232336" w:rsidP="00232336">
      <w:pPr>
        <w:ind w:left="6946"/>
        <w:textAlignment w:val="baseline"/>
        <w:rPr>
          <w:sz w:val="18"/>
          <w:szCs w:val="18"/>
        </w:rPr>
      </w:pPr>
      <w:r w:rsidRPr="00FB7D5F">
        <w:rPr>
          <w:b/>
          <w:kern w:val="2"/>
          <w:szCs w:val="24"/>
        </w:rPr>
        <w:t>Konkurso sąlygų 8 priedas</w:t>
      </w:r>
    </w:p>
    <w:p w:rsidR="003C234A" w:rsidRDefault="003C234A">
      <w:pPr>
        <w:widowControl w:val="0"/>
        <w:pBdr>
          <w:top w:val="nil"/>
          <w:left w:val="nil"/>
          <w:bottom w:val="nil"/>
          <w:right w:val="nil"/>
          <w:between w:val="nil"/>
        </w:pBdr>
        <w:tabs>
          <w:tab w:val="left" w:pos="567"/>
          <w:tab w:val="left" w:pos="851"/>
        </w:tabs>
        <w:jc w:val="center"/>
        <w:rPr>
          <w:b/>
          <w:caps/>
          <w:szCs w:val="24"/>
        </w:rPr>
      </w:pPr>
    </w:p>
    <w:p w:rsidR="00232336" w:rsidRDefault="00232336">
      <w:pPr>
        <w:widowControl w:val="0"/>
        <w:pBdr>
          <w:top w:val="nil"/>
          <w:left w:val="nil"/>
          <w:bottom w:val="nil"/>
          <w:right w:val="nil"/>
          <w:between w:val="nil"/>
        </w:pBdr>
        <w:tabs>
          <w:tab w:val="left" w:pos="567"/>
          <w:tab w:val="left" w:pos="851"/>
        </w:tabs>
        <w:jc w:val="center"/>
        <w:rPr>
          <w:b/>
          <w:caps/>
          <w:szCs w:val="24"/>
        </w:rPr>
      </w:pPr>
    </w:p>
    <w:p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rsidR="00232336" w:rsidRPr="00325EC3" w:rsidRDefault="00232336" w:rsidP="00232336">
            <w:pPr>
              <w:jc w:val="both"/>
              <w:rPr>
                <w:kern w:val="2"/>
                <w:szCs w:val="24"/>
              </w:rPr>
            </w:pPr>
            <w:r w:rsidRPr="00325EC3">
              <w:rPr>
                <w:kern w:val="2"/>
                <w:szCs w:val="24"/>
              </w:rPr>
              <w:t>Kovo 11-osios Akto salės vaizdo ekranų sistema ir susijusios paslaugos</w:t>
            </w:r>
          </w:p>
        </w:tc>
      </w:tr>
      <w:tr w:rsidR="00232336" w:rsidRPr="00325EC3" w:rsidTr="00232336">
        <w:tc>
          <w:tcPr>
            <w:tcW w:w="3020" w:type="dxa"/>
          </w:tcPr>
          <w:p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rsidR="00232336" w:rsidRPr="00325EC3" w:rsidRDefault="00232336" w:rsidP="00232336">
            <w:pPr>
              <w:jc w:val="both"/>
              <w:rPr>
                <w:kern w:val="2"/>
                <w:szCs w:val="24"/>
              </w:rPr>
            </w:pPr>
            <w:r w:rsidRPr="00325EC3">
              <w:rPr>
                <w:kern w:val="2"/>
                <w:szCs w:val="24"/>
              </w:rPr>
              <w:t>2025-</w:t>
            </w:r>
          </w:p>
        </w:tc>
        <w:tc>
          <w:tcPr>
            <w:tcW w:w="2362" w:type="dxa"/>
            <w:vAlign w:val="center"/>
          </w:tcPr>
          <w:p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rsidR="00232336" w:rsidRPr="00325EC3" w:rsidRDefault="00232336" w:rsidP="00232336">
            <w:pPr>
              <w:jc w:val="both"/>
              <w:rPr>
                <w:kern w:val="2"/>
                <w:szCs w:val="24"/>
              </w:rPr>
            </w:pPr>
            <w:r w:rsidRPr="00325EC3">
              <w:rPr>
                <w:kern w:val="2"/>
                <w:szCs w:val="24"/>
              </w:rPr>
              <w:t>UFS-2025-</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sidRPr="00325EC3">
              <w:rPr>
                <w:kern w:val="2"/>
                <w:szCs w:val="24"/>
              </w:rPr>
              <w:t xml:space="preserve">Veiklos administravimo departamento Informacinių technologijų eksploatavimo skyriaus vyriausiasis specialistas Gintaras Šiaučiulis, tel. (0 5) 209 6229, el. p. </w:t>
            </w:r>
            <w:hyperlink r:id="rId6" w:history="1">
              <w:r w:rsidRPr="00325EC3">
                <w:rPr>
                  <w:rStyle w:val="Hipersaitas"/>
                  <w:kern w:val="2"/>
                  <w:szCs w:val="24"/>
                </w:rPr>
                <w:t>gintaras.siauciulis@lrs.lt</w:t>
              </w:r>
            </w:hyperlink>
            <w:r w:rsidRPr="00325EC3">
              <w:rPr>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Kovo 11-osios Akto salės vaizdo ekranų sistemą, </w:t>
            </w:r>
            <w:r w:rsidRPr="00325EC3">
              <w:rPr>
                <w:szCs w:val="24"/>
              </w:rPr>
              <w:t>įskaitant reikiamas laikančiąsias konstrukcijas, tvirtinimo įrangą ir jungimui būtinas instaliacines medžiagas</w:t>
            </w:r>
            <w:r w:rsidRPr="00325EC3">
              <w:rPr>
                <w:kern w:val="2"/>
                <w:szCs w:val="24"/>
              </w:rPr>
              <w:t xml:space="preserve"> (toliau – Prekės)</w:t>
            </w:r>
            <w:r>
              <w:rPr>
                <w:kern w:val="2"/>
                <w:szCs w:val="24"/>
              </w:rPr>
              <w:t xml:space="preserve">, </w:t>
            </w:r>
            <w:r w:rsidRPr="0028635E">
              <w:rPr>
                <w:kern w:val="2"/>
                <w:szCs w:val="24"/>
              </w:rPr>
              <w:t>jas sumontuoti, įrengti bei sujungti į vieningą sistemą, sukonfigūruoti</w:t>
            </w:r>
            <w:r w:rsidRPr="0028635E">
              <w:rPr>
                <w:szCs w:val="24"/>
              </w:rPr>
              <w:t xml:space="preserve"> suderinti su Pirkėjo eksploatuojama įranga</w:t>
            </w:r>
            <w:r>
              <w:rPr>
                <w:szCs w:val="24"/>
              </w:rPr>
              <w:t>,</w:t>
            </w:r>
            <w:r w:rsidRPr="0028635E">
              <w:rPr>
                <w:kern w:val="2"/>
                <w:szCs w:val="24"/>
              </w:rPr>
              <w:t xml:space="preserve"> apmokyti Pirkėjo atsakingą personalą</w:t>
            </w:r>
            <w:r>
              <w:rPr>
                <w:kern w:val="2"/>
                <w:szCs w:val="24"/>
              </w:rPr>
              <w:t xml:space="preserve"> (toliau – susijusios paslaugos) bei atlikti Prekių garantinę priežiūrą.</w:t>
            </w:r>
          </w:p>
          <w:p w:rsidR="003C234A" w:rsidRDefault="00232336" w:rsidP="00232336">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Pr="00325EC3">
              <w:rPr>
                <w:kern w:val="2"/>
                <w:szCs w:val="24"/>
              </w:rPr>
              <w:t>Kovo 11-osios Akto salės vaizdo ekranų sistemos įrangos ir susijusių paslaugų t</w:t>
            </w:r>
            <w:r w:rsidRPr="00325EC3">
              <w:rPr>
                <w:color w:val="000000"/>
                <w:kern w:val="2"/>
                <w:szCs w:val="24"/>
              </w:rPr>
              <w:t>echninė specifikacija“ (toliau – Techninė specifikacija), Sutarties priede Nr. 2 „</w:t>
            </w:r>
            <w:r w:rsidRPr="00325EC3">
              <w:rPr>
                <w:kern w:val="2"/>
                <w:szCs w:val="24"/>
              </w:rPr>
              <w:t xml:space="preserve">Kovo 11-osios Akto salės vaizdo ekranų sistemos įrangos ir susijusių paslaugų </w:t>
            </w:r>
            <w:r w:rsidRPr="00325EC3">
              <w:rPr>
                <w:color w:val="000000"/>
                <w:kern w:val="2"/>
                <w:szCs w:val="24"/>
              </w:rPr>
              <w:t xml:space="preserve">kainų lentelė“ (toliau </w:t>
            </w:r>
            <w:r w:rsidRPr="00325EC3">
              <w:rPr>
                <w:kern w:val="2"/>
                <w:szCs w:val="24"/>
              </w:rPr>
              <w:t xml:space="preserve">– Kainų lentelė) ir </w:t>
            </w:r>
            <w:r w:rsidRPr="00325EC3">
              <w:rPr>
                <w:color w:val="000000"/>
                <w:kern w:val="2"/>
                <w:szCs w:val="24"/>
              </w:rPr>
              <w:t>Sutarties priede Nr. 3 „</w:t>
            </w:r>
            <w:r w:rsidRPr="00325EC3">
              <w:rPr>
                <w:kern w:val="2"/>
                <w:szCs w:val="24"/>
              </w:rPr>
              <w:t>Kovo 11-osios Akto salės vaizdo ekranų sistemos komponentų principinė schema“ (toliau – Principinė schema</w:t>
            </w:r>
            <w:r>
              <w:rPr>
                <w:kern w:val="2"/>
                <w:szCs w:val="24"/>
              </w:rPr>
              <w:t>)</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3C234A">
            <w:pPr>
              <w:rPr>
                <w:kern w:val="2"/>
                <w:szCs w:val="24"/>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textAlignment w:val="baseline"/>
              <w:rPr>
                <w:szCs w:val="24"/>
              </w:rPr>
            </w:pPr>
            <w:r w:rsidRPr="0028635E">
              <w:rPr>
                <w:kern w:val="2"/>
                <w:szCs w:val="24"/>
              </w:rPr>
              <w:t xml:space="preserve">Tiekėjas įsipareigoja pristatyti </w:t>
            </w:r>
            <w:r>
              <w:rPr>
                <w:kern w:val="2"/>
                <w:szCs w:val="24"/>
              </w:rPr>
              <w:t>Preke bei suteikti susijusias paslaugas</w:t>
            </w:r>
            <w:r w:rsidRPr="0028635E">
              <w:rPr>
                <w:kern w:val="2"/>
                <w:szCs w:val="24"/>
              </w:rPr>
              <w:t xml:space="preserve"> ne vėliau kaip per </w:t>
            </w:r>
            <w:r w:rsidRPr="0028635E">
              <w:rPr>
                <w:kern w:val="2"/>
                <w:szCs w:val="24"/>
                <w:lang w:val="en-US"/>
              </w:rPr>
              <w:t>9</w:t>
            </w:r>
            <w:r w:rsidRPr="0028635E">
              <w:rPr>
                <w:kern w:val="2"/>
                <w:szCs w:val="24"/>
              </w:rPr>
              <w:t xml:space="preserve">0 (devyniasdešimt) kalendorinių dienų nuo Sutarties įsigaliojimo dienos šiuo adresu: </w:t>
            </w:r>
            <w:r w:rsidRPr="0028635E">
              <w:rPr>
                <w:szCs w:val="24"/>
              </w:rPr>
              <w:t>Gedimino pr. 53, 01109 Vilnius.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sidRPr="0028635E">
              <w:rPr>
                <w:kern w:val="2"/>
                <w:szCs w:val="24"/>
              </w:rPr>
              <w:t>Tiekėjas turi teisę į Prekių pristatymo ir susijusių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10 (dešimt) darbo dienų laikotarpiui.</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232336" w:rsidRDefault="00232336" w:rsidP="00232336">
            <w:pPr>
              <w:rPr>
                <w:kern w:val="2"/>
                <w:szCs w:val="24"/>
              </w:rPr>
            </w:pPr>
            <w:r>
              <w:rPr>
                <w:kern w:val="2"/>
                <w:szCs w:val="24"/>
              </w:rPr>
              <w:t xml:space="preserve">Kartu su Prekėmis ir </w:t>
            </w:r>
            <w:r w:rsidRPr="0028635E">
              <w:rPr>
                <w:kern w:val="2"/>
                <w:szCs w:val="24"/>
              </w:rPr>
              <w:t>Prekių perdavimo-priėmimo aktu</w:t>
            </w:r>
            <w:r>
              <w:rPr>
                <w:kern w:val="2"/>
                <w:szCs w:val="24"/>
              </w:rPr>
              <w:t xml:space="preserve"> </w:t>
            </w:r>
            <w:r w:rsidRPr="0028635E">
              <w:rPr>
                <w:kern w:val="2"/>
                <w:szCs w:val="24"/>
              </w:rPr>
              <w:t>turi būti perduota visa Prekių dokumentacija. Privalo būti perduotos detaliai dokumentuotos panaudotų kabelių, jungimų, signalų komutacijos schemos</w:t>
            </w:r>
            <w:r>
              <w:rPr>
                <w:kern w:val="2"/>
                <w:szCs w:val="24"/>
              </w:rPr>
              <w:t xml:space="preserve">. </w:t>
            </w: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5. SUTARTIES KAINA IR ATSISKAITYMO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rPr>
            </w:pPr>
            <w:r w:rsidRPr="00325EC3">
              <w:rPr>
                <w:kern w:val="2"/>
                <w:szCs w:val="24"/>
              </w:rPr>
              <w:t>Fiksuoto įkainio kainodara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0647E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kern w:val="2"/>
                <w:szCs w:val="24"/>
              </w:rPr>
            </w:pPr>
            <w:r w:rsidRPr="00325EC3">
              <w:rPr>
                <w:kern w:val="2"/>
                <w:szCs w:val="24"/>
              </w:rPr>
              <w:t xml:space="preserve">Pradinės Sutarties vertė yra (................................) </w:t>
            </w:r>
            <w:proofErr w:type="spellStart"/>
            <w:r w:rsidRPr="00325EC3">
              <w:rPr>
                <w:kern w:val="2"/>
                <w:szCs w:val="24"/>
              </w:rPr>
              <w:t>Eur</w:t>
            </w:r>
            <w:proofErr w:type="spellEnd"/>
            <w:r w:rsidRPr="00325EC3">
              <w:rPr>
                <w:kern w:val="2"/>
                <w:szCs w:val="24"/>
              </w:rPr>
              <w:t xml:space="preserve"> (...........................................ct) be PVM. </w:t>
            </w:r>
          </w:p>
          <w:p w:rsidR="00232336" w:rsidRPr="00325EC3" w:rsidRDefault="00232336" w:rsidP="00232336">
            <w:pPr>
              <w:rPr>
                <w:kern w:val="2"/>
                <w:szCs w:val="24"/>
              </w:rPr>
            </w:pPr>
            <w:r w:rsidRPr="00325EC3">
              <w:rPr>
                <w:kern w:val="2"/>
                <w:szCs w:val="24"/>
              </w:rPr>
              <w:t xml:space="preserve">PVM sudaro (.....................................) </w:t>
            </w:r>
            <w:proofErr w:type="spellStart"/>
            <w:r w:rsidRPr="00325EC3">
              <w:rPr>
                <w:kern w:val="2"/>
                <w:szCs w:val="24"/>
              </w:rPr>
              <w:t>Eur</w:t>
            </w:r>
            <w:proofErr w:type="spellEnd"/>
            <w:r w:rsidRPr="00325EC3">
              <w:rPr>
                <w:kern w:val="2"/>
                <w:szCs w:val="24"/>
              </w:rPr>
              <w:t>, (..................................).</w:t>
            </w:r>
          </w:p>
          <w:p w:rsidR="00232336" w:rsidRPr="00325EC3" w:rsidRDefault="00232336" w:rsidP="00232336">
            <w:pPr>
              <w:rPr>
                <w:kern w:val="2"/>
                <w:szCs w:val="24"/>
              </w:rPr>
            </w:pPr>
            <w:r w:rsidRPr="00325EC3">
              <w:rPr>
                <w:kern w:val="2"/>
                <w:szCs w:val="24"/>
              </w:rPr>
              <w:t xml:space="preserve">Sutarties kaina yra (.........................................) </w:t>
            </w:r>
            <w:proofErr w:type="spellStart"/>
            <w:r w:rsidRPr="00325EC3">
              <w:rPr>
                <w:kern w:val="2"/>
                <w:szCs w:val="24"/>
              </w:rPr>
              <w:t>Eur</w:t>
            </w:r>
            <w:proofErr w:type="spellEnd"/>
            <w:r w:rsidRPr="00325EC3">
              <w:rPr>
                <w:kern w:val="2"/>
                <w:szCs w:val="24"/>
              </w:rPr>
              <w:t xml:space="preserve"> (............................) su PVM.</w:t>
            </w:r>
          </w:p>
          <w:p w:rsidR="00232336" w:rsidRPr="00325EC3" w:rsidRDefault="00232336" w:rsidP="00232336">
            <w:pPr>
              <w:rPr>
                <w:kern w:val="2"/>
                <w:szCs w:val="24"/>
              </w:rPr>
            </w:pPr>
          </w:p>
          <w:p w:rsidR="003C234A" w:rsidRDefault="00232336" w:rsidP="00232336">
            <w:pPr>
              <w:rPr>
                <w:color w:val="000000"/>
                <w:kern w:val="2"/>
                <w:szCs w:val="24"/>
              </w:rPr>
            </w:pPr>
            <w:r w:rsidRPr="00325EC3">
              <w:rPr>
                <w:color w:val="000000"/>
                <w:kern w:val="2"/>
                <w:szCs w:val="24"/>
              </w:rPr>
              <w:t xml:space="preserve">Šioje Sutartyje Pradinės Sutarties vertė yra lygi </w:t>
            </w:r>
            <w:r w:rsidRPr="00232336">
              <w:rPr>
                <w:color w:val="000000"/>
                <w:kern w:val="2"/>
                <w:szCs w:val="24"/>
              </w:rPr>
              <w:t>Tiekėjo pasiūlymo kainai be PVM</w:t>
            </w:r>
            <w:r w:rsidRPr="00325EC3">
              <w:rPr>
                <w:color w:val="000000"/>
                <w:kern w:val="2"/>
                <w:szCs w:val="24"/>
              </w:rPr>
              <w:t xml:space="preserve">, apskaičiuotai sudauginus </w:t>
            </w:r>
            <w:r w:rsidRPr="00232336">
              <w:rPr>
                <w:b/>
                <w:color w:val="000000"/>
                <w:kern w:val="2"/>
                <w:szCs w:val="24"/>
              </w:rPr>
              <w:t>maksimalų Prekių ir susijusių paslaugų kiekį</w:t>
            </w:r>
            <w:r w:rsidRPr="00325EC3">
              <w:rPr>
                <w:color w:val="000000"/>
                <w:kern w:val="2"/>
                <w:szCs w:val="24"/>
              </w:rPr>
              <w:t xml:space="preserve"> iš Tiekėjo pasiūlyto įkainio be PVM. Pirkėjas perka Prekes ir susijusias paslaugas pagal poreikį Sutarties priede Nr. 2 nurodytais įkainiais, neviršijant jame nurodyto Prekių ir susijusių paslaugų maksimalaus kiekio.</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0647EA" w:rsidRDefault="00232336" w:rsidP="00232336">
            <w:pPr>
              <w:rPr>
                <w:kern w:val="2"/>
                <w:szCs w:val="24"/>
              </w:rPr>
            </w:pPr>
            <w:r w:rsidRPr="000647EA">
              <w:rPr>
                <w:kern w:val="2"/>
                <w:szCs w:val="24"/>
              </w:rPr>
              <w:t>Sutarties įkainiai bus perskaičiuojami:</w:t>
            </w:r>
          </w:p>
          <w:p w:rsidR="00232336" w:rsidRPr="000647EA" w:rsidRDefault="00232336" w:rsidP="00232336">
            <w:pPr>
              <w:rPr>
                <w:kern w:val="2"/>
                <w:szCs w:val="24"/>
              </w:rPr>
            </w:pPr>
            <w:r w:rsidRPr="000647EA">
              <w:rPr>
                <w:kern w:val="2"/>
                <w:szCs w:val="24"/>
              </w:rPr>
              <w:t>5.3.1. dėl PVM tarifo pasikeitimo;</w:t>
            </w:r>
          </w:p>
          <w:p w:rsidR="00232336" w:rsidRPr="000647EA" w:rsidRDefault="00232336" w:rsidP="00232336">
            <w:pPr>
              <w:rPr>
                <w:kern w:val="2"/>
                <w:szCs w:val="24"/>
              </w:rPr>
            </w:pPr>
            <w:r w:rsidRPr="000647EA">
              <w:rPr>
                <w:kern w:val="2"/>
                <w:szCs w:val="24"/>
              </w:rPr>
              <w:t>5.3.2. netaikoma;</w:t>
            </w:r>
          </w:p>
          <w:p w:rsidR="00232336" w:rsidRPr="000647EA" w:rsidRDefault="00232336" w:rsidP="00232336">
            <w:pPr>
              <w:rPr>
                <w:kern w:val="2"/>
                <w:szCs w:val="24"/>
              </w:rPr>
            </w:pPr>
            <w:r w:rsidRPr="000647EA">
              <w:rPr>
                <w:kern w:val="2"/>
                <w:szCs w:val="24"/>
              </w:rPr>
              <w:t>5.3.3. dėl kainų lygio pokyčio;</w:t>
            </w:r>
          </w:p>
          <w:p w:rsidR="00232336" w:rsidRPr="000647EA" w:rsidRDefault="00232336" w:rsidP="00232336">
            <w:pPr>
              <w:rPr>
                <w:kern w:val="2"/>
              </w:rPr>
            </w:pPr>
            <w:r w:rsidRPr="000647EA">
              <w:rPr>
                <w:kern w:val="2"/>
                <w:szCs w:val="24"/>
              </w:rPr>
              <w:t>5.3.4. 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0647EA">
            <w:pPr>
              <w:rPr>
                <w:kern w:val="2"/>
                <w:szCs w:val="24"/>
              </w:rPr>
            </w:pPr>
            <w:r w:rsidRPr="00EE15E3">
              <w:rPr>
                <w:kern w:val="2"/>
                <w:szCs w:val="24"/>
              </w:rPr>
              <w:t>5.3.3.1. Bet kuri Sutarties Šalis Sutarties galiojimo metu turi teisę inicijuoti Sutarties įkainių peržiūrą (keitimą) ne anksčiau kaip po 2 (dviejų)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rsidR="000647EA" w:rsidRPr="00EE15E3" w:rsidRDefault="000647EA" w:rsidP="000647EA">
            <w:pPr>
              <w:rPr>
                <w:kern w:val="2"/>
                <w:szCs w:val="24"/>
                <w:shd w:val="clear" w:color="auto" w:fill="FFFFFF"/>
              </w:rPr>
            </w:pPr>
            <w:r w:rsidRPr="00EE15E3">
              <w:rPr>
                <w:kern w:val="2"/>
                <w:szCs w:val="24"/>
              </w:rPr>
              <w:t xml:space="preserve">5.3.3.2. Sutarties </w:t>
            </w:r>
            <w:r w:rsidRPr="00EE15E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0647EA" w:rsidRPr="00EE15E3" w:rsidRDefault="000647EA" w:rsidP="000647EA">
            <w:pPr>
              <w:rPr>
                <w:kern w:val="2"/>
                <w:szCs w:val="24"/>
                <w:shd w:val="clear" w:color="auto" w:fill="FFFFFF"/>
              </w:rPr>
            </w:pPr>
            <w:r w:rsidRPr="00EE15E3">
              <w:rPr>
                <w:kern w:val="2"/>
                <w:szCs w:val="24"/>
              </w:rPr>
              <w:t xml:space="preserve">5.3.3.3. </w:t>
            </w:r>
            <w:r w:rsidRPr="00EE15E3">
              <w:rPr>
                <w:kern w:val="2"/>
                <w:szCs w:val="24"/>
                <w:shd w:val="clear" w:color="auto" w:fill="FFFFFF"/>
              </w:rPr>
              <w:t>Jeigu Prekių tiekimas vėluoja dėl Tiekėjo kaltės, uždelstų pristatyti Prekių įkainiai nėra perskaičiuojami dėl kainų lygio kilimo (negali būti didinami).</w:t>
            </w:r>
          </w:p>
          <w:p w:rsidR="000647EA" w:rsidRPr="00EE15E3" w:rsidRDefault="000647EA" w:rsidP="000647EA">
            <w:pPr>
              <w:rPr>
                <w:kern w:val="2"/>
                <w:szCs w:val="24"/>
                <w:shd w:val="clear" w:color="auto" w:fill="FFFFFF"/>
              </w:rPr>
            </w:pPr>
            <w:r w:rsidRPr="00EE15E3">
              <w:rPr>
                <w:kern w:val="2"/>
                <w:szCs w:val="24"/>
              </w:rPr>
              <w:t xml:space="preserve">5.3.3.4. Atlikdamos Sutarties įkainių peržiūrą </w:t>
            </w:r>
            <w:r w:rsidRPr="00EE15E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0647EA" w:rsidRPr="00EE15E3" w:rsidRDefault="000647EA" w:rsidP="000647EA">
            <w:pPr>
              <w:rPr>
                <w:kern w:val="2"/>
                <w:szCs w:val="24"/>
                <w:shd w:val="clear" w:color="auto" w:fill="FFFFFF"/>
              </w:rPr>
            </w:pPr>
            <w:r w:rsidRPr="00EE15E3">
              <w:rPr>
                <w:kern w:val="2"/>
                <w:szCs w:val="24"/>
                <w:shd w:val="clear" w:color="auto" w:fill="FFFFFF"/>
              </w:rPr>
              <w:t>5.3.3.5. Šalys privalo Susitarime nurodyti vartojimo prekių ir paslaugų indekso reikšmę laikotarpio pradžioje ir jo nustatymo datą, šio indekso reikšmę laikotarpio pabaigoje ir jo nustatymo datą, kainų pokytį (k), perskaičiuotus Sutarties įkainius, perskaičiuotą Pradinės Sutarties vertę.</w:t>
            </w:r>
          </w:p>
          <w:p w:rsidR="000647EA" w:rsidRPr="00EE15E3" w:rsidRDefault="000647EA" w:rsidP="000647EA">
            <w:pPr>
              <w:rPr>
                <w:kern w:val="2"/>
                <w:szCs w:val="24"/>
                <w:shd w:val="clear" w:color="auto" w:fill="FFFFFF"/>
              </w:rPr>
            </w:pPr>
            <w:r w:rsidRPr="00EE15E3">
              <w:rPr>
                <w:kern w:val="2"/>
                <w:szCs w:val="24"/>
                <w:shd w:val="clear" w:color="auto" w:fill="FFFFFF"/>
              </w:rPr>
              <w:t>5.3.3.6. Nauji Sutarties įkainiai apskaičiuojami pagal žemiau pateiktą formulę:</w:t>
            </w:r>
          </w:p>
          <w:p w:rsidR="000647EA" w:rsidRPr="00EE15E3" w:rsidRDefault="000647EA" w:rsidP="000647E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EE15E3">
              <w:rPr>
                <w:kern w:val="2"/>
                <w:szCs w:val="24"/>
              </w:rPr>
              <w:t>, kur a –įkainis (Eur be PVM)) (jei peržiūra jau buvo atlikta, tai po paskutinio perskaičiavimo) </w:t>
            </w:r>
          </w:p>
          <w:p w:rsidR="000647EA" w:rsidRPr="00EE15E3" w:rsidRDefault="000647EA" w:rsidP="000647EA">
            <w:pPr>
              <w:jc w:val="both"/>
              <w:textAlignment w:val="baseline"/>
              <w:rPr>
                <w:kern w:val="2"/>
                <w:szCs w:val="24"/>
              </w:rPr>
            </w:pPr>
            <w:r w:rsidRPr="00EE15E3">
              <w:rPr>
                <w:kern w:val="2"/>
                <w:szCs w:val="24"/>
              </w:rPr>
              <w:t>a</w:t>
            </w:r>
            <w:r w:rsidRPr="00EE15E3">
              <w:rPr>
                <w:kern w:val="2"/>
                <w:szCs w:val="24"/>
                <w:vertAlign w:val="subscript"/>
              </w:rPr>
              <w:t>1</w:t>
            </w:r>
            <w:r w:rsidRPr="00EE15E3">
              <w:rPr>
                <w:kern w:val="2"/>
                <w:szCs w:val="24"/>
              </w:rPr>
              <w:t xml:space="preserve"> – perskaičiuotas (pakeistas) įkainis (</w:t>
            </w:r>
            <w:proofErr w:type="spellStart"/>
            <w:r w:rsidRPr="00EE15E3">
              <w:rPr>
                <w:kern w:val="2"/>
                <w:szCs w:val="24"/>
              </w:rPr>
              <w:t>Eur</w:t>
            </w:r>
            <w:proofErr w:type="spellEnd"/>
            <w:r w:rsidRPr="00EE15E3">
              <w:rPr>
                <w:kern w:val="2"/>
                <w:szCs w:val="24"/>
              </w:rPr>
              <w:t xml:space="preserve"> be PVM) </w:t>
            </w:r>
          </w:p>
          <w:p w:rsidR="000647EA" w:rsidRPr="00EE15E3" w:rsidRDefault="000647EA" w:rsidP="000647EA">
            <w:pPr>
              <w:jc w:val="both"/>
              <w:textAlignment w:val="baseline"/>
              <w:rPr>
                <w:kern w:val="2"/>
                <w:szCs w:val="24"/>
              </w:rPr>
            </w:pPr>
            <w:r w:rsidRPr="00EE15E3">
              <w:rPr>
                <w:kern w:val="2"/>
                <w:szCs w:val="24"/>
              </w:rPr>
              <w:t>k – pagal vartotojų kainų indeksą bendras „Vartojimo prekės ir paslaugos“ apskaičiuotas Vartojimo prekių ir paslaugų kainų pokytis (padidėjimas arba sumažėjimas) (%). „k“ reikšmė skaičiuojama pagal formulę:</w:t>
            </w:r>
          </w:p>
          <w:p w:rsidR="000647EA" w:rsidRPr="00EE15E3" w:rsidRDefault="000647EA" w:rsidP="000647E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E15E3">
              <w:rPr>
                <w:kern w:val="2"/>
                <w:szCs w:val="24"/>
              </w:rPr>
              <w:t>, (proc.) kur</w:t>
            </w:r>
          </w:p>
          <w:p w:rsidR="000647EA" w:rsidRPr="00EE15E3" w:rsidRDefault="000647EA" w:rsidP="000647EA">
            <w:pPr>
              <w:jc w:val="both"/>
              <w:textAlignment w:val="baseline"/>
              <w:rPr>
                <w:kern w:val="2"/>
                <w:szCs w:val="24"/>
              </w:rPr>
            </w:pPr>
            <w:proofErr w:type="spellStart"/>
            <w:r w:rsidRPr="00EE15E3">
              <w:rPr>
                <w:kern w:val="2"/>
                <w:szCs w:val="24"/>
              </w:rPr>
              <w:t>Ind</w:t>
            </w:r>
            <w:r w:rsidRPr="00EE15E3">
              <w:rPr>
                <w:kern w:val="2"/>
                <w:szCs w:val="24"/>
                <w:vertAlign w:val="subscript"/>
              </w:rPr>
              <w:t>naujausias</w:t>
            </w:r>
            <w:proofErr w:type="spellEnd"/>
            <w:r w:rsidRPr="00EE15E3">
              <w:rPr>
                <w:kern w:val="2"/>
                <w:szCs w:val="24"/>
              </w:rPr>
              <w:t xml:space="preserve"> – kreipimosi dėl įkainių peržiūros išsiuntimo kitai šaliai dieną paskelbtas naujausias vartojimo prekių ir paslaugų indeksas bendras „Vartojimo prekės ir paslaugos“.</w:t>
            </w:r>
          </w:p>
          <w:p w:rsidR="000647EA" w:rsidRPr="00EE15E3" w:rsidRDefault="000647EA" w:rsidP="000647EA">
            <w:pPr>
              <w:rPr>
                <w:kern w:val="2"/>
                <w:szCs w:val="24"/>
              </w:rPr>
            </w:pPr>
            <w:proofErr w:type="spellStart"/>
            <w:r w:rsidRPr="00EE15E3">
              <w:rPr>
                <w:kern w:val="2"/>
                <w:szCs w:val="24"/>
              </w:rPr>
              <w:t>Ind</w:t>
            </w:r>
            <w:r w:rsidRPr="00EE15E3">
              <w:rPr>
                <w:kern w:val="2"/>
                <w:szCs w:val="24"/>
                <w:vertAlign w:val="subscript"/>
              </w:rPr>
              <w:t>pradžia</w:t>
            </w:r>
            <w:proofErr w:type="spellEnd"/>
            <w:r w:rsidRPr="00EE15E3">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647EA" w:rsidRPr="00EE15E3" w:rsidRDefault="000647EA" w:rsidP="000647EA">
            <w:pPr>
              <w:rPr>
                <w:kern w:val="2"/>
                <w:szCs w:val="24"/>
                <w:shd w:val="clear" w:color="auto" w:fill="FFFFFF"/>
              </w:rPr>
            </w:pPr>
            <w:r w:rsidRPr="00EE15E3">
              <w:rPr>
                <w:kern w:val="2"/>
                <w:szCs w:val="24"/>
              </w:rPr>
              <w:t xml:space="preserve">5.3.3.7. </w:t>
            </w:r>
            <w:r w:rsidRPr="00EE15E3">
              <w:rPr>
                <w:kern w:val="2"/>
                <w:szCs w:val="24"/>
                <w:shd w:val="clear" w:color="auto" w:fill="FFFFFF"/>
              </w:rPr>
              <w:t xml:space="preserve">Skaičiavimams indeksų reikšmės imamos </w:t>
            </w:r>
            <w:r w:rsidRPr="00EE15E3">
              <w:rPr>
                <w:b/>
                <w:bCs/>
                <w:kern w:val="2"/>
                <w:szCs w:val="24"/>
                <w:shd w:val="clear" w:color="auto" w:fill="FFFFFF"/>
              </w:rPr>
              <w:t>keturių</w:t>
            </w:r>
            <w:r w:rsidRPr="00EE15E3">
              <w:rPr>
                <w:kern w:val="2"/>
                <w:szCs w:val="24"/>
                <w:shd w:val="clear" w:color="auto" w:fill="FFFFFF"/>
              </w:rPr>
              <w:t xml:space="preserve"> skaitmenų po kablelio tikslumu. Apskaičiuotas pokytis (k) tolimesniems skaičiavimams naudojamas suapvalinus iki </w:t>
            </w:r>
            <w:r w:rsidRPr="00EE15E3">
              <w:rPr>
                <w:b/>
                <w:bCs/>
                <w:kern w:val="2"/>
                <w:szCs w:val="24"/>
                <w:shd w:val="clear" w:color="auto" w:fill="FFFFFF"/>
              </w:rPr>
              <w:t>vieno</w:t>
            </w:r>
            <w:r w:rsidRPr="00EE15E3">
              <w:rPr>
                <w:kern w:val="2"/>
                <w:szCs w:val="24"/>
                <w:shd w:val="clear" w:color="auto" w:fill="FFFFFF"/>
              </w:rPr>
              <w:t xml:space="preserve"> skaitmens po kablelio, o apskaičiuotas įkainis „a</w:t>
            </w:r>
            <w:r w:rsidRPr="00EE15E3">
              <w:rPr>
                <w:kern w:val="2"/>
                <w:szCs w:val="24"/>
                <w:shd w:val="clear" w:color="auto" w:fill="FFFFFF"/>
                <w:vertAlign w:val="subscript"/>
              </w:rPr>
              <w:t>1</w:t>
            </w:r>
            <w:r w:rsidRPr="00EE15E3">
              <w:rPr>
                <w:kern w:val="2"/>
                <w:szCs w:val="24"/>
                <w:shd w:val="clear" w:color="auto" w:fill="FFFFFF"/>
              </w:rPr>
              <w:t xml:space="preserve">“ suapvalinamas iki </w:t>
            </w:r>
            <w:r w:rsidRPr="00EE15E3">
              <w:rPr>
                <w:b/>
                <w:bCs/>
                <w:kern w:val="2"/>
                <w:szCs w:val="24"/>
                <w:shd w:val="clear" w:color="auto" w:fill="FFFFFF"/>
              </w:rPr>
              <w:t xml:space="preserve">dviejų </w:t>
            </w:r>
            <w:r w:rsidRPr="00EE15E3">
              <w:rPr>
                <w:kern w:val="2"/>
                <w:szCs w:val="24"/>
                <w:shd w:val="clear" w:color="auto" w:fill="FFFFFF"/>
              </w:rPr>
              <w:t>skaitmenų po kablelio.</w:t>
            </w:r>
          </w:p>
          <w:p w:rsidR="000647EA" w:rsidRPr="00EE15E3" w:rsidRDefault="000647EA" w:rsidP="000647EA">
            <w:pPr>
              <w:rPr>
                <w:kern w:val="2"/>
                <w:szCs w:val="24"/>
                <w:shd w:val="clear" w:color="auto" w:fill="FFFFFF"/>
              </w:rPr>
            </w:pPr>
            <w:r w:rsidRPr="00EE15E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E15E3">
              <w:rPr>
                <w:kern w:val="2"/>
                <w:szCs w:val="24"/>
                <w:bdr w:val="none" w:sz="0" w:space="0" w:color="auto" w:frame="1"/>
              </w:rPr>
              <w:t>kitus oficialius šaltinių duomenis</w:t>
            </w:r>
            <w:r w:rsidRPr="00EE15E3">
              <w:rPr>
                <w:kern w:val="2"/>
                <w:szCs w:val="24"/>
                <w:shd w:val="clear" w:color="auto" w:fill="FFFFFF"/>
              </w:rPr>
              <w:t>, kita svarbi informacija. Prašyme Šalis neturi teisės nurodyti kito Indekso ar prašyti perskaičiavimo pagal kitą Indeksą nei nurodytas šioje procedūroje.</w:t>
            </w:r>
          </w:p>
          <w:p w:rsidR="000647EA" w:rsidRPr="00EE15E3" w:rsidRDefault="000647EA" w:rsidP="000647EA">
            <w:pPr>
              <w:rPr>
                <w:kern w:val="2"/>
                <w:szCs w:val="24"/>
                <w:shd w:val="clear" w:color="auto" w:fill="FFFFFF"/>
              </w:rPr>
            </w:pPr>
            <w:r w:rsidRPr="00EE15E3">
              <w:rPr>
                <w:kern w:val="2"/>
                <w:szCs w:val="24"/>
                <w:shd w:val="clear" w:color="auto" w:fill="FFFFFF"/>
              </w:rPr>
              <w:t>5</w:t>
            </w:r>
            <w:r w:rsidRPr="00EE15E3">
              <w:rPr>
                <w:kern w:val="2"/>
                <w:szCs w:val="24"/>
              </w:rPr>
              <w:t xml:space="preserve">.3.3.9. </w:t>
            </w:r>
            <w:r w:rsidRPr="00EE15E3">
              <w:rPr>
                <w:kern w:val="2"/>
                <w:szCs w:val="24"/>
                <w:shd w:val="clear" w:color="auto" w:fill="FFFFFF"/>
              </w:rPr>
              <w:t>Susitarimas turi būti sudarytas per 5 (penkias) darbo dienas nuo Šalies pateikto tinkamo prašymo perskaičiuoti S</w:t>
            </w:r>
            <w:r w:rsidRPr="00EE15E3">
              <w:rPr>
                <w:kern w:val="2"/>
                <w:szCs w:val="24"/>
              </w:rPr>
              <w:t xml:space="preserve">utarties </w:t>
            </w:r>
            <w:r w:rsidRPr="00EE15E3">
              <w:rPr>
                <w:kern w:val="2"/>
                <w:szCs w:val="24"/>
                <w:shd w:val="clear" w:color="auto" w:fill="FFFFFF"/>
              </w:rPr>
              <w:t>įkainius gavimo dienos.</w:t>
            </w:r>
          </w:p>
          <w:p w:rsidR="000647EA" w:rsidRPr="00EE15E3" w:rsidRDefault="000647EA" w:rsidP="000647EA">
            <w:pPr>
              <w:rPr>
                <w:kern w:val="2"/>
                <w:sz w:val="22"/>
                <w:szCs w:val="22"/>
              </w:rPr>
            </w:pPr>
            <w:r w:rsidRPr="00EE15E3">
              <w:rPr>
                <w:kern w:val="2"/>
                <w:szCs w:val="24"/>
                <w:shd w:val="clear" w:color="auto" w:fill="FFFFFF"/>
              </w:rPr>
              <w:t xml:space="preserve">5.3.3.10. </w:t>
            </w:r>
            <w:r w:rsidRPr="00EE15E3">
              <w:rPr>
                <w:kern w:val="2"/>
                <w:szCs w:val="24"/>
                <w:bdr w:val="none" w:sz="0" w:space="0" w:color="auto" w:frame="1"/>
              </w:rPr>
              <w:t>Susitarimu Šalys neturi teisės keisti procedūroje nurodytos tvarkos ar kitų Sutarties nuostatų, išskyrus, jei keitimas atliekamas pagal VPĮ nuostatas.</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EE15E3" w:rsidRPr="00325EC3" w:rsidRDefault="00EE15E3" w:rsidP="00EE15E3">
            <w:pPr>
              <w:rPr>
                <w:kern w:val="2"/>
                <w:szCs w:val="24"/>
              </w:rPr>
            </w:pPr>
            <w:r w:rsidRPr="00325EC3">
              <w:rPr>
                <w:kern w:val="2"/>
                <w:szCs w:val="24"/>
              </w:rPr>
              <w:t>Pirkėjas numato galimybę įsigyti Sutartimi įsigyjamų kainų lentelėje nenurodytų, tačiau su pirkimo objektu susijusių Prekių ir susijusių paslaugų (toliau – Nenumatytos prekės) neviršijant 10 (dešimt) proc. Pradinės Sutarties vertės (jos nedidinant).</w:t>
            </w:r>
          </w:p>
          <w:p w:rsidR="000647EA" w:rsidRDefault="00EE15E3" w:rsidP="00EE15E3">
            <w:pPr>
              <w:rPr>
                <w:kern w:val="2"/>
                <w:szCs w:val="24"/>
              </w:rPr>
            </w:pPr>
            <w:r w:rsidRPr="00325EC3">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sąlygos: pasirašius Prekių perdavimo-priėmimo aktą, mokama už konkretų kiekį pagal nustatytus įkainius.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28635E">
              <w:rPr>
                <w:bCs/>
                <w:kern w:val="2"/>
                <w:szCs w:val="24"/>
              </w:rPr>
              <w:t>ne trumpesnis kaip</w:t>
            </w:r>
            <w:r w:rsidRPr="0028635E">
              <w:rPr>
                <w:szCs w:val="24"/>
                <w:lang w:eastAsia="lt-LT"/>
              </w:rPr>
              <w:t xml:space="preserve"> 36 mėn</w:t>
            </w:r>
            <w:r w:rsidRPr="0028635E">
              <w:rPr>
                <w:kern w:val="2"/>
                <w:szCs w:val="24"/>
              </w:rPr>
              <w:t xml:space="preserve">. (vaizdo signalų keitikliams - ne trumpesnis kaip 24 mėn.). </w:t>
            </w:r>
          </w:p>
          <w:p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3851D3" w:rsidP="001D2C45">
            <w:pPr>
              <w:rPr>
                <w:kern w:val="2"/>
                <w:szCs w:val="24"/>
              </w:rPr>
            </w:pPr>
            <w:r>
              <w:rPr>
                <w:kern w:val="2"/>
                <w:szCs w:val="24"/>
              </w:rPr>
              <w:t xml:space="preserve">6.2.1. </w:t>
            </w:r>
            <w:r w:rsidR="001D2C45" w:rsidRPr="0028635E">
              <w:rPr>
                <w:kern w:val="2"/>
                <w:szCs w:val="24"/>
              </w:rPr>
              <w:t xml:space="preserve">Garantinio termino laikotarpiu Tiekėjas, gavęs pranešimą apie modulinių LED ekranų trūkumus, turi atvykti </w:t>
            </w:r>
            <w:r w:rsidR="001D2C45" w:rsidRPr="0028635E">
              <w:rPr>
                <w:b/>
                <w:bCs/>
                <w:kern w:val="2"/>
                <w:szCs w:val="24"/>
              </w:rPr>
              <w:t>ne vėliau kaip</w:t>
            </w:r>
            <w:r w:rsidR="001D2C45" w:rsidRPr="0028635E">
              <w:rPr>
                <w:kern w:val="2"/>
                <w:szCs w:val="24"/>
              </w:rPr>
              <w:t xml:space="preserve"> per 2 (dvi) darbo valandas nuo pranešimo apie trūkumus Tiekėjui gavimo, jeigu gedimo negalima pašalinti nuotoliniu būdu. </w:t>
            </w:r>
          </w:p>
          <w:p w:rsidR="001D2C45" w:rsidRPr="0028635E" w:rsidRDefault="001D2C45" w:rsidP="001D2C45">
            <w:pPr>
              <w:rPr>
                <w:kern w:val="2"/>
                <w:szCs w:val="24"/>
              </w:rPr>
            </w:pPr>
          </w:p>
          <w:p w:rsidR="001D2C45" w:rsidRPr="0028635E" w:rsidRDefault="003851D3" w:rsidP="001D2C45">
            <w:pPr>
              <w:rPr>
                <w:kern w:val="2"/>
                <w:szCs w:val="24"/>
              </w:rPr>
            </w:pPr>
            <w:r>
              <w:rPr>
                <w:kern w:val="2"/>
                <w:szCs w:val="24"/>
              </w:rPr>
              <w:t xml:space="preserve">6.2.2. </w:t>
            </w:r>
            <w:r w:rsidR="001D2C45" w:rsidRPr="0028635E">
              <w:rPr>
                <w:kern w:val="2"/>
                <w:szCs w:val="24"/>
              </w:rPr>
              <w:t xml:space="preserve">Garantinio termino laikotarpiu Tiekėjas, gavęs pranešimą apie kitų Prekių trūkumus, turi atvykti </w:t>
            </w:r>
            <w:r w:rsidR="001D2C45" w:rsidRPr="0028635E">
              <w:rPr>
                <w:b/>
                <w:bCs/>
                <w:kern w:val="2"/>
                <w:szCs w:val="24"/>
              </w:rPr>
              <w:t>ne vėliau kaip</w:t>
            </w:r>
            <w:r w:rsidR="001D2C45" w:rsidRPr="0028635E">
              <w:rPr>
                <w:kern w:val="2"/>
                <w:szCs w:val="24"/>
              </w:rPr>
              <w:t xml:space="preserve"> per 16 (šešiolika) darbo valandų nuo pranešimo apie trūkumus Tiekėjui gavimo, jeigu gedimo negalima pašalinti nuotoliniu būdu. </w:t>
            </w:r>
          </w:p>
          <w:p w:rsidR="001D2C45" w:rsidRPr="0028635E" w:rsidRDefault="001D2C45" w:rsidP="001D2C45">
            <w:pPr>
              <w:rPr>
                <w:kern w:val="2"/>
                <w:szCs w:val="24"/>
              </w:rPr>
            </w:pPr>
          </w:p>
          <w:p w:rsidR="001D2C45" w:rsidRPr="0028635E" w:rsidRDefault="003851D3" w:rsidP="001D2C45">
            <w:pPr>
              <w:rPr>
                <w:szCs w:val="24"/>
              </w:rPr>
            </w:pPr>
            <w:r>
              <w:rPr>
                <w:szCs w:val="24"/>
              </w:rPr>
              <w:t xml:space="preserve">6.2.3. </w:t>
            </w:r>
            <w:r w:rsidR="001D2C45" w:rsidRPr="0028635E">
              <w:rPr>
                <w:szCs w:val="24"/>
              </w:rPr>
              <w:t xml:space="preserve">Tiekėjas garantuoja, kad garantinės priežiūros laikotarpiu gedimai ar kiti darbo sutrikimai, atsiradę dėl brokuotų detalių, mazgų, kitų dalių ar Prekių gamybos klaidų, bei paaiškėję paslėpti Prekių trūkumai bus šalinami nemokamai arba pakeičiant nekokybiškas ar sugedusias Prekes naujomis. Pakeistos dalys turi būti naujos ir to paties gamintojo, kaip ir perkamos Prekės. </w:t>
            </w:r>
          </w:p>
          <w:p w:rsidR="001D2C45" w:rsidRPr="0028635E" w:rsidRDefault="001D2C45" w:rsidP="001D2C45">
            <w:pPr>
              <w:rPr>
                <w:szCs w:val="24"/>
              </w:rPr>
            </w:pPr>
          </w:p>
          <w:p w:rsidR="001D2C45" w:rsidRPr="0028635E" w:rsidRDefault="003851D3" w:rsidP="001D2C45">
            <w:pPr>
              <w:rPr>
                <w:kern w:val="2"/>
                <w:szCs w:val="24"/>
              </w:rPr>
            </w:pPr>
            <w:r>
              <w:rPr>
                <w:kern w:val="2"/>
                <w:szCs w:val="24"/>
              </w:rPr>
              <w:t xml:space="preserve">6.2.4. </w:t>
            </w:r>
            <w:r w:rsidR="001D2C45" w:rsidRPr="0028635E">
              <w:rPr>
                <w:kern w:val="2"/>
                <w:szCs w:val="24"/>
              </w:rPr>
              <w:t xml:space="preserve">Modulinių LED ekranų </w:t>
            </w:r>
            <w:r w:rsidR="001D2C45" w:rsidRPr="0028635E">
              <w:rPr>
                <w:szCs w:val="24"/>
              </w:rPr>
              <w:t>trūkumų pašalinimo terminas – 4 (keturios) darbo valandos. Jeigu m</w:t>
            </w:r>
            <w:r w:rsidR="001D2C45" w:rsidRPr="0028635E">
              <w:rPr>
                <w:kern w:val="2"/>
                <w:szCs w:val="24"/>
              </w:rPr>
              <w:t xml:space="preserve">odulinių LED ekranų trūkumų negalima pašalinti jų įrengimo vietoje netrikdant Seimo veiklos, susijusios su jų funkcionavimu, </w:t>
            </w:r>
            <w:r w:rsidR="001D2C45" w:rsidRPr="0028635E">
              <w:rPr>
                <w:szCs w:val="24"/>
              </w:rPr>
              <w:t>m</w:t>
            </w:r>
            <w:r w:rsidR="001D2C45" w:rsidRPr="0028635E">
              <w:rPr>
                <w:kern w:val="2"/>
                <w:szCs w:val="24"/>
              </w:rPr>
              <w:t xml:space="preserve">odulinių LED ekranų trūkumai turi būti pašalinti </w:t>
            </w:r>
            <w:r w:rsidR="001D2C45" w:rsidRPr="0028635E">
              <w:rPr>
                <w:szCs w:val="24"/>
              </w:rPr>
              <w:t xml:space="preserve">per 2 (dvi) darbo dienas nuo pretenzijos iš Pirkėjo gavimo dienos. Jeigu </w:t>
            </w:r>
            <w:r w:rsidR="001D2C45" w:rsidRPr="0028635E">
              <w:rPr>
                <w:kern w:val="2"/>
                <w:szCs w:val="24"/>
              </w:rPr>
              <w:t xml:space="preserve">modulinių LED ekranų </w:t>
            </w:r>
            <w:r w:rsidR="001D2C45" w:rsidRPr="0028635E">
              <w:rPr>
                <w:szCs w:val="24"/>
              </w:rPr>
              <w:t xml:space="preserve">trūkumų garantinės priežiūros laikotarpiu Tiekėjas nepašalina per 2 (dvi) darbo dienas nuo pretenzijos iš Pirkėjo gavimo dienos, skaičiuojami delspinigiai, jeigu Tiekėjas remonto laikotarpiui nepateikia lygiaverčių </w:t>
            </w:r>
            <w:r w:rsidR="001D2C45" w:rsidRPr="0028635E">
              <w:rPr>
                <w:kern w:val="2"/>
                <w:szCs w:val="24"/>
              </w:rPr>
              <w:t>modulinių LED ekranų ar jų dalies (-</w:t>
            </w:r>
            <w:proofErr w:type="spellStart"/>
            <w:r w:rsidR="001D2C45" w:rsidRPr="0028635E">
              <w:rPr>
                <w:kern w:val="2"/>
                <w:szCs w:val="24"/>
              </w:rPr>
              <w:t>ių</w:t>
            </w:r>
            <w:proofErr w:type="spellEnd"/>
            <w:r w:rsidR="001D2C45" w:rsidRPr="0028635E">
              <w:rPr>
                <w:kern w:val="2"/>
                <w:szCs w:val="24"/>
              </w:rPr>
              <w:t>) ir (ar) kitu būdu atstatant modulinių LED ekrano funkcionalumą.</w:t>
            </w:r>
          </w:p>
          <w:p w:rsidR="001D2C45" w:rsidRPr="0028635E" w:rsidRDefault="001D2C45" w:rsidP="001D2C45">
            <w:pPr>
              <w:rPr>
                <w:kern w:val="2"/>
                <w:szCs w:val="24"/>
              </w:rPr>
            </w:pPr>
          </w:p>
          <w:p w:rsidR="001D2C45" w:rsidRPr="0028635E" w:rsidRDefault="003851D3" w:rsidP="001D2C45">
            <w:pPr>
              <w:rPr>
                <w:kern w:val="2"/>
                <w:szCs w:val="24"/>
              </w:rPr>
            </w:pPr>
            <w:r>
              <w:rPr>
                <w:szCs w:val="24"/>
              </w:rPr>
              <w:t xml:space="preserve">6.2.5. </w:t>
            </w:r>
            <w:r w:rsidR="001D2C45" w:rsidRPr="0028635E">
              <w:rPr>
                <w:szCs w:val="24"/>
              </w:rPr>
              <w:t xml:space="preserve">Jeigu </w:t>
            </w:r>
            <w:r w:rsidR="001D2C45" w:rsidRPr="0028635E">
              <w:rPr>
                <w:kern w:val="2"/>
                <w:szCs w:val="24"/>
              </w:rPr>
              <w:t xml:space="preserve">kitų Prekių </w:t>
            </w:r>
            <w:r w:rsidR="001D2C45" w:rsidRPr="0028635E">
              <w:rPr>
                <w:szCs w:val="24"/>
              </w:rPr>
              <w:t xml:space="preserve">trūkumų garantinės priežiūros laikotarpiu Tiekėjas nepašalina per 4 (keturias) savaites nuo pretenzijos iš Pirkėjo gavimo dienos, skaičiuojami delspinigiai, jeigu Tiekėjas remonto laikotarpiui nepateikia lygiaverčių </w:t>
            </w:r>
            <w:r w:rsidR="001D2C45" w:rsidRPr="0028635E">
              <w:rPr>
                <w:kern w:val="2"/>
                <w:szCs w:val="24"/>
              </w:rPr>
              <w:t>Prekių</w:t>
            </w:r>
            <w:r w:rsidR="001D2C45" w:rsidRPr="0028635E">
              <w:rPr>
                <w:szCs w:val="24"/>
              </w:rPr>
              <w:t xml:space="preserve">. </w:t>
            </w:r>
          </w:p>
          <w:p w:rsidR="001D2C45" w:rsidRPr="0028635E" w:rsidRDefault="001D2C45" w:rsidP="001D2C45">
            <w:pPr>
              <w:rPr>
                <w:kern w:val="2"/>
                <w:szCs w:val="24"/>
              </w:rPr>
            </w:pPr>
          </w:p>
          <w:p w:rsidR="001D2C45" w:rsidRPr="0028635E" w:rsidRDefault="003851D3" w:rsidP="001D2C45">
            <w:pPr>
              <w:rPr>
                <w:kern w:val="2"/>
                <w:szCs w:val="24"/>
              </w:rPr>
            </w:pPr>
            <w:r>
              <w:rPr>
                <w:kern w:val="2"/>
                <w:szCs w:val="24"/>
              </w:rPr>
              <w:t xml:space="preserve">6.2.6. </w:t>
            </w:r>
            <w:r w:rsidR="001D2C45" w:rsidRPr="0028635E">
              <w:rPr>
                <w:kern w:val="2"/>
                <w:szCs w:val="24"/>
              </w:rPr>
              <w:t>Jeigu Prekės negali būti sutaisytos Pirkėjo patalpose, Prekės paimamos iš Pirkėjo patalpų ir grąžinamos Tiekėjo sąskaita. Prekės išmontuojamos Pirkėjo patalpose ne Seimo posėdžių ar renginių, vykstančių salėje, darbo metu ir remontuojamos autorizuotame servise.</w:t>
            </w:r>
          </w:p>
          <w:p w:rsidR="000647EA" w:rsidRDefault="001D2C45" w:rsidP="001D2C45">
            <w:pPr>
              <w:rPr>
                <w:kern w:val="2"/>
                <w:szCs w:val="24"/>
              </w:rPr>
            </w:pPr>
            <w:r w:rsidRPr="0028635E">
              <w:rPr>
                <w:kern w:val="2"/>
                <w:szCs w:val="24"/>
              </w:rPr>
              <w:t>Kitos Prekių trūkumų nustatymo bei šalinimo reikalavimai nustatyti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DE3609">
            <w:pPr>
              <w:rPr>
                <w:color w:val="000000"/>
                <w:kern w:val="2"/>
                <w:szCs w:val="24"/>
              </w:rPr>
            </w:pPr>
            <w:r w:rsidRPr="00E3522E">
              <w:rPr>
                <w:kern w:val="2"/>
                <w:szCs w:val="24"/>
              </w:rPr>
              <w:t xml:space="preserve">Jei Pirkėjas, gavęs tinkamai pateiktą ir užpildytą Sąskaitą, uždelsia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ir susijusių paslaugų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2A2AD4" w:rsidP="0013213C">
            <w:pPr>
              <w:rPr>
                <w:kern w:val="2"/>
                <w:szCs w:val="24"/>
              </w:rPr>
            </w:pPr>
            <w:r w:rsidRPr="00700617">
              <w:rPr>
                <w:kern w:val="2"/>
                <w:szCs w:val="24"/>
              </w:rPr>
              <w:t>5</w:t>
            </w:r>
            <w:r w:rsidR="00700617">
              <w:rPr>
                <w:kern w:val="2"/>
                <w:szCs w:val="24"/>
              </w:rPr>
              <w:t> </w:t>
            </w:r>
            <w:r w:rsidRPr="00700617">
              <w:rPr>
                <w:kern w:val="2"/>
                <w:szCs w:val="24"/>
              </w:rPr>
              <w:t xml:space="preserve">000,00 </w:t>
            </w:r>
            <w:proofErr w:type="spellStart"/>
            <w:r w:rsidRPr="00700617">
              <w:rPr>
                <w:kern w:val="2"/>
                <w:szCs w:val="24"/>
              </w:rPr>
              <w:t>Eur</w:t>
            </w:r>
            <w:proofErr w:type="spellEnd"/>
            <w:r w:rsidRPr="00700617">
              <w:rPr>
                <w:kern w:val="2"/>
                <w:szCs w:val="24"/>
              </w:rPr>
              <w:t xml:space="preserve"> </w:t>
            </w:r>
            <w:r w:rsidR="0013213C" w:rsidRPr="00700617">
              <w:rPr>
                <w:kern w:val="2"/>
                <w:szCs w:val="24"/>
              </w:rPr>
              <w:t xml:space="preserve">(penkių tūkstančių eurų 00 ct) </w:t>
            </w:r>
            <w:r w:rsidR="000647EA" w:rsidRPr="00700617">
              <w:rPr>
                <w:kern w:val="2"/>
                <w:szCs w:val="24"/>
              </w:rPr>
              <w:t>baud</w:t>
            </w:r>
            <w:r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0647EA" w:rsidP="00700617">
            <w:pPr>
              <w:rPr>
                <w:kern w:val="2"/>
                <w:szCs w:val="24"/>
              </w:rPr>
            </w:pPr>
            <w:r w:rsidRPr="00700617">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700617" w:rsidP="00700617">
            <w:pPr>
              <w:rPr>
                <w:kern w:val="2"/>
                <w:szCs w:val="24"/>
              </w:rPr>
            </w:pPr>
            <w:r w:rsidRPr="000C4EE4">
              <w:rPr>
                <w:kern w:val="2"/>
                <w:szCs w:val="24"/>
              </w:rPr>
              <w:t>2</w:t>
            </w:r>
            <w:r w:rsidRPr="000C4EE4">
              <w:rPr>
                <w:kern w:val="2"/>
                <w:szCs w:val="24"/>
              </w:rPr>
              <w:t xml:space="preserve"> 000,00 </w:t>
            </w:r>
            <w:proofErr w:type="spellStart"/>
            <w:r w:rsidRPr="000C4EE4">
              <w:rPr>
                <w:kern w:val="2"/>
                <w:szCs w:val="24"/>
              </w:rPr>
              <w:t>Eur</w:t>
            </w:r>
            <w:proofErr w:type="spellEnd"/>
            <w:r w:rsidRPr="000C4EE4">
              <w:rPr>
                <w:kern w:val="2"/>
                <w:szCs w:val="24"/>
              </w:rPr>
              <w:t xml:space="preserve"> (</w:t>
            </w:r>
            <w:r w:rsidRPr="000C4EE4">
              <w:rPr>
                <w:kern w:val="2"/>
                <w:szCs w:val="24"/>
              </w:rPr>
              <w:t>dviejų</w:t>
            </w:r>
            <w:r w:rsidRPr="000C4EE4">
              <w:rPr>
                <w:kern w:val="2"/>
                <w:szCs w:val="24"/>
              </w:rPr>
              <w:t xml:space="preserve">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spacing w:line="259" w:lineRule="auto"/>
              <w:rPr>
                <w:kern w:val="2"/>
                <w:szCs w:val="24"/>
              </w:rPr>
            </w:pPr>
            <w:r w:rsidRPr="000C4EE4">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ir susijusių paslaugų suteikimo terminas (Sutarties specialiųjų sąlygų 4.1 p.)</w:t>
            </w:r>
            <w:r w:rsidR="00841261">
              <w:rPr>
                <w:kern w:val="2"/>
                <w:szCs w:val="24"/>
              </w:rPr>
              <w:t>.</w:t>
            </w:r>
          </w:p>
          <w:p w:rsidR="000647EA" w:rsidRPr="0094146B" w:rsidRDefault="001E18B1" w:rsidP="0094146B">
            <w:pPr>
              <w:rPr>
                <w:b/>
                <w:bCs/>
                <w:kern w:val="2"/>
                <w:szCs w:val="24"/>
              </w:rPr>
            </w:pPr>
            <w:r>
              <w:rPr>
                <w:kern w:val="2"/>
                <w:szCs w:val="24"/>
              </w:rPr>
              <w:t xml:space="preserve">10.1.2. </w:t>
            </w:r>
            <w:r w:rsidR="00841261">
              <w:rPr>
                <w:kern w:val="2"/>
                <w:szCs w:val="24"/>
              </w:rPr>
              <w:t>M</w:t>
            </w:r>
            <w:r w:rsidR="003851D3" w:rsidRPr="0094146B">
              <w:rPr>
                <w:kern w:val="2"/>
                <w:szCs w:val="24"/>
              </w:rPr>
              <w:t>odulinių LED ekranų</w:t>
            </w:r>
            <w:r w:rsidR="003851D3" w:rsidRPr="0094146B">
              <w:rPr>
                <w:kern w:val="2"/>
                <w:szCs w:val="24"/>
              </w:rPr>
              <w:t xml:space="preserve"> trūkumų pašalinimo terminas </w:t>
            </w:r>
            <w:r w:rsidR="003851D3" w:rsidRPr="0094146B">
              <w:rPr>
                <w:kern w:val="2"/>
                <w:szCs w:val="24"/>
              </w:rPr>
              <w:t xml:space="preserve">(Sutarties specialiųjų sąlygų </w:t>
            </w:r>
            <w:r w:rsidR="0094146B" w:rsidRPr="0094146B">
              <w:rPr>
                <w:kern w:val="2"/>
                <w:szCs w:val="24"/>
              </w:rPr>
              <w:t xml:space="preserve">6.2.4 </w:t>
            </w:r>
            <w:r w:rsidR="003851D3" w:rsidRPr="0094146B">
              <w:rPr>
                <w:kern w:val="2"/>
                <w:szCs w:val="24"/>
              </w:rPr>
              <w:t>p.)</w:t>
            </w:r>
            <w:r w:rsidR="003851D3" w:rsidRPr="0094146B">
              <w:rPr>
                <w:kern w:val="2"/>
                <w:szCs w:val="24"/>
              </w:rPr>
              <w:t xml:space="preserve">. </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0647EA" w:rsidRPr="001E18B1" w:rsidRDefault="00841261" w:rsidP="000647EA">
            <w:pPr>
              <w:rPr>
                <w:kern w:val="2"/>
                <w:szCs w:val="24"/>
              </w:rPr>
            </w:pPr>
            <w:r w:rsidRPr="001E18B1">
              <w:rPr>
                <w:kern w:val="2"/>
                <w:szCs w:val="24"/>
              </w:rPr>
              <w:t>A</w:t>
            </w:r>
            <w:r w:rsidRPr="001E18B1">
              <w:rPr>
                <w:kern w:val="2"/>
                <w:szCs w:val="24"/>
              </w:rPr>
              <w:t>tvej</w:t>
            </w:r>
            <w:r w:rsidRPr="001E18B1">
              <w:rPr>
                <w:kern w:val="2"/>
                <w:szCs w:val="24"/>
              </w:rPr>
              <w:t>ai</w:t>
            </w:r>
            <w:r w:rsidRPr="001E18B1">
              <w:rPr>
                <w:kern w:val="2"/>
                <w:szCs w:val="24"/>
              </w:rPr>
              <w:t>, kuomet yra laikoma, kad esminė</w:t>
            </w:r>
            <w:r w:rsidRPr="001E18B1">
              <w:rPr>
                <w:kern w:val="2"/>
                <w:szCs w:val="24"/>
              </w:rPr>
              <w:t xml:space="preserve"> </w:t>
            </w:r>
            <w:r w:rsidRPr="001E18B1">
              <w:rPr>
                <w:kern w:val="2"/>
                <w:szCs w:val="24"/>
              </w:rPr>
              <w:t>(-s) Sutarties sąlyga (-</w:t>
            </w:r>
            <w:proofErr w:type="spellStart"/>
            <w:r w:rsidRPr="001E18B1">
              <w:rPr>
                <w:kern w:val="2"/>
                <w:szCs w:val="24"/>
              </w:rPr>
              <w:t>os</w:t>
            </w:r>
            <w:proofErr w:type="spellEnd"/>
            <w:r w:rsidRPr="001E18B1">
              <w:rPr>
                <w:kern w:val="2"/>
                <w:szCs w:val="24"/>
              </w:rPr>
              <w:t>) vykdoma</w:t>
            </w:r>
            <w:r w:rsidRPr="001E18B1">
              <w:rPr>
                <w:kern w:val="2"/>
                <w:szCs w:val="24"/>
              </w:rPr>
              <w:t xml:space="preserve"> </w:t>
            </w:r>
            <w:r w:rsidRPr="001E18B1">
              <w:rPr>
                <w:kern w:val="2"/>
                <w:szCs w:val="24"/>
              </w:rPr>
              <w:t>(-</w:t>
            </w:r>
            <w:proofErr w:type="spellStart"/>
            <w:r w:rsidRPr="001E18B1">
              <w:rPr>
                <w:kern w:val="2"/>
                <w:szCs w:val="24"/>
              </w:rPr>
              <w:t>os</w:t>
            </w:r>
            <w:proofErr w:type="spellEnd"/>
            <w:r w:rsidRPr="001E18B1">
              <w:rPr>
                <w:kern w:val="2"/>
                <w:szCs w:val="24"/>
              </w:rPr>
              <w:t>) su dideliais arba nuolatiniais trūkumais</w:t>
            </w:r>
            <w:r w:rsidRPr="001E18B1">
              <w:rPr>
                <w:kern w:val="2"/>
                <w:szCs w:val="24"/>
              </w:rPr>
              <w:t>:</w:t>
            </w:r>
          </w:p>
          <w:p w:rsidR="00841261" w:rsidRPr="001E18B1" w:rsidRDefault="001E18B1" w:rsidP="000647EA">
            <w:pPr>
              <w:rPr>
                <w:kern w:val="2"/>
                <w:szCs w:val="24"/>
              </w:rPr>
            </w:pPr>
            <w:r>
              <w:rPr>
                <w:kern w:val="2"/>
                <w:szCs w:val="24"/>
              </w:rPr>
              <w:t xml:space="preserve">1) </w:t>
            </w:r>
            <w:r w:rsidRPr="001E18B1">
              <w:rPr>
                <w:kern w:val="2"/>
                <w:szCs w:val="24"/>
              </w:rPr>
              <w:t xml:space="preserve">Tiekėjo uždelsimas pristatyti </w:t>
            </w:r>
            <w:r w:rsidRPr="001E18B1">
              <w:rPr>
                <w:kern w:val="2"/>
                <w:szCs w:val="24"/>
              </w:rPr>
              <w:t>Prek</w:t>
            </w:r>
            <w:r w:rsidRPr="001E18B1">
              <w:rPr>
                <w:kern w:val="2"/>
                <w:szCs w:val="24"/>
              </w:rPr>
              <w:t>es</w:t>
            </w:r>
            <w:r w:rsidRPr="001E18B1">
              <w:rPr>
                <w:kern w:val="2"/>
                <w:szCs w:val="24"/>
              </w:rPr>
              <w:t xml:space="preserve"> ir </w:t>
            </w:r>
            <w:r w:rsidRPr="001E18B1">
              <w:rPr>
                <w:kern w:val="2"/>
                <w:szCs w:val="24"/>
              </w:rPr>
              <w:t xml:space="preserve">suteikti </w:t>
            </w:r>
            <w:r w:rsidRPr="001E18B1">
              <w:rPr>
                <w:kern w:val="2"/>
                <w:szCs w:val="24"/>
              </w:rPr>
              <w:t>susijusi</w:t>
            </w:r>
            <w:r w:rsidRPr="001E18B1">
              <w:rPr>
                <w:kern w:val="2"/>
                <w:szCs w:val="24"/>
              </w:rPr>
              <w:t>as</w:t>
            </w:r>
            <w:r w:rsidRPr="001E18B1">
              <w:rPr>
                <w:kern w:val="2"/>
                <w:szCs w:val="24"/>
              </w:rPr>
              <w:t xml:space="preserve"> paslaug</w:t>
            </w:r>
            <w:r w:rsidRPr="001E18B1">
              <w:rPr>
                <w:kern w:val="2"/>
                <w:szCs w:val="24"/>
              </w:rPr>
              <w:t>as</w:t>
            </w:r>
            <w:r w:rsidRPr="001E18B1">
              <w:rPr>
                <w:kern w:val="2"/>
                <w:szCs w:val="24"/>
              </w:rPr>
              <w:t xml:space="preserve"> (Sutarties specialiųjų sąlygų 4.1 p.)</w:t>
            </w:r>
            <w:r w:rsidRPr="001E18B1">
              <w:rPr>
                <w:kern w:val="2"/>
                <w:szCs w:val="24"/>
              </w:rPr>
              <w:t xml:space="preserve"> ilgiau kaip 10 (dešimt) darbo dienų;</w:t>
            </w:r>
          </w:p>
          <w:p w:rsidR="000647EA" w:rsidRPr="001E18B1" w:rsidRDefault="001E18B1" w:rsidP="001E18B1">
            <w:pPr>
              <w:rPr>
                <w:kern w:val="2"/>
                <w:szCs w:val="24"/>
              </w:rPr>
            </w:pPr>
            <w:r>
              <w:rPr>
                <w:kern w:val="2"/>
                <w:szCs w:val="24"/>
              </w:rPr>
              <w:t xml:space="preserve">2) </w:t>
            </w:r>
            <w:r w:rsidRPr="001E18B1">
              <w:rPr>
                <w:kern w:val="2"/>
                <w:szCs w:val="24"/>
              </w:rPr>
              <w:t xml:space="preserve">Tiekėjo uždelsimas </w:t>
            </w:r>
            <w:r w:rsidRPr="001E18B1">
              <w:rPr>
                <w:kern w:val="2"/>
                <w:szCs w:val="24"/>
              </w:rPr>
              <w:t xml:space="preserve">pašalinti </w:t>
            </w:r>
            <w:r w:rsidRPr="001E18B1">
              <w:rPr>
                <w:kern w:val="2"/>
                <w:szCs w:val="24"/>
              </w:rPr>
              <w:t>Modulinių LED ekranų trūkum</w:t>
            </w:r>
            <w:r w:rsidRPr="001E18B1">
              <w:rPr>
                <w:kern w:val="2"/>
                <w:szCs w:val="24"/>
              </w:rPr>
              <w:t xml:space="preserve">us </w:t>
            </w:r>
            <w:r w:rsidRPr="001E18B1">
              <w:rPr>
                <w:kern w:val="2"/>
                <w:szCs w:val="24"/>
              </w:rPr>
              <w:t xml:space="preserve">(Sutarties specialiųjų sąlygų 6.2.4 p.) ilgiau kaip </w:t>
            </w:r>
            <w:r w:rsidRPr="001E18B1">
              <w:rPr>
                <w:kern w:val="2"/>
                <w:szCs w:val="24"/>
              </w:rPr>
              <w:t>5</w:t>
            </w:r>
            <w:r w:rsidRPr="001E18B1">
              <w:rPr>
                <w:kern w:val="2"/>
                <w:szCs w:val="24"/>
              </w:rPr>
              <w:t xml:space="preserve"> (</w:t>
            </w:r>
            <w:r w:rsidRPr="001E18B1">
              <w:rPr>
                <w:kern w:val="2"/>
                <w:szCs w:val="24"/>
              </w:rPr>
              <w:t>penkias</w:t>
            </w:r>
            <w:r w:rsidRPr="001E18B1">
              <w:rPr>
                <w:kern w:val="2"/>
                <w:szCs w:val="24"/>
              </w:rPr>
              <w:t>) darbo dien</w:t>
            </w:r>
            <w:r w:rsidRPr="001E18B1">
              <w:rPr>
                <w:kern w:val="2"/>
                <w:szCs w:val="24"/>
              </w:rPr>
              <w:t>as.</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B94BE1" w:rsidRPr="00B94BE1" w:rsidRDefault="00B94BE1" w:rsidP="00B94BE1">
            <w:pPr>
              <w:rPr>
                <w:kern w:val="2"/>
                <w:szCs w:val="24"/>
              </w:rPr>
            </w:pPr>
            <w:r w:rsidRPr="00B94BE1">
              <w:rPr>
                <w:kern w:val="2"/>
                <w:szCs w:val="24"/>
              </w:rPr>
              <w:t>Ši Sutartis laikoma sudaryta ir įsigalioja Sutarties pasirašymo dieną (antrosios Šalies pasirašymo dieną).</w:t>
            </w:r>
          </w:p>
          <w:p w:rsidR="000647EA" w:rsidRPr="00B94BE1" w:rsidRDefault="00B94BE1" w:rsidP="00B94BE1">
            <w:pPr>
              <w:rPr>
                <w:kern w:val="2"/>
                <w:szCs w:val="24"/>
              </w:rPr>
            </w:pPr>
            <w:r w:rsidRPr="00B94BE1">
              <w:rPr>
                <w:kern w:val="2"/>
                <w:szCs w:val="24"/>
              </w:rPr>
              <w:t>Sutartis galioja 12 (dvylika) mėnesių.</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w:t>
            </w:r>
            <w:r w:rsidRPr="0000793F">
              <w:rPr>
                <w:kern w:val="2"/>
                <w:szCs w:val="24"/>
              </w:rPr>
              <w:t>2</w:t>
            </w:r>
            <w:r w:rsidRPr="0000793F">
              <w:rPr>
                <w:kern w:val="2"/>
                <w:szCs w:val="24"/>
              </w:rPr>
              <w:t xml:space="preserve">.2.1. </w:t>
            </w:r>
            <w:r w:rsidRPr="0000793F">
              <w:rPr>
                <w:kern w:val="2"/>
                <w:szCs w:val="24"/>
              </w:rPr>
              <w:t xml:space="preserve">jeigu </w:t>
            </w:r>
            <w:r w:rsidRPr="0000793F">
              <w:rPr>
                <w:kern w:val="2"/>
                <w:szCs w:val="24"/>
              </w:rPr>
              <w:t>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w:t>
            </w:r>
            <w:r w:rsidRPr="0000793F">
              <w:rPr>
                <w:rFonts w:eastAsia="Arial"/>
                <w:kern w:val="2"/>
                <w:szCs w:val="24"/>
                <w:lang w:val="lt"/>
              </w:rPr>
              <w:t>2</w:t>
            </w:r>
            <w:r w:rsidRPr="0000793F">
              <w:rPr>
                <w:rFonts w:eastAsia="Arial"/>
                <w:kern w:val="2"/>
                <w:szCs w:val="24"/>
                <w:lang w:val="lt"/>
              </w:rPr>
              <w:t xml:space="preserve">.2.2.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ir susijusių paslaugų suteikimo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Pr="0000793F">
              <w:rPr>
                <w:rFonts w:eastAsia="Arial"/>
                <w:kern w:val="2"/>
                <w:szCs w:val="24"/>
                <w:lang w:val="lt"/>
              </w:rPr>
              <w:t>2</w:t>
            </w:r>
            <w:r w:rsidRPr="0000793F">
              <w:rPr>
                <w:rFonts w:eastAsia="Arial"/>
                <w:kern w:val="2"/>
                <w:szCs w:val="24"/>
                <w:lang w:val="lt"/>
              </w:rPr>
              <w:t xml:space="preserve">.2.5. </w:t>
            </w:r>
            <w:r w:rsidRPr="0000793F">
              <w:rPr>
                <w:kern w:val="2"/>
                <w:szCs w:val="24"/>
              </w:rPr>
              <w:t>jeigu</w:t>
            </w:r>
            <w:r w:rsidRPr="0000793F">
              <w:rPr>
                <w:rFonts w:eastAsia="Arial"/>
                <w:kern w:val="2"/>
                <w:szCs w:val="24"/>
                <w:lang w:val="lt"/>
              </w:rPr>
              <w:t xml:space="preserve"> </w:t>
            </w:r>
            <w:r w:rsidRPr="0000793F">
              <w:rPr>
                <w:rFonts w:eastAsia="Arial"/>
                <w:kern w:val="2"/>
                <w:szCs w:val="24"/>
                <w:lang w:val="lt"/>
              </w:rPr>
              <w:t>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w:t>
            </w:r>
            <w:r w:rsidRPr="0000793F">
              <w:rPr>
                <w:rFonts w:eastAsia="Arial"/>
                <w:kern w:val="2"/>
                <w:szCs w:val="24"/>
              </w:rPr>
              <w:t>8</w:t>
            </w:r>
            <w:r w:rsidRPr="0000793F">
              <w:rPr>
                <w:rFonts w:eastAsia="Arial"/>
                <w:kern w:val="2"/>
                <w:szCs w:val="24"/>
              </w:rPr>
              <w:t>. </w:t>
            </w:r>
            <w:r w:rsidRPr="0000793F">
              <w:rPr>
                <w:kern w:val="2"/>
                <w:szCs w:val="24"/>
              </w:rPr>
              <w:t>jeigu</w:t>
            </w:r>
            <w:r w:rsidRPr="0000793F">
              <w:rPr>
                <w:rFonts w:eastAsia="Arial"/>
                <w:kern w:val="2"/>
                <w:szCs w:val="24"/>
              </w:rPr>
              <w:t xml:space="preserve"> </w:t>
            </w:r>
            <w:r w:rsidRPr="0000793F">
              <w:rPr>
                <w:rFonts w:eastAsia="Arial"/>
                <w:kern w:val="2"/>
                <w:szCs w:val="24"/>
              </w:rPr>
              <w:t>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Sutarties vykdymo metu paaiškėja, kad Tiekėjas ar jo tiekiamos Prekės ir (ar) teikiamos susijusios paslaugos nėra patikimi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w:t>
            </w:r>
            <w:r w:rsidRPr="0000793F">
              <w:rPr>
                <w:rFonts w:eastAsia="Arial"/>
                <w:kern w:val="2"/>
              </w:rPr>
              <w:t>Tiekėjas 2 (du) kartus pa</w:t>
            </w:r>
            <w:r w:rsidRPr="0000793F">
              <w:rPr>
                <w:rFonts w:eastAsia="Arial"/>
                <w:kern w:val="2"/>
              </w:rPr>
              <w:t>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Pr="0000793F">
              <w:rPr>
                <w:rFonts w:eastAsia="Arial"/>
                <w:kern w:val="2"/>
                <w:szCs w:val="24"/>
              </w:rPr>
              <w:t>.2.9.</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rsidR="000647EA" w:rsidRPr="009139D9" w:rsidRDefault="001F2DFC" w:rsidP="000647EA">
            <w:pPr>
              <w:rPr>
                <w:b/>
                <w:bCs/>
                <w:kern w:val="2"/>
                <w:szCs w:val="24"/>
              </w:rPr>
            </w:pPr>
            <w:r w:rsidRPr="009139D9">
              <w:rPr>
                <w:kern w:val="2"/>
                <w:szCs w:val="24"/>
                <w:shd w:val="clear" w:color="auto" w:fill="FFFFFF"/>
              </w:rPr>
              <w:t xml:space="preserve">Aplinkosauginiai kriterijai Prekėms nustatomi vadovaujantis </w:t>
            </w:r>
            <w:r w:rsidRPr="009139D9">
              <w:rPr>
                <w:kern w:val="2"/>
                <w:szCs w:val="24"/>
              </w:rPr>
              <w:t>Aplinkos apsaugos kriterijų taikymo, vykdant žaliuosius pirkimus, tvarkos aprašo, patvirtinto 2011 m. birželio 28 d. įsakymu D1-508</w:t>
            </w:r>
            <w:r w:rsidRPr="009139D9">
              <w:rPr>
                <w:kern w:val="2"/>
                <w:szCs w:val="24"/>
                <w:shd w:val="clear" w:color="auto" w:fill="FFFFFF"/>
              </w:rPr>
              <w:t xml:space="preserve"> „Dėl Aplinkos apsaugos kriterijų taikymo, vykdant žaliuosius pirkimus, tvarkos aprašo patvirtinimo“ (toliau – Tvarkos aprašas) 4.4.4 papunkčiu.</w:t>
            </w:r>
            <w:r w:rsidRPr="009139D9">
              <w:rPr>
                <w:kern w:val="2"/>
                <w:szCs w:val="24"/>
              </w:rPr>
              <w:t> </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 xml:space="preserve">14. BENDRŲJŲ SĄLYGŲ PAKEITIMAI IR PAPILDYMAI </w:t>
            </w:r>
          </w:p>
          <w:p w:rsidR="000647EA" w:rsidRDefault="000647EA" w:rsidP="000647EA">
            <w:pPr>
              <w:jc w:val="center"/>
              <w:rPr>
                <w:kern w:val="2"/>
                <w:szCs w:val="24"/>
              </w:rPr>
            </w:pPr>
            <w:r>
              <w:rPr>
                <w:kern w:val="2"/>
                <w:szCs w:val="24"/>
              </w:rPr>
              <w:t xml:space="preserve">(jeigu būtina dėl konkretaus Sutarties dalyko specifikos) </w:t>
            </w:r>
          </w:p>
        </w:tc>
      </w:tr>
      <w:tr w:rsidR="000647EA" w:rsidTr="001E18B1">
        <w:trPr>
          <w:trHeight w:val="300"/>
        </w:trPr>
        <w:tc>
          <w:tcPr>
            <w:tcW w:w="3272" w:type="dxa"/>
          </w:tcPr>
          <w:p w:rsidR="000647EA" w:rsidRDefault="000647EA" w:rsidP="000647EA">
            <w:pPr>
              <w:rPr>
                <w:b/>
                <w:bCs/>
                <w:kern w:val="2"/>
                <w:szCs w:val="24"/>
              </w:rPr>
            </w:pPr>
            <w:r>
              <w:rPr>
                <w:b/>
                <w:bCs/>
                <w:kern w:val="2"/>
                <w:szCs w:val="24"/>
              </w:rPr>
              <w:t xml:space="preserve">14.1. </w:t>
            </w:r>
          </w:p>
        </w:tc>
        <w:tc>
          <w:tcPr>
            <w:tcW w:w="7360" w:type="dxa"/>
            <w:gridSpan w:val="4"/>
          </w:tcPr>
          <w:p w:rsidR="009139D9" w:rsidRPr="00AB4E41" w:rsidRDefault="009139D9" w:rsidP="009139D9">
            <w:pPr>
              <w:rPr>
                <w:kern w:val="2"/>
                <w:sz w:val="23"/>
                <w:szCs w:val="23"/>
              </w:rPr>
            </w:pPr>
            <w:r w:rsidRPr="00AB4E41">
              <w:rPr>
                <w:kern w:val="2"/>
                <w:sz w:val="23"/>
                <w:szCs w:val="23"/>
              </w:rPr>
              <w:t>Šalys susitaria pakeisti nurodyt</w:t>
            </w:r>
            <w:r w:rsidR="000024E9" w:rsidRPr="00AB4E41">
              <w:rPr>
                <w:kern w:val="2"/>
                <w:sz w:val="23"/>
                <w:szCs w:val="23"/>
              </w:rPr>
              <w:t>us</w:t>
            </w:r>
            <w:r w:rsidRPr="00AB4E41">
              <w:rPr>
                <w:kern w:val="2"/>
                <w:sz w:val="23"/>
                <w:szCs w:val="23"/>
              </w:rPr>
              <w:t xml:space="preserve"> Sutarties Bendrųjų sąlygų punkt</w:t>
            </w:r>
            <w:r w:rsidR="000024E9" w:rsidRPr="00AB4E41">
              <w:rPr>
                <w:kern w:val="2"/>
                <w:sz w:val="23"/>
                <w:szCs w:val="23"/>
              </w:rPr>
              <w:t>us</w:t>
            </w:r>
            <w:r w:rsidRPr="00AB4E41">
              <w:rPr>
                <w:kern w:val="2"/>
                <w:sz w:val="23"/>
                <w:szCs w:val="23"/>
              </w:rPr>
              <w:t xml:space="preserve"> ir išdėstyti j</w:t>
            </w:r>
            <w:r w:rsidR="000024E9" w:rsidRPr="00AB4E41">
              <w:rPr>
                <w:kern w:val="2"/>
                <w:sz w:val="23"/>
                <w:szCs w:val="23"/>
              </w:rPr>
              <w:t>uos</w:t>
            </w:r>
            <w:r w:rsidRPr="00AB4E41">
              <w:rPr>
                <w:kern w:val="2"/>
                <w:sz w:val="23"/>
                <w:szCs w:val="23"/>
              </w:rPr>
              <w:t xml:space="preserve"> nauja redakcija: </w:t>
            </w:r>
          </w:p>
          <w:p w:rsidR="000647EA" w:rsidRPr="00AB4E41" w:rsidRDefault="009139D9" w:rsidP="009139D9">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024E9" w:rsidRPr="00AB4E41" w:rsidRDefault="000024E9" w:rsidP="009139D9">
            <w:pPr>
              <w:rPr>
                <w:kern w:val="2"/>
                <w:sz w:val="23"/>
                <w:szCs w:val="23"/>
              </w:rPr>
            </w:pPr>
            <w:r w:rsidRPr="00AB4E41">
              <w:rPr>
                <w:b/>
                <w:kern w:val="2"/>
                <w:sz w:val="23"/>
                <w:szCs w:val="23"/>
              </w:rPr>
              <w:t>14.2.</w:t>
            </w:r>
            <w:r w:rsidRPr="00AB4E41">
              <w:rPr>
                <w:rStyle w:val="FontStyle12"/>
                <w:sz w:val="23"/>
                <w:szCs w:val="23"/>
              </w:rPr>
              <w:t xml:space="preserve"> Šalys asmens duomenis saugo ne ilgiau kaip 10 (dešimt) metų (pasibaigus Sutarčiai). Nebereikalingi asmens duomenys sunaikinami.</w:t>
            </w:r>
          </w:p>
        </w:tc>
      </w:tr>
      <w:tr w:rsidR="000647EA" w:rsidTr="001E18B1">
        <w:trPr>
          <w:trHeight w:val="300"/>
        </w:trPr>
        <w:tc>
          <w:tcPr>
            <w:tcW w:w="3272" w:type="dxa"/>
          </w:tcPr>
          <w:p w:rsidR="000647EA" w:rsidRDefault="000647EA" w:rsidP="000647EA">
            <w:pPr>
              <w:rPr>
                <w:b/>
                <w:bCs/>
                <w:kern w:val="2"/>
                <w:szCs w:val="24"/>
              </w:rPr>
            </w:pPr>
            <w:r>
              <w:rPr>
                <w:b/>
                <w:bCs/>
                <w:kern w:val="2"/>
                <w:szCs w:val="24"/>
              </w:rPr>
              <w:t>14.2.</w:t>
            </w:r>
          </w:p>
        </w:tc>
        <w:tc>
          <w:tcPr>
            <w:tcW w:w="7360" w:type="dxa"/>
            <w:gridSpan w:val="4"/>
          </w:tcPr>
          <w:p w:rsidR="000024E9" w:rsidRPr="00AB4E41" w:rsidRDefault="000647EA" w:rsidP="000647EA">
            <w:pPr>
              <w:rPr>
                <w:kern w:val="2"/>
                <w:sz w:val="23"/>
                <w:szCs w:val="23"/>
              </w:rPr>
            </w:pPr>
            <w:r w:rsidRPr="00AB4E41">
              <w:rPr>
                <w:kern w:val="2"/>
                <w:sz w:val="23"/>
                <w:szCs w:val="23"/>
              </w:rPr>
              <w:t>Šalys susitaria papildyti Sutarties Bendrąsias sąlygas nurodyt</w:t>
            </w:r>
            <w:r w:rsidR="000024E9" w:rsidRPr="00AB4E41">
              <w:rPr>
                <w:kern w:val="2"/>
                <w:sz w:val="23"/>
                <w:szCs w:val="23"/>
              </w:rPr>
              <w:t>ais</w:t>
            </w:r>
            <w:r w:rsidRPr="00AB4E41">
              <w:rPr>
                <w:kern w:val="2"/>
                <w:sz w:val="23"/>
                <w:szCs w:val="23"/>
              </w:rPr>
              <w:t xml:space="preserve"> punkt</w:t>
            </w:r>
            <w:r w:rsidR="000024E9" w:rsidRPr="00AB4E41">
              <w:rPr>
                <w:kern w:val="2"/>
                <w:sz w:val="23"/>
                <w:szCs w:val="23"/>
              </w:rPr>
              <w:t>ais</w:t>
            </w:r>
            <w:r w:rsidRPr="00AB4E41">
              <w:rPr>
                <w:kern w:val="2"/>
                <w:sz w:val="23"/>
                <w:szCs w:val="23"/>
              </w:rPr>
              <w:t xml:space="preserve">, tačiau kitų punktų numeracijos nekeisti: </w:t>
            </w:r>
          </w:p>
          <w:p w:rsidR="000024E9" w:rsidRPr="00AB4E41" w:rsidRDefault="000024E9" w:rsidP="000647EA">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rsidR="000024E9" w:rsidRPr="00AB4E41" w:rsidRDefault="000024E9" w:rsidP="000647EA">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rsidR="000647EA" w:rsidRPr="00AB4E41" w:rsidRDefault="000024E9" w:rsidP="000024E9">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1E18B1" w:rsidRPr="000024E9" w:rsidTr="001E18B1">
        <w:trPr>
          <w:trHeight w:val="300"/>
        </w:trPr>
        <w:tc>
          <w:tcPr>
            <w:tcW w:w="3272" w:type="dxa"/>
          </w:tcPr>
          <w:p w:rsidR="000647EA" w:rsidRPr="000024E9" w:rsidRDefault="000647EA" w:rsidP="00AB4E41">
            <w:pPr>
              <w:rPr>
                <w:b/>
                <w:bCs/>
                <w:kern w:val="2"/>
                <w:szCs w:val="24"/>
              </w:rPr>
            </w:pPr>
            <w:r w:rsidRPr="000024E9">
              <w:rPr>
                <w:b/>
                <w:bCs/>
                <w:kern w:val="2"/>
                <w:szCs w:val="24"/>
              </w:rPr>
              <w:t>14.</w:t>
            </w:r>
            <w:r w:rsidR="00AB4E41">
              <w:rPr>
                <w:b/>
                <w:bCs/>
                <w:kern w:val="2"/>
                <w:szCs w:val="24"/>
              </w:rPr>
              <w:t>3</w:t>
            </w:r>
            <w:r w:rsidRPr="000024E9">
              <w:rPr>
                <w:b/>
                <w:bCs/>
                <w:kern w:val="2"/>
                <w:szCs w:val="24"/>
              </w:rPr>
              <w:t>.</w:t>
            </w:r>
          </w:p>
        </w:tc>
        <w:tc>
          <w:tcPr>
            <w:tcW w:w="7360" w:type="dxa"/>
            <w:gridSpan w:val="4"/>
          </w:tcPr>
          <w:p w:rsidR="000647EA" w:rsidRPr="00AB4E41" w:rsidRDefault="000647EA" w:rsidP="000647E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15. SUTARTIES PRIEDAI</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15.1. Priedas Nr. 1</w:t>
            </w:r>
          </w:p>
        </w:tc>
        <w:tc>
          <w:tcPr>
            <w:tcW w:w="7360" w:type="dxa"/>
            <w:gridSpan w:val="4"/>
          </w:tcPr>
          <w:p w:rsidR="000024E9" w:rsidRPr="00E247AE" w:rsidRDefault="000024E9" w:rsidP="000024E9">
            <w:pPr>
              <w:rPr>
                <w:b/>
                <w:bCs/>
                <w:kern w:val="2"/>
                <w:szCs w:val="24"/>
              </w:rPr>
            </w:pPr>
            <w:r w:rsidRPr="00E247AE">
              <w:rPr>
                <w:b/>
                <w:bCs/>
                <w:kern w:val="2"/>
                <w:szCs w:val="24"/>
              </w:rPr>
              <w:t>Techninė specifikacija</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15.2. Priedas Nr. 2</w:t>
            </w:r>
          </w:p>
        </w:tc>
        <w:tc>
          <w:tcPr>
            <w:tcW w:w="7360" w:type="dxa"/>
            <w:gridSpan w:val="4"/>
          </w:tcPr>
          <w:p w:rsidR="000024E9" w:rsidRPr="00E247AE" w:rsidRDefault="000024E9" w:rsidP="000024E9">
            <w:pPr>
              <w:rPr>
                <w:b/>
                <w:bCs/>
                <w:kern w:val="2"/>
                <w:szCs w:val="24"/>
              </w:rPr>
            </w:pPr>
            <w:r w:rsidRPr="00E247AE">
              <w:rPr>
                <w:b/>
                <w:bCs/>
                <w:kern w:val="2"/>
                <w:szCs w:val="24"/>
              </w:rPr>
              <w:t>Kainų lentelė</w:t>
            </w:r>
          </w:p>
        </w:tc>
      </w:tr>
      <w:tr w:rsidR="000024E9" w:rsidTr="001E18B1">
        <w:trPr>
          <w:trHeight w:val="300"/>
        </w:trPr>
        <w:tc>
          <w:tcPr>
            <w:tcW w:w="3272" w:type="dxa"/>
          </w:tcPr>
          <w:p w:rsidR="000024E9" w:rsidRDefault="000024E9" w:rsidP="000024E9">
            <w:pPr>
              <w:jc w:val="center"/>
              <w:rPr>
                <w:b/>
                <w:bCs/>
                <w:kern w:val="2"/>
                <w:szCs w:val="24"/>
              </w:rPr>
            </w:pPr>
            <w:r>
              <w:rPr>
                <w:b/>
                <w:bCs/>
                <w:kern w:val="2"/>
                <w:szCs w:val="24"/>
              </w:rPr>
              <w:t>15.3. Priedas Nr. 3</w:t>
            </w:r>
          </w:p>
        </w:tc>
        <w:tc>
          <w:tcPr>
            <w:tcW w:w="7360" w:type="dxa"/>
            <w:gridSpan w:val="4"/>
          </w:tcPr>
          <w:p w:rsidR="000024E9" w:rsidRPr="00E247AE" w:rsidRDefault="000024E9" w:rsidP="000024E9">
            <w:pPr>
              <w:rPr>
                <w:b/>
                <w:bCs/>
                <w:kern w:val="2"/>
                <w:szCs w:val="24"/>
              </w:rPr>
            </w:pPr>
            <w:r w:rsidRPr="00E247AE">
              <w:rPr>
                <w:b/>
                <w:bCs/>
                <w:kern w:val="2"/>
                <w:szCs w:val="24"/>
              </w:rPr>
              <w:t>Principinė schema</w:t>
            </w:r>
          </w:p>
        </w:tc>
      </w:tr>
      <w:tr w:rsidR="000024E9" w:rsidTr="00232336">
        <w:tc>
          <w:tcPr>
            <w:tcW w:w="10632" w:type="dxa"/>
            <w:gridSpan w:val="5"/>
          </w:tcPr>
          <w:p w:rsidR="000024E9" w:rsidRDefault="000024E9" w:rsidP="000024E9">
            <w:pPr>
              <w:jc w:val="center"/>
              <w:rPr>
                <w:b/>
                <w:bCs/>
                <w:kern w:val="2"/>
                <w:szCs w:val="24"/>
              </w:rPr>
            </w:pPr>
            <w:r>
              <w:rPr>
                <w:b/>
                <w:bCs/>
                <w:kern w:val="2"/>
                <w:szCs w:val="24"/>
              </w:rPr>
              <w:t>16. ŠALIŲ ATSTOVŲ PARAŠAI</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b/>
                <w:bCs/>
                <w:kern w:val="2"/>
                <w:szCs w:val="24"/>
              </w:rPr>
              <w:t>TIEKĖJAS</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kern w:val="2"/>
                <w:szCs w:val="24"/>
              </w:rPr>
            </w:pPr>
            <w:r>
              <w:rPr>
                <w:color w:val="4472C4"/>
                <w:kern w:val="2"/>
                <w:szCs w:val="24"/>
              </w:rPr>
              <w:t>(nurodomos atstovo pareigos, vardas, pavardė)</w:t>
            </w:r>
          </w:p>
        </w:tc>
      </w:tr>
      <w:tr w:rsidR="000024E9" w:rsidTr="00232336">
        <w:tc>
          <w:tcPr>
            <w:tcW w:w="5359" w:type="dxa"/>
            <w:gridSpan w:val="3"/>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p w:rsidR="000024E9" w:rsidRDefault="000024E9" w:rsidP="000024E9">
            <w:pPr>
              <w:jc w:val="center"/>
              <w:rPr>
                <w:b/>
                <w:bCs/>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0024E9" w:rsidRDefault="000024E9" w:rsidP="000024E9">
            <w:pPr>
              <w:jc w:val="center"/>
              <w:rPr>
                <w:b/>
                <w:bCs/>
                <w:color w:val="4472C4"/>
                <w:kern w:val="2"/>
                <w:szCs w:val="24"/>
              </w:rPr>
            </w:pPr>
          </w:p>
          <w:p w:rsidR="000024E9" w:rsidRDefault="000024E9" w:rsidP="000024E9">
            <w:pPr>
              <w:jc w:val="center"/>
              <w:rPr>
                <w:b/>
                <w:bCs/>
                <w:color w:val="4472C4"/>
                <w:kern w:val="2"/>
                <w:szCs w:val="24"/>
              </w:rPr>
            </w:pPr>
            <w:r>
              <w:rPr>
                <w:b/>
                <w:bCs/>
                <w:color w:val="4472C4"/>
                <w:kern w:val="2"/>
                <w:szCs w:val="24"/>
              </w:rPr>
              <w:t>(parašas)</w:t>
            </w: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3C234A" w:rsidRDefault="00232336" w:rsidP="00AB4E41">
      <w:pPr>
        <w:jc w:val="center"/>
      </w:pPr>
      <w:r>
        <w:rPr>
          <w:color w:val="000000"/>
          <w:szCs w:val="24"/>
        </w:rPr>
        <w:t>_______________</w:t>
      </w:r>
      <w:bookmarkStart w:id="0" w:name="_GoBack"/>
      <w:bookmarkEnd w:id="0"/>
    </w:p>
    <w:sectPr w:rsidR="003C234A" w:rsidSect="00232336">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36" w:rsidRDefault="00232336">
      <w:r>
        <w:separator/>
      </w:r>
    </w:p>
  </w:endnote>
  <w:endnote w:type="continuationSeparator" w:id="0">
    <w:p w:rsidR="00232336" w:rsidRDefault="0023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36" w:rsidRDefault="00232336">
      <w:r>
        <w:separator/>
      </w:r>
    </w:p>
  </w:footnote>
  <w:footnote w:type="continuationSeparator" w:id="0">
    <w:p w:rsidR="00232336" w:rsidRDefault="0023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36" w:rsidRDefault="0023233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47EA"/>
    <w:rsid w:val="000C4EE4"/>
    <w:rsid w:val="0013213C"/>
    <w:rsid w:val="00143B38"/>
    <w:rsid w:val="001D2C45"/>
    <w:rsid w:val="001E18B1"/>
    <w:rsid w:val="001F2DFC"/>
    <w:rsid w:val="00232336"/>
    <w:rsid w:val="002A2AD4"/>
    <w:rsid w:val="002C4E3E"/>
    <w:rsid w:val="002F0B5F"/>
    <w:rsid w:val="00382E81"/>
    <w:rsid w:val="003851D3"/>
    <w:rsid w:val="003C234A"/>
    <w:rsid w:val="004766E5"/>
    <w:rsid w:val="00700617"/>
    <w:rsid w:val="00807A29"/>
    <w:rsid w:val="00841261"/>
    <w:rsid w:val="009139D9"/>
    <w:rsid w:val="0094146B"/>
    <w:rsid w:val="00AB4E41"/>
    <w:rsid w:val="00B94BE1"/>
    <w:rsid w:val="00CF0884"/>
    <w:rsid w:val="00DE3609"/>
    <w:rsid w:val="00E01EEE"/>
    <w:rsid w:val="00EE1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7B7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taras.siauciulis@lr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16630</Words>
  <Characters>9480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PUTIATINIENĖ Jūratė</cp:lastModifiedBy>
  <cp:revision>2</cp:revision>
  <dcterms:created xsi:type="dcterms:W3CDTF">2025-05-01T12:20:00Z</dcterms:created>
  <dcterms:modified xsi:type="dcterms:W3CDTF">2025-05-01T12:20:00Z</dcterms:modified>
</cp:coreProperties>
</file>