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6D2022" w14:paraId="3C49D449" w14:textId="77777777" w:rsidTr="00896852">
        <w:tc>
          <w:tcPr>
            <w:tcW w:w="2835" w:type="dxa"/>
          </w:tcPr>
          <w:p w14:paraId="067E748C" w14:textId="77777777" w:rsidR="006D2022" w:rsidRDefault="006D2022" w:rsidP="00896852">
            <w:pPr>
              <w:widowControl w:val="0"/>
            </w:pPr>
            <w:r>
              <w:br w:type="page"/>
            </w:r>
            <w:r>
              <w:br w:type="page"/>
            </w:r>
            <w:r>
              <w:br w:type="page"/>
            </w:r>
            <w:r>
              <w:br w:type="page"/>
            </w:r>
            <w:r>
              <w:br w:type="page"/>
              <w:t>Konkurso sąlygų aprašo</w:t>
            </w:r>
          </w:p>
        </w:tc>
      </w:tr>
      <w:tr w:rsidR="006D2022" w14:paraId="7B64F18D" w14:textId="77777777" w:rsidTr="00896852">
        <w:tc>
          <w:tcPr>
            <w:tcW w:w="2835" w:type="dxa"/>
          </w:tcPr>
          <w:p w14:paraId="7761BB8C" w14:textId="7E3F4587" w:rsidR="006D2022" w:rsidRDefault="00163663" w:rsidP="00896852">
            <w:pPr>
              <w:widowControl w:val="0"/>
            </w:pPr>
            <w:r>
              <w:t>4</w:t>
            </w:r>
            <w:r w:rsidR="006D2022" w:rsidRPr="00AB6A68">
              <w:t xml:space="preserve"> priedas</w:t>
            </w:r>
          </w:p>
        </w:tc>
      </w:tr>
    </w:tbl>
    <w:p w14:paraId="6A93ACA0" w14:textId="4B2B4AD9" w:rsidR="006D2022" w:rsidRDefault="006D2022" w:rsidP="006D2022">
      <w:pPr>
        <w:tabs>
          <w:tab w:val="left" w:pos="7182"/>
        </w:tabs>
        <w:rPr>
          <w:rFonts w:eastAsia="Calibri"/>
          <w:b/>
        </w:rPr>
      </w:pPr>
      <w:r>
        <w:rPr>
          <w:rFonts w:eastAsia="Calibri"/>
          <w:b/>
        </w:rPr>
        <w:tab/>
        <w:t xml:space="preserve">(sutarties  </w:t>
      </w:r>
      <w:r w:rsidR="009E6C4A">
        <w:rPr>
          <w:rFonts w:eastAsia="Calibri"/>
          <w:b/>
        </w:rPr>
        <w:t>2</w:t>
      </w:r>
      <w:r>
        <w:rPr>
          <w:rFonts w:eastAsia="Calibri"/>
          <w:b/>
        </w:rPr>
        <w:t xml:space="preserve"> priedas) </w:t>
      </w:r>
    </w:p>
    <w:p w14:paraId="3E526073" w14:textId="77777777" w:rsidR="006D2022" w:rsidRDefault="006D2022" w:rsidP="006D2022">
      <w:pPr>
        <w:jc w:val="center"/>
        <w:rPr>
          <w:b/>
          <w:sz w:val="28"/>
          <w:szCs w:val="28"/>
        </w:rPr>
      </w:pPr>
    </w:p>
    <w:p w14:paraId="794AEBF3" w14:textId="77777777" w:rsidR="006D2022" w:rsidRPr="00FC7827" w:rsidRDefault="006D2022" w:rsidP="006D2022">
      <w:pPr>
        <w:pStyle w:val="Pagrindinistekstas"/>
        <w:spacing w:line="276" w:lineRule="auto"/>
        <w:rPr>
          <w:rFonts w:ascii="Times New Roman" w:hAnsi="Times New Roman"/>
          <w:szCs w:val="24"/>
        </w:rPr>
      </w:pPr>
    </w:p>
    <w:p w14:paraId="4A4AB0C1" w14:textId="1CD31F09" w:rsidR="006D2022" w:rsidRPr="00FC7827" w:rsidRDefault="008B1812" w:rsidP="008B1812">
      <w:pPr>
        <w:pStyle w:val="Pagrindinistekstas"/>
        <w:spacing w:line="276" w:lineRule="auto"/>
        <w:jc w:val="center"/>
        <w:rPr>
          <w:rFonts w:ascii="Times New Roman" w:hAnsi="Times New Roman"/>
          <w:b/>
          <w:bCs/>
          <w:szCs w:val="24"/>
        </w:rPr>
      </w:pPr>
      <w:bookmarkStart w:id="0" w:name="_Hlk196827337"/>
      <w:r w:rsidRPr="00FC7827">
        <w:rPr>
          <w:rFonts w:ascii="Times New Roman" w:eastAsia="Times New Roman" w:hAnsi="Times New Roman"/>
          <w:b/>
          <w:bCs/>
          <w:szCs w:val="24"/>
        </w:rPr>
        <w:t>I PIRKIMO DALIES – KLAIPĖDOS ,,SMELTĖS“ PROGIMNAZIJOS, ESANČIOS ADRESU REIKJAVIKO G. 17, KLAIPĖDA, TŪM FABLAB DIRBTUVIŲ, MAŽOSIOS SPORTO SALĖS IR SANITARINIŲ PATALPŲ PAPRASTŲJŲ VIDAUS REMONTO DARBŲ</w:t>
      </w:r>
      <w:r w:rsidRPr="00FC7827">
        <w:rPr>
          <w:rFonts w:ascii="Times New Roman" w:hAnsi="Times New Roman"/>
          <w:b/>
          <w:bCs/>
          <w:szCs w:val="24"/>
        </w:rPr>
        <w:t xml:space="preserve"> </w:t>
      </w:r>
      <w:r w:rsidR="006D2022" w:rsidRPr="00FC7827">
        <w:rPr>
          <w:rFonts w:ascii="Times New Roman" w:hAnsi="Times New Roman"/>
          <w:b/>
          <w:bCs/>
          <w:szCs w:val="24"/>
        </w:rPr>
        <w:t>APLINKOS APSAUGOS KRITERIJAI (AAK)</w:t>
      </w:r>
    </w:p>
    <w:p w14:paraId="2E6BB01C" w14:textId="77777777" w:rsidR="006D2022" w:rsidRPr="005C3378" w:rsidRDefault="006D2022" w:rsidP="006D2022">
      <w:pPr>
        <w:pStyle w:val="Pagrindinistekstas"/>
        <w:spacing w:line="276" w:lineRule="auto"/>
        <w:rPr>
          <w:rFonts w:ascii="Times New Roman" w:hAnsi="Times New Roman"/>
          <w:b/>
          <w:szCs w:val="24"/>
        </w:rPr>
      </w:pPr>
    </w:p>
    <w:p w14:paraId="744FED66" w14:textId="77777777" w:rsidR="006D2022" w:rsidRPr="00123A71" w:rsidRDefault="006D2022" w:rsidP="006D2022">
      <w:pPr>
        <w:pStyle w:val="Pagrindinistekstas"/>
        <w:tabs>
          <w:tab w:val="left" w:pos="993"/>
        </w:tabs>
        <w:spacing w:line="276" w:lineRule="auto"/>
        <w:ind w:right="145" w:firstLine="710"/>
        <w:rPr>
          <w:rFonts w:ascii="Times New Roman" w:hAnsi="Times New Roman"/>
          <w:szCs w:val="24"/>
        </w:rPr>
      </w:pPr>
      <w:r w:rsidRPr="005C3378">
        <w:rPr>
          <w:rFonts w:ascii="Times New Roman" w:hAnsi="Times New Roman"/>
          <w:szCs w:val="24"/>
        </w:rPr>
        <w:t xml:space="preserve">Vadovaujantis </w:t>
      </w:r>
      <w:hyperlink r:id="rId5">
        <w:r w:rsidRPr="00123A71">
          <w:rPr>
            <w:rFonts w:ascii="Times New Roman" w:hAnsi="Times New Roman"/>
            <w:szCs w:val="24"/>
            <w:u w:val="single"/>
          </w:rPr>
          <w:t>Aplinkos apsaugos kriterijų, kuriuos perkančiosios organizacijos ir perkantieji</w:t>
        </w:r>
      </w:hyperlink>
      <w:r w:rsidRPr="00123A71">
        <w:rPr>
          <w:rFonts w:ascii="Times New Roman" w:hAnsi="Times New Roman"/>
          <w:szCs w:val="24"/>
        </w:rPr>
        <w:t xml:space="preserve"> </w:t>
      </w:r>
      <w:hyperlink r:id="rId6">
        <w:r w:rsidRPr="00123A71">
          <w:rPr>
            <w:rFonts w:ascii="Times New Roman" w:hAnsi="Times New Roman"/>
            <w:szCs w:val="24"/>
            <w:u w:val="single"/>
          </w:rPr>
          <w:t>subjektai turi taikyti pirkdamos prekes, paslaugas ar darbus, taikymo tvarkos aprašo, patvirtinto Lietuvos</w:t>
        </w:r>
      </w:hyperlink>
      <w:r w:rsidRPr="00123A71">
        <w:rPr>
          <w:rFonts w:ascii="Times New Roman" w:hAnsi="Times New Roman"/>
          <w:szCs w:val="24"/>
        </w:rPr>
        <w:t xml:space="preserve"> </w:t>
      </w:r>
      <w:hyperlink r:id="rId7">
        <w:r w:rsidRPr="00123A71">
          <w:rPr>
            <w:rFonts w:ascii="Times New Roman" w:hAnsi="Times New Roman"/>
            <w:szCs w:val="24"/>
            <w:u w:val="single"/>
          </w:rPr>
          <w:t>Respublikos aplinkos ministro 2011 m. birželio 28 d. įsakymu Nr. D1-508</w:t>
        </w:r>
      </w:hyperlink>
      <w:r w:rsidRPr="00123A71">
        <w:rPr>
          <w:rFonts w:ascii="Times New Roman" w:hAnsi="Times New Roman"/>
          <w:spacing w:val="40"/>
          <w:szCs w:val="24"/>
        </w:rPr>
        <w:t xml:space="preserve"> </w:t>
      </w:r>
      <w:r w:rsidRPr="00123A71">
        <w:rPr>
          <w:rFonts w:ascii="Times New Roman" w:hAnsi="Times New Roman"/>
          <w:szCs w:val="24"/>
        </w:rPr>
        <w:t xml:space="preserve">(toliau – Aprašas) šis pirkimas laikomas </w:t>
      </w:r>
      <w:r w:rsidRPr="00123A71">
        <w:rPr>
          <w:rFonts w:ascii="Times New Roman" w:hAnsi="Times New Roman"/>
          <w:b/>
          <w:szCs w:val="24"/>
        </w:rPr>
        <w:t xml:space="preserve">žaliuoju pirkimu, </w:t>
      </w:r>
      <w:r w:rsidRPr="00123A71">
        <w:rPr>
          <w:rFonts w:ascii="Times New Roman" w:hAnsi="Times New Roman"/>
          <w:szCs w:val="24"/>
        </w:rPr>
        <w:t>nes vadovaujantis</w:t>
      </w:r>
    </w:p>
    <w:p w14:paraId="395349FB" w14:textId="51E99A3A" w:rsidR="006D2022" w:rsidRDefault="006D2022" w:rsidP="006D2022">
      <w:pPr>
        <w:pStyle w:val="Sraopastraipa"/>
        <w:numPr>
          <w:ilvl w:val="0"/>
          <w:numId w:val="1"/>
        </w:numPr>
        <w:ind w:firstLine="709"/>
        <w:jc w:val="both"/>
        <w:rPr>
          <w:sz w:val="24"/>
          <w:szCs w:val="24"/>
        </w:rPr>
      </w:pPr>
      <w:bookmarkStart w:id="1" w:name="_Hlk196829993"/>
      <w:r w:rsidRPr="00E0609C">
        <w:rPr>
          <w:b/>
          <w:sz w:val="24"/>
          <w:szCs w:val="24"/>
        </w:rPr>
        <w:t xml:space="preserve">Aprašo 4.1. p. </w:t>
      </w:r>
      <w:bookmarkEnd w:id="1"/>
      <w:r w:rsidRPr="00E0609C">
        <w:rPr>
          <w:sz w:val="24"/>
          <w:szCs w:val="24"/>
        </w:rPr>
        <w:t xml:space="preserve">– perkami darbų sudėtyje yra </w:t>
      </w:r>
      <w:r w:rsidRPr="00E0609C">
        <w:rPr>
          <w:b/>
          <w:sz w:val="24"/>
          <w:szCs w:val="24"/>
        </w:rPr>
        <w:t>Produktų</w:t>
      </w:r>
      <w:r w:rsidRPr="00E0609C">
        <w:rPr>
          <w:sz w:val="24"/>
          <w:szCs w:val="24"/>
        </w:rPr>
        <w:t xml:space="preserve">, kurių viešiesiems pirkimams taikytini minimalūs aplinkos apsaugos kriterijai, sąraše </w:t>
      </w:r>
      <w:r w:rsidR="00247B79" w:rsidRPr="00247B79">
        <w:rPr>
          <w:color w:val="000000"/>
          <w:sz w:val="24"/>
          <w:szCs w:val="24"/>
          <w:lang w:eastAsia="en-US"/>
        </w:rPr>
        <w:t>pagal</w:t>
      </w:r>
      <w:r w:rsidR="00247B79">
        <w:rPr>
          <w:sz w:val="24"/>
          <w:szCs w:val="24"/>
        </w:rPr>
        <w:t>:</w:t>
      </w:r>
    </w:p>
    <w:p w14:paraId="6377EFEC" w14:textId="77777777" w:rsidR="00247B79" w:rsidRPr="00C850DF" w:rsidRDefault="00247B79" w:rsidP="00C850DF">
      <w:pPr>
        <w:ind w:left="145"/>
        <w:jc w:val="both"/>
      </w:pPr>
    </w:p>
    <w:p w14:paraId="4B49F9A0" w14:textId="77777777" w:rsidR="006D2022" w:rsidRPr="00B76447" w:rsidRDefault="006D2022" w:rsidP="006D2022">
      <w:pPr>
        <w:pStyle w:val="Sraopastraipa"/>
        <w:widowControl w:val="0"/>
        <w:numPr>
          <w:ilvl w:val="1"/>
          <w:numId w:val="1"/>
        </w:numPr>
        <w:tabs>
          <w:tab w:val="left" w:pos="993"/>
          <w:tab w:val="left" w:pos="1584"/>
        </w:tabs>
        <w:autoSpaceDE w:val="0"/>
        <w:autoSpaceDN w:val="0"/>
        <w:spacing w:line="276" w:lineRule="auto"/>
        <w:ind w:left="0" w:firstLine="710"/>
        <w:contextualSpacing w:val="0"/>
        <w:jc w:val="both"/>
        <w:rPr>
          <w:b/>
          <w:iCs/>
          <w:sz w:val="24"/>
          <w:szCs w:val="24"/>
          <w:u w:val="single"/>
        </w:rPr>
      </w:pPr>
      <w:r w:rsidRPr="00654CA6">
        <w:rPr>
          <w:b/>
          <w:sz w:val="24"/>
          <w:szCs w:val="24"/>
        </w:rPr>
        <w:t xml:space="preserve">Aprašo 2 priedo XIII skyrius </w:t>
      </w:r>
      <w:r w:rsidRPr="009225B0">
        <w:rPr>
          <w:b/>
          <w:bCs/>
          <w:sz w:val="24"/>
          <w:szCs w:val="24"/>
        </w:rPr>
        <w:t xml:space="preserve">(Statybinės medžiagos) </w:t>
      </w:r>
      <w:r>
        <w:rPr>
          <w:b/>
          <w:bCs/>
          <w:sz w:val="24"/>
          <w:szCs w:val="24"/>
        </w:rPr>
        <w:t xml:space="preserve">16 p. </w:t>
      </w:r>
      <w:r w:rsidRPr="00B76447">
        <w:rPr>
          <w:b/>
          <w:sz w:val="24"/>
          <w:szCs w:val="24"/>
          <w:u w:val="single"/>
        </w:rPr>
        <w:t>(</w:t>
      </w:r>
      <w:r>
        <w:rPr>
          <w:b/>
          <w:iCs/>
          <w:sz w:val="24"/>
          <w:szCs w:val="24"/>
          <w:u w:val="single"/>
        </w:rPr>
        <w:t>M</w:t>
      </w:r>
      <w:r w:rsidRPr="00B76447">
        <w:rPr>
          <w:b/>
          <w:iCs/>
          <w:sz w:val="24"/>
          <w:szCs w:val="24"/>
          <w:u w:val="single"/>
        </w:rPr>
        <w:t>ediena</w:t>
      </w:r>
      <w:r w:rsidRPr="00B76447">
        <w:rPr>
          <w:b/>
          <w:iCs/>
          <w:spacing w:val="-5"/>
          <w:sz w:val="24"/>
          <w:szCs w:val="24"/>
          <w:u w:val="single"/>
        </w:rPr>
        <w:t xml:space="preserve"> </w:t>
      </w:r>
      <w:r w:rsidRPr="00B76447">
        <w:rPr>
          <w:b/>
          <w:iCs/>
          <w:sz w:val="24"/>
          <w:szCs w:val="24"/>
          <w:u w:val="single"/>
        </w:rPr>
        <w:t>ir</w:t>
      </w:r>
      <w:r w:rsidRPr="00B76447">
        <w:rPr>
          <w:b/>
          <w:iCs/>
          <w:spacing w:val="-5"/>
          <w:sz w:val="24"/>
          <w:szCs w:val="24"/>
          <w:u w:val="single"/>
        </w:rPr>
        <w:t xml:space="preserve"> </w:t>
      </w:r>
      <w:r w:rsidRPr="00B76447">
        <w:rPr>
          <w:b/>
          <w:iCs/>
          <w:sz w:val="24"/>
          <w:szCs w:val="24"/>
          <w:u w:val="single"/>
        </w:rPr>
        <w:t>jos</w:t>
      </w:r>
      <w:r w:rsidRPr="00B76447">
        <w:rPr>
          <w:b/>
          <w:iCs/>
          <w:spacing w:val="-5"/>
          <w:sz w:val="24"/>
          <w:szCs w:val="24"/>
          <w:u w:val="single"/>
        </w:rPr>
        <w:t xml:space="preserve"> </w:t>
      </w:r>
      <w:r w:rsidRPr="00B76447">
        <w:rPr>
          <w:b/>
          <w:iCs/>
          <w:spacing w:val="-2"/>
          <w:sz w:val="24"/>
          <w:szCs w:val="24"/>
          <w:u w:val="single"/>
        </w:rPr>
        <w:t>produktai)</w:t>
      </w:r>
      <w:r w:rsidRPr="001721F0">
        <w:t xml:space="preserve"> </w:t>
      </w:r>
      <w:r>
        <w:t>(</w:t>
      </w:r>
      <w:r w:rsidRPr="001721F0">
        <w:rPr>
          <w:b/>
          <w:iCs/>
          <w:spacing w:val="-2"/>
          <w:sz w:val="24"/>
          <w:szCs w:val="24"/>
          <w:u w:val="single"/>
        </w:rPr>
        <w:t>Aprašo 1</w:t>
      </w:r>
      <w:r>
        <w:rPr>
          <w:b/>
          <w:iCs/>
          <w:spacing w:val="-2"/>
          <w:sz w:val="24"/>
          <w:szCs w:val="24"/>
          <w:u w:val="single"/>
        </w:rPr>
        <w:t>6</w:t>
      </w:r>
      <w:r w:rsidRPr="001721F0">
        <w:rPr>
          <w:b/>
          <w:iCs/>
          <w:spacing w:val="-2"/>
          <w:sz w:val="24"/>
          <w:szCs w:val="24"/>
          <w:u w:val="single"/>
        </w:rPr>
        <w:t>.1 p. ir 1</w:t>
      </w:r>
      <w:r>
        <w:rPr>
          <w:b/>
          <w:iCs/>
          <w:spacing w:val="-2"/>
          <w:sz w:val="24"/>
          <w:szCs w:val="24"/>
          <w:u w:val="single"/>
        </w:rPr>
        <w:t>6</w:t>
      </w:r>
      <w:r w:rsidRPr="001721F0">
        <w:rPr>
          <w:b/>
          <w:iCs/>
          <w:spacing w:val="-2"/>
          <w:sz w:val="24"/>
          <w:szCs w:val="24"/>
          <w:u w:val="single"/>
        </w:rPr>
        <w:t xml:space="preserve">.2 p. nurodyti reikalavimai taikomi ta apimti, kiek tai susiję su </w:t>
      </w:r>
      <w:r>
        <w:rPr>
          <w:b/>
          <w:iCs/>
          <w:spacing w:val="-2"/>
          <w:sz w:val="24"/>
          <w:szCs w:val="24"/>
          <w:u w:val="single"/>
        </w:rPr>
        <w:t xml:space="preserve">stogo </w:t>
      </w:r>
      <w:r w:rsidRPr="001721F0">
        <w:rPr>
          <w:b/>
          <w:iCs/>
          <w:spacing w:val="-2"/>
          <w:sz w:val="24"/>
          <w:szCs w:val="24"/>
          <w:u w:val="single"/>
        </w:rPr>
        <w:t>paprastojo remonto darbų atlikimu</w:t>
      </w:r>
      <w:r>
        <w:rPr>
          <w:b/>
          <w:iCs/>
          <w:spacing w:val="-2"/>
          <w:sz w:val="24"/>
          <w:szCs w:val="24"/>
          <w:u w:val="single"/>
        </w:rPr>
        <w:t>i)</w:t>
      </w:r>
      <w:r w:rsidRPr="00B76447">
        <w:rPr>
          <w:b/>
          <w:iCs/>
          <w:spacing w:val="-2"/>
          <w:sz w:val="24"/>
          <w:szCs w:val="24"/>
          <w:u w:val="single"/>
        </w:rPr>
        <w:t>:</w:t>
      </w:r>
    </w:p>
    <w:p w14:paraId="6FFA47FD" w14:textId="77777777" w:rsidR="006D2022" w:rsidRPr="00C9075B" w:rsidRDefault="006D2022" w:rsidP="006D2022">
      <w:pPr>
        <w:pStyle w:val="Sraopastraipa"/>
        <w:widowControl w:val="0"/>
        <w:numPr>
          <w:ilvl w:val="1"/>
          <w:numId w:val="2"/>
        </w:numPr>
        <w:tabs>
          <w:tab w:val="left" w:pos="993"/>
          <w:tab w:val="left" w:pos="1134"/>
        </w:tabs>
        <w:autoSpaceDE w:val="0"/>
        <w:autoSpaceDN w:val="0"/>
        <w:spacing w:line="276" w:lineRule="auto"/>
        <w:ind w:left="0" w:firstLine="709"/>
        <w:jc w:val="both"/>
        <w:rPr>
          <w:sz w:val="24"/>
          <w:szCs w:val="24"/>
        </w:rPr>
      </w:pPr>
      <w:r w:rsidRPr="00123A71">
        <w:rPr>
          <w:sz w:val="24"/>
          <w:szCs w:val="24"/>
        </w:rPr>
        <w:t>ne mažiau k</w:t>
      </w:r>
      <w:r w:rsidRPr="00C9075B">
        <w:rPr>
          <w:sz w:val="24"/>
          <w:szCs w:val="24"/>
        </w:rPr>
        <w:t>aip 80 proc. statiniuose naudojamos medienos, medienos medžiagų ir gaminių turi būti iš miškų, sertifikuotų naudojant FSC ar PEFC miškų sertifikavimo sistemas arba lygiavertes sertifikavimo sistemas;</w:t>
      </w:r>
    </w:p>
    <w:p w14:paraId="6FA89F15" w14:textId="77777777" w:rsidR="006D2022" w:rsidRPr="00C9075B" w:rsidRDefault="006D2022" w:rsidP="006D2022">
      <w:pPr>
        <w:widowControl w:val="0"/>
        <w:tabs>
          <w:tab w:val="left" w:pos="993"/>
          <w:tab w:val="left" w:pos="1134"/>
        </w:tabs>
        <w:autoSpaceDE w:val="0"/>
        <w:autoSpaceDN w:val="0"/>
        <w:spacing w:line="276" w:lineRule="auto"/>
        <w:jc w:val="both"/>
        <w:rPr>
          <w:i/>
          <w:iCs/>
        </w:rPr>
      </w:pPr>
      <w:r w:rsidRPr="00C9075B">
        <w:tab/>
      </w:r>
      <w:r w:rsidRPr="00C9075B">
        <w:rPr>
          <w:i/>
          <w:iCs/>
        </w:rPr>
        <w:t>Galimi atitiktį įrodantys dokumentai: a) FSC®100 arba PEFC, arba kito darnaus miškų ūkio standarto sertifikatas, arba b) kiti lygiaverčiai įrodymai.</w:t>
      </w:r>
    </w:p>
    <w:p w14:paraId="32EBD14E" w14:textId="77777777" w:rsidR="006D2022" w:rsidRPr="00C9075B" w:rsidRDefault="006D2022" w:rsidP="006D2022">
      <w:pPr>
        <w:pStyle w:val="Sraopastraipa"/>
        <w:widowControl w:val="0"/>
        <w:numPr>
          <w:ilvl w:val="1"/>
          <w:numId w:val="2"/>
        </w:numPr>
        <w:tabs>
          <w:tab w:val="left" w:pos="993"/>
          <w:tab w:val="left" w:pos="1134"/>
        </w:tabs>
        <w:autoSpaceDE w:val="0"/>
        <w:autoSpaceDN w:val="0"/>
        <w:spacing w:line="276" w:lineRule="auto"/>
        <w:ind w:left="0" w:firstLine="709"/>
        <w:jc w:val="both"/>
        <w:rPr>
          <w:sz w:val="24"/>
          <w:szCs w:val="24"/>
        </w:rPr>
      </w:pPr>
      <w:r w:rsidRPr="00C9075B">
        <w:rPr>
          <w:sz w:val="24"/>
          <w:szCs w:val="24"/>
        </w:rPr>
        <w:t>plokštėse, kuriose yra formaldehido rišamųjų medžiagų, formaldehido emisija į atmosferą</w:t>
      </w:r>
      <w:r w:rsidRPr="00C9075B">
        <w:rPr>
          <w:spacing w:val="40"/>
          <w:sz w:val="24"/>
          <w:szCs w:val="24"/>
        </w:rPr>
        <w:t xml:space="preserve"> </w:t>
      </w:r>
      <w:r w:rsidRPr="00C9075B">
        <w:rPr>
          <w:sz w:val="24"/>
          <w:szCs w:val="24"/>
        </w:rPr>
        <w:t>E1</w:t>
      </w:r>
      <w:r w:rsidRPr="00C9075B">
        <w:rPr>
          <w:spacing w:val="36"/>
          <w:sz w:val="24"/>
          <w:szCs w:val="24"/>
        </w:rPr>
        <w:t xml:space="preserve"> </w:t>
      </w:r>
      <w:r w:rsidRPr="00C9075B">
        <w:rPr>
          <w:sz w:val="24"/>
          <w:szCs w:val="24"/>
        </w:rPr>
        <w:t>klasės</w:t>
      </w:r>
      <w:r w:rsidRPr="00C9075B">
        <w:rPr>
          <w:spacing w:val="36"/>
          <w:sz w:val="24"/>
          <w:szCs w:val="24"/>
        </w:rPr>
        <w:t xml:space="preserve"> </w:t>
      </w:r>
      <w:r w:rsidRPr="00C9075B">
        <w:rPr>
          <w:sz w:val="24"/>
          <w:szCs w:val="24"/>
        </w:rPr>
        <w:t>plokštėms</w:t>
      </w:r>
      <w:r w:rsidRPr="00C9075B">
        <w:rPr>
          <w:spacing w:val="36"/>
          <w:sz w:val="24"/>
          <w:szCs w:val="24"/>
        </w:rPr>
        <w:t xml:space="preserve"> </w:t>
      </w:r>
      <w:r w:rsidRPr="00C9075B">
        <w:rPr>
          <w:sz w:val="24"/>
          <w:szCs w:val="24"/>
        </w:rPr>
        <w:t>turi</w:t>
      </w:r>
      <w:r w:rsidRPr="00C9075B">
        <w:rPr>
          <w:spacing w:val="37"/>
          <w:sz w:val="24"/>
          <w:szCs w:val="24"/>
        </w:rPr>
        <w:t xml:space="preserve"> </w:t>
      </w:r>
      <w:r w:rsidRPr="00C9075B">
        <w:rPr>
          <w:sz w:val="24"/>
          <w:szCs w:val="24"/>
        </w:rPr>
        <w:t>būti</w:t>
      </w:r>
      <w:r w:rsidRPr="00C9075B">
        <w:rPr>
          <w:spacing w:val="37"/>
          <w:sz w:val="24"/>
          <w:szCs w:val="24"/>
        </w:rPr>
        <w:t xml:space="preserve"> </w:t>
      </w:r>
      <w:r w:rsidRPr="00C9075B">
        <w:rPr>
          <w:sz w:val="24"/>
          <w:szCs w:val="24"/>
        </w:rPr>
        <w:t>ne</w:t>
      </w:r>
      <w:r w:rsidRPr="00C9075B">
        <w:rPr>
          <w:spacing w:val="36"/>
          <w:sz w:val="24"/>
          <w:szCs w:val="24"/>
        </w:rPr>
        <w:t xml:space="preserve"> </w:t>
      </w:r>
      <w:r w:rsidRPr="00C9075B">
        <w:rPr>
          <w:sz w:val="24"/>
          <w:szCs w:val="24"/>
        </w:rPr>
        <w:t>didesnė</w:t>
      </w:r>
      <w:r w:rsidRPr="00C9075B">
        <w:rPr>
          <w:spacing w:val="36"/>
          <w:sz w:val="24"/>
          <w:szCs w:val="24"/>
        </w:rPr>
        <w:t xml:space="preserve"> </w:t>
      </w:r>
      <w:r w:rsidRPr="00C9075B">
        <w:rPr>
          <w:sz w:val="24"/>
          <w:szCs w:val="24"/>
        </w:rPr>
        <w:t>kaip</w:t>
      </w:r>
      <w:r w:rsidRPr="00C9075B">
        <w:rPr>
          <w:spacing w:val="36"/>
          <w:sz w:val="24"/>
          <w:szCs w:val="24"/>
        </w:rPr>
        <w:t xml:space="preserve"> </w:t>
      </w:r>
      <w:r w:rsidRPr="00C9075B">
        <w:rPr>
          <w:sz w:val="24"/>
          <w:szCs w:val="24"/>
        </w:rPr>
        <w:t>0,124</w:t>
      </w:r>
      <w:r w:rsidRPr="00C9075B">
        <w:rPr>
          <w:spacing w:val="36"/>
          <w:sz w:val="24"/>
          <w:szCs w:val="24"/>
        </w:rPr>
        <w:t xml:space="preserve"> </w:t>
      </w:r>
      <w:r w:rsidRPr="00C9075B">
        <w:rPr>
          <w:sz w:val="24"/>
          <w:szCs w:val="24"/>
        </w:rPr>
        <w:t>mg/m</w:t>
      </w:r>
      <w:r w:rsidRPr="00C9075B">
        <w:rPr>
          <w:sz w:val="24"/>
          <w:szCs w:val="24"/>
          <w:vertAlign w:val="superscript"/>
        </w:rPr>
        <w:t>3</w:t>
      </w:r>
      <w:r w:rsidRPr="00C9075B">
        <w:rPr>
          <w:spacing w:val="36"/>
          <w:sz w:val="24"/>
          <w:szCs w:val="24"/>
        </w:rPr>
        <w:t xml:space="preserve"> </w:t>
      </w:r>
      <w:r w:rsidRPr="00C9075B">
        <w:rPr>
          <w:sz w:val="24"/>
          <w:szCs w:val="24"/>
        </w:rPr>
        <w:t>oro</w:t>
      </w:r>
      <w:r w:rsidRPr="00C9075B">
        <w:rPr>
          <w:spacing w:val="36"/>
          <w:sz w:val="24"/>
          <w:szCs w:val="24"/>
        </w:rPr>
        <w:t xml:space="preserve"> </w:t>
      </w:r>
      <w:r w:rsidRPr="00C9075B">
        <w:rPr>
          <w:sz w:val="24"/>
          <w:szCs w:val="24"/>
        </w:rPr>
        <w:t>pagal</w:t>
      </w:r>
      <w:r w:rsidRPr="00C9075B">
        <w:rPr>
          <w:spacing w:val="37"/>
          <w:sz w:val="24"/>
          <w:szCs w:val="24"/>
        </w:rPr>
        <w:t xml:space="preserve"> </w:t>
      </w:r>
      <w:r w:rsidRPr="00C9075B">
        <w:rPr>
          <w:sz w:val="24"/>
          <w:szCs w:val="24"/>
        </w:rPr>
        <w:t>bandymo</w:t>
      </w:r>
      <w:r w:rsidRPr="00C9075B">
        <w:rPr>
          <w:spacing w:val="36"/>
          <w:sz w:val="24"/>
          <w:szCs w:val="24"/>
        </w:rPr>
        <w:t xml:space="preserve"> </w:t>
      </w:r>
      <w:r w:rsidRPr="00C9075B">
        <w:rPr>
          <w:sz w:val="24"/>
          <w:szCs w:val="24"/>
        </w:rPr>
        <w:t>metodą</w:t>
      </w:r>
      <w:r w:rsidRPr="00C9075B">
        <w:rPr>
          <w:spacing w:val="36"/>
          <w:sz w:val="24"/>
          <w:szCs w:val="24"/>
        </w:rPr>
        <w:t xml:space="preserve"> </w:t>
      </w:r>
      <w:r w:rsidRPr="00C9075B">
        <w:rPr>
          <w:sz w:val="24"/>
          <w:szCs w:val="24"/>
        </w:rPr>
        <w:t>LST</w:t>
      </w:r>
      <w:r w:rsidRPr="00C9075B">
        <w:rPr>
          <w:spacing w:val="32"/>
          <w:sz w:val="24"/>
          <w:szCs w:val="24"/>
        </w:rPr>
        <w:t xml:space="preserve"> </w:t>
      </w:r>
      <w:r w:rsidRPr="00C9075B">
        <w:rPr>
          <w:sz w:val="24"/>
          <w:szCs w:val="24"/>
        </w:rPr>
        <w:t>EN</w:t>
      </w:r>
      <w:r w:rsidRPr="00C9075B">
        <w:rPr>
          <w:spacing w:val="35"/>
          <w:sz w:val="24"/>
          <w:szCs w:val="24"/>
        </w:rPr>
        <w:t xml:space="preserve"> </w:t>
      </w:r>
      <w:r w:rsidRPr="00C9075B">
        <w:rPr>
          <w:sz w:val="24"/>
          <w:szCs w:val="24"/>
        </w:rPr>
        <w:t>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19839B51" w14:textId="0599E60F" w:rsidR="006D2022" w:rsidRPr="00247B79" w:rsidRDefault="006D2022" w:rsidP="00247B79">
      <w:pPr>
        <w:widowControl w:val="0"/>
        <w:tabs>
          <w:tab w:val="left" w:pos="993"/>
          <w:tab w:val="left" w:pos="1134"/>
        </w:tabs>
        <w:autoSpaceDE w:val="0"/>
        <w:autoSpaceDN w:val="0"/>
        <w:spacing w:line="276" w:lineRule="auto"/>
        <w:jc w:val="both"/>
        <w:rPr>
          <w:i/>
          <w:iCs/>
        </w:rPr>
      </w:pPr>
      <w:r w:rsidRPr="00C9075B">
        <w:tab/>
      </w:r>
      <w:r w:rsidRPr="00C9075B">
        <w:rPr>
          <w:i/>
          <w:iCs/>
        </w:rPr>
        <w:t>Galimi atitiktį įrodantys dokumentai: Rangovo iki darbų vykdymo pradžios Užsakovui pateikiama: a) Gamintojo techniniai dokumentai arba b) gamintojo ir (ar) tiekėjo deklaracija (pateikiant objektyvius įrodymus), arba c) pripažintos įstaigos arba paskelbtosios (notifikuotos) institucijos atlikto</w:t>
      </w:r>
      <w:r w:rsidRPr="00975563">
        <w:rPr>
          <w:i/>
          <w:iCs/>
        </w:rPr>
        <w:t xml:space="preserve"> bandymo protokolas, tyrimų ataskaita ar pažyma arba d) kiti lygiaverčiai įrodymai.</w:t>
      </w:r>
    </w:p>
    <w:p w14:paraId="68EA39FB" w14:textId="77777777" w:rsidR="006D2022" w:rsidRDefault="006D2022" w:rsidP="006D2022">
      <w:pPr>
        <w:pStyle w:val="Sraopastraipa"/>
        <w:widowControl w:val="0"/>
        <w:tabs>
          <w:tab w:val="left" w:pos="1276"/>
        </w:tabs>
        <w:ind w:left="0" w:firstLine="709"/>
        <w:jc w:val="both"/>
        <w:rPr>
          <w:b/>
          <w:bCs/>
          <w:sz w:val="24"/>
          <w:szCs w:val="24"/>
        </w:rPr>
      </w:pPr>
    </w:p>
    <w:p w14:paraId="2319DEA8" w14:textId="6C9AB18A" w:rsidR="006D2022" w:rsidRPr="00730842" w:rsidRDefault="00247B79" w:rsidP="006D2022">
      <w:pPr>
        <w:widowControl w:val="0"/>
        <w:autoSpaceDE w:val="0"/>
        <w:autoSpaceDN w:val="0"/>
        <w:adjustRightInd w:val="0"/>
        <w:ind w:firstLine="709"/>
        <w:contextualSpacing/>
        <w:jc w:val="both"/>
      </w:pPr>
      <w:r>
        <w:rPr>
          <w:b/>
          <w:bCs/>
        </w:rPr>
        <w:t>2</w:t>
      </w:r>
      <w:r w:rsidR="006D2022">
        <w:rPr>
          <w:b/>
          <w:bCs/>
        </w:rPr>
        <w:t xml:space="preserve">. </w:t>
      </w:r>
      <w:r w:rsidR="006D2022" w:rsidRPr="00730842">
        <w:rPr>
          <w:b/>
          <w:bCs/>
        </w:rPr>
        <w:t xml:space="preserve">Aprašo </w:t>
      </w:r>
      <w:r w:rsidR="006D2022">
        <w:rPr>
          <w:b/>
          <w:bCs/>
        </w:rPr>
        <w:t xml:space="preserve">2 priedo </w:t>
      </w:r>
      <w:r w:rsidR="006D2022" w:rsidRPr="00730842">
        <w:rPr>
          <w:b/>
          <w:bCs/>
        </w:rPr>
        <w:t xml:space="preserve">XIII skyrius (Statybinės medžiagos) 17 p. Dažai </w:t>
      </w:r>
      <w:r w:rsidR="006D2022" w:rsidRPr="00730842">
        <w:rPr>
          <w:b/>
          <w:bCs/>
          <w:u w:val="single"/>
        </w:rPr>
        <w:t>(17.1 p. ir 17.2 p. nurodyti reikalavimai taikomi ta apimti, kiek tai susiję su patalpų dažymu viduje):</w:t>
      </w:r>
    </w:p>
    <w:p w14:paraId="327F8A54" w14:textId="77777777" w:rsidR="006D2022" w:rsidRPr="00730842" w:rsidRDefault="006D2022" w:rsidP="006D2022">
      <w:pPr>
        <w:widowControl w:val="0"/>
        <w:ind w:firstLine="709"/>
        <w:jc w:val="both"/>
      </w:pPr>
      <w:bookmarkStart w:id="2" w:name="part_1458655f31a8430987755beed16af2d5"/>
      <w:bookmarkEnd w:id="2"/>
      <w:r w:rsidRPr="00730842">
        <w:t>17.1. paruoštų naudoti patalpų vidaus ir išorės dažų produkte lakiųjų organinių junginių (LOJ), kurių pradinė virimo temperatūra, esant standartiniam 101,3 kPa slėgiui, yra ne aukštesnė kaip 250 ˚C, turi būti ne daugiau kaip:</w:t>
      </w:r>
    </w:p>
    <w:tbl>
      <w:tblPr>
        <w:tblStyle w:val="Lentelstinklelisviesus"/>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06"/>
        <w:gridCol w:w="2127"/>
      </w:tblGrid>
      <w:tr w:rsidR="006D2022" w:rsidRPr="00730842" w14:paraId="3CDA54BA" w14:textId="77777777" w:rsidTr="00896852">
        <w:tc>
          <w:tcPr>
            <w:tcW w:w="567" w:type="dxa"/>
            <w:hideMark/>
          </w:tcPr>
          <w:p w14:paraId="61EA944D" w14:textId="77777777" w:rsidR="006D2022" w:rsidRPr="00730842" w:rsidRDefault="006D2022" w:rsidP="00896852">
            <w:pPr>
              <w:widowControl w:val="0"/>
              <w:jc w:val="center"/>
            </w:pPr>
            <w:r w:rsidRPr="00730842">
              <w:t>Eil. Nr.</w:t>
            </w:r>
          </w:p>
        </w:tc>
        <w:tc>
          <w:tcPr>
            <w:tcW w:w="7006" w:type="dxa"/>
            <w:hideMark/>
          </w:tcPr>
          <w:p w14:paraId="7F483B5D" w14:textId="77777777" w:rsidR="006D2022" w:rsidRPr="00730842" w:rsidRDefault="006D2022" w:rsidP="00896852">
            <w:pPr>
              <w:widowControl w:val="0"/>
              <w:jc w:val="center"/>
            </w:pPr>
            <w:r w:rsidRPr="00730842">
              <w:t>Produkto aprašymas</w:t>
            </w:r>
          </w:p>
        </w:tc>
        <w:tc>
          <w:tcPr>
            <w:tcW w:w="2127" w:type="dxa"/>
            <w:hideMark/>
          </w:tcPr>
          <w:p w14:paraId="111A667C" w14:textId="77777777" w:rsidR="006D2022" w:rsidRPr="00730842" w:rsidRDefault="006D2022" w:rsidP="00896852">
            <w:pPr>
              <w:widowControl w:val="0"/>
              <w:jc w:val="center"/>
            </w:pPr>
            <w:r w:rsidRPr="00730842">
              <w:t>LOJ ribinė vertė, g/l (įskaitant vandenį)</w:t>
            </w:r>
          </w:p>
        </w:tc>
      </w:tr>
      <w:tr w:rsidR="006D2022" w:rsidRPr="00730842" w14:paraId="2C10AB3E" w14:textId="77777777" w:rsidTr="00896852">
        <w:tc>
          <w:tcPr>
            <w:tcW w:w="567" w:type="dxa"/>
            <w:hideMark/>
          </w:tcPr>
          <w:p w14:paraId="1EF12775" w14:textId="77777777" w:rsidR="006D2022" w:rsidRPr="00730842" w:rsidRDefault="006D2022" w:rsidP="00896852">
            <w:pPr>
              <w:widowControl w:val="0"/>
              <w:jc w:val="center"/>
            </w:pPr>
            <w:r w:rsidRPr="00730842">
              <w:t>1.</w:t>
            </w:r>
          </w:p>
        </w:tc>
        <w:tc>
          <w:tcPr>
            <w:tcW w:w="7006" w:type="dxa"/>
            <w:hideMark/>
          </w:tcPr>
          <w:p w14:paraId="24837CB6" w14:textId="77777777" w:rsidR="006D2022" w:rsidRPr="00730842" w:rsidRDefault="006D2022" w:rsidP="00896852">
            <w:pPr>
              <w:widowControl w:val="0"/>
            </w:pPr>
            <w:r w:rsidRPr="00730842">
              <w:t>Vidinių sienų ir lubų matinės dangos (blizgesys esant 60º kampui, mažesnis kaip 25) dengimo medžiagos</w:t>
            </w:r>
          </w:p>
        </w:tc>
        <w:tc>
          <w:tcPr>
            <w:tcW w:w="2127" w:type="dxa"/>
            <w:hideMark/>
          </w:tcPr>
          <w:p w14:paraId="63541759" w14:textId="77777777" w:rsidR="006D2022" w:rsidRPr="00730842" w:rsidRDefault="006D2022" w:rsidP="00896852">
            <w:pPr>
              <w:widowControl w:val="0"/>
              <w:jc w:val="center"/>
            </w:pPr>
            <w:r w:rsidRPr="00730842">
              <w:t>15</w:t>
            </w:r>
          </w:p>
        </w:tc>
      </w:tr>
      <w:tr w:rsidR="006D2022" w:rsidRPr="00730842" w14:paraId="723CB38C" w14:textId="77777777" w:rsidTr="00896852">
        <w:tc>
          <w:tcPr>
            <w:tcW w:w="567" w:type="dxa"/>
            <w:hideMark/>
          </w:tcPr>
          <w:p w14:paraId="1686314F" w14:textId="77777777" w:rsidR="006D2022" w:rsidRPr="00730842" w:rsidRDefault="006D2022" w:rsidP="00896852">
            <w:pPr>
              <w:widowControl w:val="0"/>
              <w:jc w:val="center"/>
            </w:pPr>
            <w:r w:rsidRPr="00730842">
              <w:t>2.</w:t>
            </w:r>
          </w:p>
        </w:tc>
        <w:tc>
          <w:tcPr>
            <w:tcW w:w="7006" w:type="dxa"/>
            <w:hideMark/>
          </w:tcPr>
          <w:p w14:paraId="351E57A0" w14:textId="77777777" w:rsidR="006D2022" w:rsidRPr="00730842" w:rsidRDefault="006D2022" w:rsidP="00896852">
            <w:pPr>
              <w:widowControl w:val="0"/>
            </w:pPr>
            <w:r w:rsidRPr="00730842">
              <w:t>Vidinių sienų ir lubų blizgiosios dangos (blizgesys esant 60º kampui, mažesnis kaip 25) dengimo medžiagos</w:t>
            </w:r>
          </w:p>
        </w:tc>
        <w:tc>
          <w:tcPr>
            <w:tcW w:w="2127" w:type="dxa"/>
            <w:hideMark/>
          </w:tcPr>
          <w:p w14:paraId="68146A3E" w14:textId="77777777" w:rsidR="006D2022" w:rsidRPr="00730842" w:rsidRDefault="006D2022" w:rsidP="00896852">
            <w:pPr>
              <w:widowControl w:val="0"/>
              <w:jc w:val="center"/>
            </w:pPr>
            <w:r w:rsidRPr="00730842">
              <w:t>60</w:t>
            </w:r>
          </w:p>
        </w:tc>
      </w:tr>
      <w:tr w:rsidR="006D2022" w:rsidRPr="00730842" w14:paraId="68087059" w14:textId="77777777" w:rsidTr="00896852">
        <w:tc>
          <w:tcPr>
            <w:tcW w:w="567" w:type="dxa"/>
            <w:hideMark/>
          </w:tcPr>
          <w:p w14:paraId="1DC0F8B3" w14:textId="77777777" w:rsidR="006D2022" w:rsidRPr="00730842" w:rsidRDefault="006D2022" w:rsidP="00896852">
            <w:pPr>
              <w:widowControl w:val="0"/>
              <w:jc w:val="center"/>
            </w:pPr>
            <w:r w:rsidRPr="00730842">
              <w:lastRenderedPageBreak/>
              <w:t>3.</w:t>
            </w:r>
          </w:p>
        </w:tc>
        <w:tc>
          <w:tcPr>
            <w:tcW w:w="7006" w:type="dxa"/>
            <w:hideMark/>
          </w:tcPr>
          <w:p w14:paraId="0F11A1CE" w14:textId="77777777" w:rsidR="006D2022" w:rsidRPr="00730842" w:rsidRDefault="006D2022" w:rsidP="00896852">
            <w:pPr>
              <w:widowControl w:val="0"/>
            </w:pPr>
            <w:r w:rsidRPr="00730842">
              <w:t>Išorinių sienų mineraliniam pagrindui skirtos dangos</w:t>
            </w:r>
          </w:p>
        </w:tc>
        <w:tc>
          <w:tcPr>
            <w:tcW w:w="2127" w:type="dxa"/>
            <w:hideMark/>
          </w:tcPr>
          <w:p w14:paraId="327906D9" w14:textId="77777777" w:rsidR="006D2022" w:rsidRPr="00730842" w:rsidRDefault="006D2022" w:rsidP="00896852">
            <w:pPr>
              <w:widowControl w:val="0"/>
              <w:jc w:val="center"/>
            </w:pPr>
            <w:r w:rsidRPr="00730842">
              <w:t>30</w:t>
            </w:r>
          </w:p>
        </w:tc>
      </w:tr>
      <w:tr w:rsidR="006D2022" w:rsidRPr="00730842" w14:paraId="41EA59A4" w14:textId="77777777" w:rsidTr="00896852">
        <w:tc>
          <w:tcPr>
            <w:tcW w:w="567" w:type="dxa"/>
            <w:hideMark/>
          </w:tcPr>
          <w:p w14:paraId="26CAE50B" w14:textId="77777777" w:rsidR="006D2022" w:rsidRPr="00730842" w:rsidRDefault="006D2022" w:rsidP="00896852">
            <w:pPr>
              <w:widowControl w:val="0"/>
              <w:jc w:val="center"/>
            </w:pPr>
            <w:r w:rsidRPr="00730842">
              <w:t>4.</w:t>
            </w:r>
          </w:p>
        </w:tc>
        <w:tc>
          <w:tcPr>
            <w:tcW w:w="7006" w:type="dxa"/>
            <w:hideMark/>
          </w:tcPr>
          <w:p w14:paraId="50C1A140" w14:textId="77777777" w:rsidR="006D2022" w:rsidRPr="00730842" w:rsidRDefault="006D2022" w:rsidP="00896852">
            <w:pPr>
              <w:widowControl w:val="0"/>
            </w:pPr>
            <w:r w:rsidRPr="00730842">
              <w:t>Vidaus ir (ar) išorės apdailos ir padengimo dažai medienai ir metalui</w:t>
            </w:r>
          </w:p>
        </w:tc>
        <w:tc>
          <w:tcPr>
            <w:tcW w:w="2127" w:type="dxa"/>
            <w:hideMark/>
          </w:tcPr>
          <w:p w14:paraId="2F53EE51" w14:textId="77777777" w:rsidR="006D2022" w:rsidRPr="00730842" w:rsidRDefault="006D2022" w:rsidP="00896852">
            <w:pPr>
              <w:widowControl w:val="0"/>
              <w:jc w:val="center"/>
            </w:pPr>
            <w:r w:rsidRPr="00730842">
              <w:t>90</w:t>
            </w:r>
          </w:p>
        </w:tc>
      </w:tr>
      <w:tr w:rsidR="006D2022" w:rsidRPr="00730842" w14:paraId="54BD0D04" w14:textId="77777777" w:rsidTr="00896852">
        <w:tc>
          <w:tcPr>
            <w:tcW w:w="567" w:type="dxa"/>
            <w:hideMark/>
          </w:tcPr>
          <w:p w14:paraId="567DB59A" w14:textId="77777777" w:rsidR="006D2022" w:rsidRPr="00730842" w:rsidRDefault="006D2022" w:rsidP="00896852">
            <w:pPr>
              <w:widowControl w:val="0"/>
              <w:jc w:val="center"/>
            </w:pPr>
            <w:r w:rsidRPr="00730842">
              <w:t>5.</w:t>
            </w:r>
          </w:p>
        </w:tc>
        <w:tc>
          <w:tcPr>
            <w:tcW w:w="7006" w:type="dxa"/>
            <w:hideMark/>
          </w:tcPr>
          <w:p w14:paraId="2FACCAA9" w14:textId="77777777" w:rsidR="006D2022" w:rsidRPr="00730842" w:rsidRDefault="006D2022" w:rsidP="00896852">
            <w:pPr>
              <w:widowControl w:val="0"/>
            </w:pPr>
            <w:r w:rsidRPr="00730842">
              <w:t>Vidaus apdailos lakai ir medienos beicai, įskaitant neskaidrius medienos beicus</w:t>
            </w:r>
          </w:p>
        </w:tc>
        <w:tc>
          <w:tcPr>
            <w:tcW w:w="2127" w:type="dxa"/>
            <w:hideMark/>
          </w:tcPr>
          <w:p w14:paraId="12E77696" w14:textId="77777777" w:rsidR="006D2022" w:rsidRPr="00730842" w:rsidRDefault="006D2022" w:rsidP="00896852">
            <w:pPr>
              <w:widowControl w:val="0"/>
              <w:jc w:val="center"/>
            </w:pPr>
            <w:r w:rsidRPr="00730842">
              <w:t>75</w:t>
            </w:r>
          </w:p>
        </w:tc>
      </w:tr>
      <w:tr w:rsidR="006D2022" w:rsidRPr="00730842" w14:paraId="764A8333" w14:textId="77777777" w:rsidTr="00896852">
        <w:tc>
          <w:tcPr>
            <w:tcW w:w="567" w:type="dxa"/>
            <w:hideMark/>
          </w:tcPr>
          <w:p w14:paraId="73A938F4" w14:textId="77777777" w:rsidR="006D2022" w:rsidRPr="00730842" w:rsidRDefault="006D2022" w:rsidP="00896852">
            <w:pPr>
              <w:widowControl w:val="0"/>
              <w:jc w:val="center"/>
            </w:pPr>
            <w:r w:rsidRPr="00730842">
              <w:t>6.</w:t>
            </w:r>
          </w:p>
        </w:tc>
        <w:tc>
          <w:tcPr>
            <w:tcW w:w="7006" w:type="dxa"/>
            <w:hideMark/>
          </w:tcPr>
          <w:p w14:paraId="3DFAD510" w14:textId="77777777" w:rsidR="006D2022" w:rsidRPr="00730842" w:rsidRDefault="006D2022" w:rsidP="00896852">
            <w:pPr>
              <w:widowControl w:val="0"/>
            </w:pPr>
            <w:r w:rsidRPr="00730842">
              <w:t>Išorės apdailos lakai ir medienos beicai, įskaitant neskaidrius medienos beicus</w:t>
            </w:r>
          </w:p>
        </w:tc>
        <w:tc>
          <w:tcPr>
            <w:tcW w:w="2127" w:type="dxa"/>
            <w:hideMark/>
          </w:tcPr>
          <w:p w14:paraId="5ACC9A5B" w14:textId="77777777" w:rsidR="006D2022" w:rsidRPr="00730842" w:rsidRDefault="006D2022" w:rsidP="00896852">
            <w:pPr>
              <w:widowControl w:val="0"/>
              <w:jc w:val="center"/>
            </w:pPr>
            <w:r w:rsidRPr="00730842">
              <w:t>90</w:t>
            </w:r>
          </w:p>
        </w:tc>
      </w:tr>
      <w:tr w:rsidR="006D2022" w:rsidRPr="00730842" w14:paraId="7801C95B" w14:textId="77777777" w:rsidTr="00896852">
        <w:tc>
          <w:tcPr>
            <w:tcW w:w="567" w:type="dxa"/>
            <w:hideMark/>
          </w:tcPr>
          <w:p w14:paraId="23983C2E" w14:textId="77777777" w:rsidR="006D2022" w:rsidRPr="00730842" w:rsidRDefault="006D2022" w:rsidP="00896852">
            <w:pPr>
              <w:widowControl w:val="0"/>
              <w:jc w:val="center"/>
            </w:pPr>
            <w:r w:rsidRPr="00730842">
              <w:t>7.</w:t>
            </w:r>
          </w:p>
        </w:tc>
        <w:tc>
          <w:tcPr>
            <w:tcW w:w="7006" w:type="dxa"/>
            <w:hideMark/>
          </w:tcPr>
          <w:p w14:paraId="224985E8" w14:textId="77777777" w:rsidR="006D2022" w:rsidRPr="00730842" w:rsidRDefault="006D2022" w:rsidP="00896852">
            <w:pPr>
              <w:widowControl w:val="0"/>
            </w:pPr>
            <w:r w:rsidRPr="00730842">
              <w:t>Vidaus ir išorės plonasluoksniai medienos beicai</w:t>
            </w:r>
          </w:p>
        </w:tc>
        <w:tc>
          <w:tcPr>
            <w:tcW w:w="2127" w:type="dxa"/>
            <w:hideMark/>
          </w:tcPr>
          <w:p w14:paraId="79A2DCE9" w14:textId="77777777" w:rsidR="006D2022" w:rsidRPr="00730842" w:rsidRDefault="006D2022" w:rsidP="00896852">
            <w:pPr>
              <w:widowControl w:val="0"/>
              <w:jc w:val="center"/>
            </w:pPr>
            <w:r w:rsidRPr="00730842">
              <w:t>75</w:t>
            </w:r>
          </w:p>
        </w:tc>
      </w:tr>
      <w:tr w:rsidR="006D2022" w:rsidRPr="00730842" w14:paraId="3F643067" w14:textId="77777777" w:rsidTr="00896852">
        <w:tc>
          <w:tcPr>
            <w:tcW w:w="567" w:type="dxa"/>
            <w:hideMark/>
          </w:tcPr>
          <w:p w14:paraId="7796ABDB" w14:textId="77777777" w:rsidR="006D2022" w:rsidRPr="00730842" w:rsidRDefault="006D2022" w:rsidP="00896852">
            <w:pPr>
              <w:widowControl w:val="0"/>
              <w:jc w:val="center"/>
            </w:pPr>
            <w:r w:rsidRPr="00730842">
              <w:t>8.</w:t>
            </w:r>
          </w:p>
        </w:tc>
        <w:tc>
          <w:tcPr>
            <w:tcW w:w="7006" w:type="dxa"/>
            <w:hideMark/>
          </w:tcPr>
          <w:p w14:paraId="6A4BDDE0" w14:textId="77777777" w:rsidR="006D2022" w:rsidRPr="00730842" w:rsidRDefault="006D2022" w:rsidP="00896852">
            <w:pPr>
              <w:widowControl w:val="0"/>
            </w:pPr>
            <w:r w:rsidRPr="00730842">
              <w:t>Gruntai ir rišamieji gruntai</w:t>
            </w:r>
          </w:p>
        </w:tc>
        <w:tc>
          <w:tcPr>
            <w:tcW w:w="2127" w:type="dxa"/>
            <w:hideMark/>
          </w:tcPr>
          <w:p w14:paraId="7B8BDB2C" w14:textId="77777777" w:rsidR="006D2022" w:rsidRPr="00730842" w:rsidRDefault="006D2022" w:rsidP="00896852">
            <w:pPr>
              <w:widowControl w:val="0"/>
              <w:jc w:val="center"/>
            </w:pPr>
            <w:r w:rsidRPr="00730842">
              <w:t>15</w:t>
            </w:r>
          </w:p>
        </w:tc>
      </w:tr>
      <w:tr w:rsidR="006D2022" w:rsidRPr="00730842" w14:paraId="60BCC32D" w14:textId="77777777" w:rsidTr="00896852">
        <w:tc>
          <w:tcPr>
            <w:tcW w:w="567" w:type="dxa"/>
            <w:hideMark/>
          </w:tcPr>
          <w:p w14:paraId="01A1BE5B" w14:textId="77777777" w:rsidR="006D2022" w:rsidRPr="00730842" w:rsidRDefault="006D2022" w:rsidP="00896852">
            <w:pPr>
              <w:widowControl w:val="0"/>
              <w:jc w:val="center"/>
            </w:pPr>
            <w:r w:rsidRPr="00730842">
              <w:t>9.</w:t>
            </w:r>
          </w:p>
        </w:tc>
        <w:tc>
          <w:tcPr>
            <w:tcW w:w="7006" w:type="dxa"/>
            <w:hideMark/>
          </w:tcPr>
          <w:p w14:paraId="351061DB" w14:textId="77777777" w:rsidR="006D2022" w:rsidRPr="00730842" w:rsidRDefault="006D2022" w:rsidP="00896852">
            <w:pPr>
              <w:widowControl w:val="0"/>
            </w:pPr>
            <w:r w:rsidRPr="00730842">
              <w:t>Rišamieji gruntai</w:t>
            </w:r>
          </w:p>
        </w:tc>
        <w:tc>
          <w:tcPr>
            <w:tcW w:w="2127" w:type="dxa"/>
            <w:hideMark/>
          </w:tcPr>
          <w:p w14:paraId="5086DC42" w14:textId="77777777" w:rsidR="006D2022" w:rsidRPr="00730842" w:rsidRDefault="006D2022" w:rsidP="00896852">
            <w:pPr>
              <w:widowControl w:val="0"/>
              <w:jc w:val="center"/>
            </w:pPr>
            <w:r w:rsidRPr="00730842">
              <w:t>15</w:t>
            </w:r>
          </w:p>
        </w:tc>
      </w:tr>
      <w:tr w:rsidR="006D2022" w:rsidRPr="00730842" w14:paraId="3F54A7A1" w14:textId="77777777" w:rsidTr="00896852">
        <w:tc>
          <w:tcPr>
            <w:tcW w:w="567" w:type="dxa"/>
            <w:hideMark/>
          </w:tcPr>
          <w:p w14:paraId="44988CC9" w14:textId="77777777" w:rsidR="006D2022" w:rsidRPr="00730842" w:rsidRDefault="006D2022" w:rsidP="00896852">
            <w:pPr>
              <w:widowControl w:val="0"/>
              <w:jc w:val="center"/>
            </w:pPr>
            <w:r w:rsidRPr="00730842">
              <w:t>10.</w:t>
            </w:r>
          </w:p>
        </w:tc>
        <w:tc>
          <w:tcPr>
            <w:tcW w:w="7006" w:type="dxa"/>
            <w:hideMark/>
          </w:tcPr>
          <w:p w14:paraId="2B5DC307" w14:textId="77777777" w:rsidR="006D2022" w:rsidRPr="00730842" w:rsidRDefault="006D2022" w:rsidP="00896852">
            <w:pPr>
              <w:widowControl w:val="0"/>
            </w:pPr>
            <w:r w:rsidRPr="00730842">
              <w:t>Vienkomponentės dangos dengimo medžiagos</w:t>
            </w:r>
          </w:p>
        </w:tc>
        <w:tc>
          <w:tcPr>
            <w:tcW w:w="2127" w:type="dxa"/>
            <w:hideMark/>
          </w:tcPr>
          <w:p w14:paraId="470FAC60" w14:textId="77777777" w:rsidR="006D2022" w:rsidRPr="00730842" w:rsidRDefault="006D2022" w:rsidP="00896852">
            <w:pPr>
              <w:widowControl w:val="0"/>
              <w:jc w:val="center"/>
            </w:pPr>
            <w:r w:rsidRPr="00730842">
              <w:t>100</w:t>
            </w:r>
          </w:p>
        </w:tc>
      </w:tr>
      <w:tr w:rsidR="006D2022" w:rsidRPr="00730842" w14:paraId="1DF0ECF9" w14:textId="77777777" w:rsidTr="00896852">
        <w:tc>
          <w:tcPr>
            <w:tcW w:w="567" w:type="dxa"/>
            <w:hideMark/>
          </w:tcPr>
          <w:p w14:paraId="2DAFB3A4" w14:textId="77777777" w:rsidR="006D2022" w:rsidRPr="00730842" w:rsidRDefault="006D2022" w:rsidP="00896852">
            <w:pPr>
              <w:widowControl w:val="0"/>
              <w:jc w:val="center"/>
            </w:pPr>
            <w:r w:rsidRPr="00730842">
              <w:t>11.</w:t>
            </w:r>
          </w:p>
        </w:tc>
        <w:tc>
          <w:tcPr>
            <w:tcW w:w="7006" w:type="dxa"/>
            <w:hideMark/>
          </w:tcPr>
          <w:p w14:paraId="488B607C" w14:textId="77777777" w:rsidR="006D2022" w:rsidRPr="00730842" w:rsidRDefault="006D2022" w:rsidP="00896852">
            <w:pPr>
              <w:widowControl w:val="0"/>
            </w:pPr>
            <w:r w:rsidRPr="00730842">
              <w:t>Dvikomponentės reaktyviosios dangos, skirtos specialiam galutiniam naudojimui (pvz., grindims)</w:t>
            </w:r>
          </w:p>
        </w:tc>
        <w:tc>
          <w:tcPr>
            <w:tcW w:w="2127" w:type="dxa"/>
            <w:hideMark/>
          </w:tcPr>
          <w:p w14:paraId="260160F2" w14:textId="77777777" w:rsidR="006D2022" w:rsidRPr="00730842" w:rsidRDefault="006D2022" w:rsidP="00896852">
            <w:pPr>
              <w:widowControl w:val="0"/>
              <w:jc w:val="center"/>
            </w:pPr>
            <w:r w:rsidRPr="00730842">
              <w:t>100</w:t>
            </w:r>
          </w:p>
        </w:tc>
      </w:tr>
      <w:tr w:rsidR="006D2022" w:rsidRPr="00730842" w14:paraId="6C0FAD9B" w14:textId="77777777" w:rsidTr="00896852">
        <w:tc>
          <w:tcPr>
            <w:tcW w:w="567" w:type="dxa"/>
            <w:hideMark/>
          </w:tcPr>
          <w:p w14:paraId="3EBFC3C1" w14:textId="77777777" w:rsidR="006D2022" w:rsidRPr="00730842" w:rsidRDefault="006D2022" w:rsidP="00896852">
            <w:pPr>
              <w:widowControl w:val="0"/>
              <w:jc w:val="center"/>
            </w:pPr>
            <w:r w:rsidRPr="00730842">
              <w:t>12.</w:t>
            </w:r>
          </w:p>
        </w:tc>
        <w:tc>
          <w:tcPr>
            <w:tcW w:w="7006" w:type="dxa"/>
            <w:hideMark/>
          </w:tcPr>
          <w:p w14:paraId="5DC59EE6" w14:textId="77777777" w:rsidR="006D2022" w:rsidRPr="00730842" w:rsidRDefault="006D2022" w:rsidP="00896852">
            <w:pPr>
              <w:widowControl w:val="0"/>
            </w:pPr>
            <w:r w:rsidRPr="00730842">
              <w:t>Dekoratyvinės dangos</w:t>
            </w:r>
          </w:p>
        </w:tc>
        <w:tc>
          <w:tcPr>
            <w:tcW w:w="2127" w:type="dxa"/>
            <w:hideMark/>
          </w:tcPr>
          <w:p w14:paraId="016DCAF4" w14:textId="77777777" w:rsidR="006D2022" w:rsidRPr="00730842" w:rsidRDefault="006D2022" w:rsidP="00896852">
            <w:pPr>
              <w:widowControl w:val="0"/>
              <w:jc w:val="center"/>
            </w:pPr>
            <w:r w:rsidRPr="00730842">
              <w:t>90</w:t>
            </w:r>
          </w:p>
        </w:tc>
      </w:tr>
      <w:tr w:rsidR="006D2022" w:rsidRPr="00730842" w14:paraId="34E0D341" w14:textId="77777777" w:rsidTr="00896852">
        <w:tc>
          <w:tcPr>
            <w:tcW w:w="567" w:type="dxa"/>
            <w:hideMark/>
          </w:tcPr>
          <w:p w14:paraId="308411A4" w14:textId="77777777" w:rsidR="006D2022" w:rsidRPr="00730842" w:rsidRDefault="006D2022" w:rsidP="00896852">
            <w:pPr>
              <w:widowControl w:val="0"/>
              <w:jc w:val="center"/>
            </w:pPr>
            <w:r w:rsidRPr="00730842">
              <w:t>13.</w:t>
            </w:r>
          </w:p>
        </w:tc>
        <w:tc>
          <w:tcPr>
            <w:tcW w:w="7006" w:type="dxa"/>
            <w:hideMark/>
          </w:tcPr>
          <w:p w14:paraId="55A58908" w14:textId="77777777" w:rsidR="006D2022" w:rsidRPr="00730842" w:rsidRDefault="006D2022" w:rsidP="00896852">
            <w:pPr>
              <w:widowControl w:val="0"/>
            </w:pPr>
            <w:r w:rsidRPr="00730842">
              <w:t>Antikoroziniai dažai</w:t>
            </w:r>
          </w:p>
        </w:tc>
        <w:tc>
          <w:tcPr>
            <w:tcW w:w="2127" w:type="dxa"/>
            <w:hideMark/>
          </w:tcPr>
          <w:p w14:paraId="4A86EA8C" w14:textId="77777777" w:rsidR="006D2022" w:rsidRPr="00730842" w:rsidRDefault="006D2022" w:rsidP="00896852">
            <w:pPr>
              <w:widowControl w:val="0"/>
              <w:jc w:val="center"/>
            </w:pPr>
            <w:r w:rsidRPr="00730842">
              <w:t>80</w:t>
            </w:r>
          </w:p>
        </w:tc>
      </w:tr>
    </w:tbl>
    <w:p w14:paraId="36C53F72" w14:textId="77777777" w:rsidR="006D2022" w:rsidRPr="00730842" w:rsidRDefault="006D2022" w:rsidP="006D2022">
      <w:pPr>
        <w:pStyle w:val="Default"/>
        <w:widowControl w:val="0"/>
        <w:ind w:firstLine="700"/>
        <w:jc w:val="both"/>
        <w:rPr>
          <w:rFonts w:ascii="Times New Roman" w:hAnsi="Times New Roman" w:cs="Times New Roman"/>
          <w:color w:val="auto"/>
        </w:rPr>
      </w:pPr>
      <w:bookmarkStart w:id="3" w:name="part_74ed78eb3c97430a9960b4263f97e677"/>
      <w:bookmarkEnd w:id="3"/>
      <w:r w:rsidRPr="00730842">
        <w:rPr>
          <w:rFonts w:ascii="Times New Roman" w:hAnsi="Times New Roman" w:cs="Times New Roman"/>
          <w:color w:val="auto"/>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r w:rsidRPr="00730842">
        <w:rPr>
          <w:rFonts w:ascii="Times New Roman" w:hAnsi="Times New Roman" w:cs="Times New Roman"/>
          <w:i/>
          <w:iCs/>
          <w:color w:val="auto"/>
        </w:rPr>
        <w:t>Galimi atitiktį įrodantys dokumentai: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730842">
        <w:rPr>
          <w:rFonts w:ascii="Times New Roman" w:hAnsi="Times New Roman" w:cs="Times New Roman"/>
          <w:color w:val="auto"/>
        </w:rPr>
        <w:t xml:space="preserve"> </w:t>
      </w:r>
    </w:p>
    <w:p w14:paraId="3B98931B" w14:textId="6750392A" w:rsidR="00EA432F" w:rsidRDefault="00EA432F" w:rsidP="006D2022">
      <w:pPr>
        <w:pStyle w:val="Sraopastraipa"/>
        <w:widowControl w:val="0"/>
        <w:tabs>
          <w:tab w:val="left" w:pos="1276"/>
        </w:tabs>
        <w:ind w:left="0" w:firstLine="700"/>
        <w:jc w:val="both"/>
        <w:rPr>
          <w:b/>
          <w:bCs/>
        </w:rPr>
      </w:pPr>
    </w:p>
    <w:p w14:paraId="041EF049" w14:textId="58C7070A" w:rsidR="00EA432F" w:rsidRPr="00730842" w:rsidRDefault="00170BC3" w:rsidP="00EA432F">
      <w:pPr>
        <w:widowControl w:val="0"/>
        <w:autoSpaceDE w:val="0"/>
        <w:autoSpaceDN w:val="0"/>
        <w:adjustRightInd w:val="0"/>
        <w:ind w:firstLine="700"/>
        <w:contextualSpacing/>
        <w:jc w:val="both"/>
      </w:pPr>
      <w:r>
        <w:rPr>
          <w:b/>
          <w:bCs/>
        </w:rPr>
        <w:t>3</w:t>
      </w:r>
      <w:r w:rsidR="00EA432F">
        <w:rPr>
          <w:b/>
          <w:bCs/>
        </w:rPr>
        <w:t xml:space="preserve">. </w:t>
      </w:r>
      <w:r w:rsidR="00EA432F" w:rsidRPr="00730842">
        <w:rPr>
          <w:b/>
          <w:bCs/>
        </w:rPr>
        <w:t>Aprašo</w:t>
      </w:r>
      <w:r w:rsidR="00EA432F">
        <w:rPr>
          <w:b/>
          <w:bCs/>
        </w:rPr>
        <w:t xml:space="preserve"> 2 priedo </w:t>
      </w:r>
      <w:r w:rsidR="00EA432F" w:rsidRPr="00730842">
        <w:rPr>
          <w:b/>
          <w:bCs/>
        </w:rPr>
        <w:t xml:space="preserve"> XIII skyrius (Statybinės medžiagos) 19 p. Gipso plokštės:</w:t>
      </w:r>
    </w:p>
    <w:p w14:paraId="31F4DF03" w14:textId="77777777" w:rsidR="00EA432F" w:rsidRPr="00730842" w:rsidRDefault="00EA432F" w:rsidP="00EA432F">
      <w:pPr>
        <w:widowControl w:val="0"/>
        <w:ind w:firstLine="700"/>
        <w:jc w:val="both"/>
      </w:pPr>
      <w:r w:rsidRPr="00730842">
        <w:t>19.</w:t>
      </w:r>
      <w:r w:rsidRPr="00730842">
        <w:rPr>
          <w:smallCaps/>
        </w:rPr>
        <w:t>1. </w:t>
      </w:r>
      <w:r w:rsidRPr="00730842">
        <w:t>gipso plokščių sudėtyje turi būti ne mažiau kaip 2 proc. perdirbtų medžiagų;</w:t>
      </w:r>
    </w:p>
    <w:p w14:paraId="1A1C3C4D" w14:textId="77777777" w:rsidR="00EA432F" w:rsidRPr="00730842" w:rsidRDefault="00EA432F" w:rsidP="00EA432F">
      <w:pPr>
        <w:widowControl w:val="0"/>
        <w:ind w:firstLine="700"/>
        <w:jc w:val="both"/>
      </w:pPr>
      <w:r w:rsidRPr="00730842">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7D9C576B" w14:textId="77777777" w:rsidR="00FC7827" w:rsidRPr="00730842" w:rsidRDefault="00FC7827" w:rsidP="00FC7827">
      <w:pPr>
        <w:widowControl w:val="0"/>
        <w:ind w:firstLine="700"/>
        <w:jc w:val="both"/>
        <w:rPr>
          <w:i/>
          <w:iCs/>
        </w:rPr>
      </w:pPr>
      <w:r w:rsidRPr="00730842">
        <w:rPr>
          <w:i/>
          <w:iCs/>
        </w:rPr>
        <w:t xml:space="preserve">Galimi atitiktį įrodantys dokumentai: Rangovo iki darbų vykdymo pradžios Užsakovui pateikiama: a) ekologinis ženklas European Ecolabel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0BADEF9B" w14:textId="77777777" w:rsidR="00EA432F" w:rsidRPr="00730842" w:rsidRDefault="00EA432F" w:rsidP="006D2022">
      <w:pPr>
        <w:pStyle w:val="Sraopastraipa"/>
        <w:widowControl w:val="0"/>
        <w:tabs>
          <w:tab w:val="left" w:pos="1276"/>
        </w:tabs>
        <w:ind w:left="0" w:firstLine="700"/>
        <w:jc w:val="both"/>
        <w:rPr>
          <w:b/>
          <w:bCs/>
        </w:rPr>
      </w:pPr>
    </w:p>
    <w:p w14:paraId="73CCF062" w14:textId="610EF3EA" w:rsidR="00247B79" w:rsidRPr="00170BC3" w:rsidRDefault="00247B79" w:rsidP="00170BC3">
      <w:pPr>
        <w:pStyle w:val="Sraopastraipa"/>
        <w:widowControl w:val="0"/>
        <w:numPr>
          <w:ilvl w:val="0"/>
          <w:numId w:val="5"/>
        </w:numPr>
        <w:tabs>
          <w:tab w:val="left" w:pos="993"/>
        </w:tabs>
        <w:ind w:left="0" w:firstLine="709"/>
        <w:jc w:val="both"/>
        <w:rPr>
          <w:b/>
          <w:bCs/>
          <w:sz w:val="24"/>
          <w:szCs w:val="24"/>
          <w:u w:val="single"/>
        </w:rPr>
      </w:pPr>
      <w:r w:rsidRPr="00170BC3">
        <w:rPr>
          <w:b/>
          <w:bCs/>
          <w:sz w:val="24"/>
          <w:szCs w:val="24"/>
        </w:rPr>
        <w:t>Aprašo 2 priedo XIII skyrius (Statybinės medžiagos) 21 p. (</w:t>
      </w:r>
      <w:r w:rsidRPr="00170BC3">
        <w:rPr>
          <w:b/>
          <w:bCs/>
          <w:color w:val="000000"/>
          <w:sz w:val="24"/>
          <w:szCs w:val="24"/>
        </w:rPr>
        <w:t>Langai, stoglangiai ir išorinės įstiklintos durys</w:t>
      </w:r>
      <w:r w:rsidRPr="00170BC3">
        <w:rPr>
          <w:b/>
          <w:bCs/>
          <w:sz w:val="24"/>
          <w:szCs w:val="24"/>
        </w:rPr>
        <w:t xml:space="preserve">  (</w:t>
      </w:r>
      <w:r w:rsidRPr="00170BC3">
        <w:rPr>
          <w:b/>
          <w:bCs/>
          <w:sz w:val="24"/>
          <w:szCs w:val="24"/>
          <w:u w:val="single"/>
        </w:rPr>
        <w:t xml:space="preserve">Aprašo 21.1 -21.5 p. nurodyti reikalavimai taikomi ta apimti, kiek tai susiję su stogo paprastojo remonto darbų, </w:t>
      </w:r>
      <w:r w:rsidRPr="00170BC3">
        <w:rPr>
          <w:b/>
          <w:bCs/>
          <w:color w:val="44546A" w:themeColor="text2"/>
          <w:sz w:val="24"/>
          <w:szCs w:val="24"/>
          <w:u w:val="single"/>
        </w:rPr>
        <w:t>stoglangių keitimo atlikimu</w:t>
      </w:r>
      <w:r w:rsidRPr="00170BC3">
        <w:rPr>
          <w:b/>
          <w:bCs/>
          <w:sz w:val="24"/>
          <w:szCs w:val="24"/>
          <w:u w:val="single"/>
        </w:rPr>
        <w:t>):</w:t>
      </w:r>
    </w:p>
    <w:p w14:paraId="182EC642" w14:textId="77777777" w:rsidR="00247B79" w:rsidRPr="00B21360" w:rsidRDefault="00247B79" w:rsidP="00247B79">
      <w:pPr>
        <w:ind w:firstLine="851"/>
        <w:jc w:val="both"/>
        <w:rPr>
          <w:color w:val="000000"/>
        </w:rPr>
      </w:pPr>
      <w:r w:rsidRPr="00B21360">
        <w:rPr>
          <w:color w:val="000000"/>
        </w:rPr>
        <w:t xml:space="preserve">21. </w:t>
      </w:r>
      <w:bookmarkStart w:id="4" w:name="_Hlk195776371"/>
      <w:r w:rsidRPr="00B21360">
        <w:rPr>
          <w:color w:val="000000"/>
        </w:rPr>
        <w:t>Langai, stoglangiai ir išorinės įstiklintos durys</w:t>
      </w:r>
      <w:bookmarkEnd w:id="4"/>
      <w:r w:rsidRPr="00B21360">
        <w:rPr>
          <w:color w:val="000000"/>
        </w:rPr>
        <w:t>:</w:t>
      </w:r>
    </w:p>
    <w:p w14:paraId="55787FC2" w14:textId="77777777" w:rsidR="00247B79" w:rsidRPr="00B21360" w:rsidRDefault="00247B79" w:rsidP="00247B79">
      <w:pPr>
        <w:ind w:firstLine="851"/>
        <w:jc w:val="both"/>
        <w:rPr>
          <w:color w:val="000000"/>
        </w:rPr>
      </w:pPr>
      <w:bookmarkStart w:id="5" w:name="part_e3c12bb3571a42edb7087b8c0f8dd0c4"/>
      <w:bookmarkEnd w:id="5"/>
      <w:r w:rsidRPr="00B21360">
        <w:rPr>
          <w:color w:val="000000"/>
        </w:rPr>
        <w:t>21.1. ne mažiau kaip 80 proc. langų gamybai naudojamos medienos turi būti gauta iš miškų, sertifikuotų naudojant FSC ar PEFC miškų sertifikavimo sistemas arba lygiavertes sertifikavimo sistemas;</w:t>
      </w:r>
    </w:p>
    <w:p w14:paraId="0ACA0EA5" w14:textId="77777777" w:rsidR="00247B79" w:rsidRPr="00B21360" w:rsidRDefault="00247B79" w:rsidP="00247B79">
      <w:pPr>
        <w:ind w:firstLine="851"/>
        <w:jc w:val="both"/>
        <w:rPr>
          <w:color w:val="000000"/>
        </w:rPr>
      </w:pPr>
      <w:bookmarkStart w:id="6" w:name="part_bff9f03b24c245bfa7a716d5c2267e9b"/>
      <w:bookmarkEnd w:id="6"/>
      <w:r w:rsidRPr="00B21360">
        <w:rPr>
          <w:color w:val="000000"/>
        </w:rPr>
        <w:t>21.2. visose plastikinėse detalėse, kurių masė ≥ 50 g, švino ar kadmio junginiai neturi viršyti 100 ppm;</w:t>
      </w:r>
    </w:p>
    <w:p w14:paraId="04A08944" w14:textId="77777777" w:rsidR="00247B79" w:rsidRPr="00B21360" w:rsidRDefault="00247B79" w:rsidP="00247B79">
      <w:pPr>
        <w:ind w:firstLine="851"/>
        <w:jc w:val="both"/>
        <w:rPr>
          <w:color w:val="000000"/>
        </w:rPr>
      </w:pPr>
      <w:bookmarkStart w:id="7" w:name="part_62f16847a99247fab76a68419a4e3750"/>
      <w:bookmarkEnd w:id="7"/>
      <w:r w:rsidRPr="00B21360">
        <w:rPr>
          <w:color w:val="000000"/>
        </w:rPr>
        <w:t>21.3. visos plastikinės detalės, kurių masė ≥ 50 g, turi būti paženklintos pagal LST EN ISO 11469 ar lygiavertį standartą;</w:t>
      </w:r>
    </w:p>
    <w:p w14:paraId="1DBEA775" w14:textId="77777777" w:rsidR="00247B79" w:rsidRPr="00B21360" w:rsidRDefault="00247B79" w:rsidP="00247B79">
      <w:pPr>
        <w:ind w:firstLine="851"/>
        <w:jc w:val="both"/>
        <w:rPr>
          <w:color w:val="000000"/>
        </w:rPr>
      </w:pPr>
      <w:bookmarkStart w:id="8" w:name="part_f3c66f2f61b7427a8ee559a36c8761c1"/>
      <w:bookmarkEnd w:id="8"/>
      <w:r w:rsidRPr="00B21360">
        <w:rPr>
          <w:color w:val="000000"/>
        </w:rPr>
        <w:lastRenderedPageBreak/>
        <w:t>21.4. produkte neturi būti naudojamas  poveikį šiltnamio efektui darantis dujų užpildas, kurio globalinio šiltėjimo potencialas (GWP) &gt; 5 (per 100 metų laikotarpį);</w:t>
      </w:r>
    </w:p>
    <w:p w14:paraId="362AFE5C" w14:textId="77777777" w:rsidR="00247B79" w:rsidRPr="00B21360" w:rsidRDefault="00247B79" w:rsidP="00247B79">
      <w:pPr>
        <w:ind w:firstLine="851"/>
        <w:jc w:val="both"/>
        <w:rPr>
          <w:color w:val="000000"/>
        </w:rPr>
      </w:pPr>
      <w:bookmarkStart w:id="9" w:name="part_b6fb452fe753442faf33706743ae9e89"/>
      <w:bookmarkEnd w:id="9"/>
      <w:r w:rsidRPr="00B21360">
        <w:rPr>
          <w:color w:val="000000"/>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A6CD482" w14:textId="77777777" w:rsidR="00247B79" w:rsidRPr="00B21360" w:rsidRDefault="00247B79" w:rsidP="00247B79">
      <w:pPr>
        <w:pStyle w:val="Sraopastraipa"/>
        <w:widowControl w:val="0"/>
        <w:tabs>
          <w:tab w:val="left" w:pos="1276"/>
        </w:tabs>
        <w:ind w:left="0" w:firstLine="709"/>
        <w:jc w:val="both"/>
        <w:rPr>
          <w:b/>
          <w:bCs/>
          <w:sz w:val="24"/>
          <w:szCs w:val="24"/>
          <w:highlight w:val="yellow"/>
          <w:lang w:eastAsia="en-US"/>
        </w:rPr>
      </w:pPr>
    </w:p>
    <w:p w14:paraId="2C2144D6" w14:textId="77777777" w:rsidR="00247B79" w:rsidRPr="00FC15CB" w:rsidRDefault="00247B79" w:rsidP="00247B79">
      <w:pPr>
        <w:ind w:firstLine="709"/>
        <w:jc w:val="both"/>
        <w:rPr>
          <w:b/>
        </w:rPr>
      </w:pPr>
      <w:r w:rsidRPr="008139C8">
        <w:rPr>
          <w:i/>
          <w:iCs/>
        </w:rPr>
        <w:t xml:space="preserve">Galimi atitiktį įrodantys dokumentai: Rangovo iki darbų vykdymo pradžios Užsakovui pateikiama: </w:t>
      </w:r>
      <w:r w:rsidRPr="009242D6">
        <w:rPr>
          <w:bCs/>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093EE8DD" w14:textId="77777777" w:rsidR="006D2022" w:rsidRPr="00730842" w:rsidRDefault="006D2022" w:rsidP="006D2022">
      <w:pPr>
        <w:pStyle w:val="Sraopastraipa"/>
        <w:widowControl w:val="0"/>
        <w:tabs>
          <w:tab w:val="left" w:pos="1276"/>
        </w:tabs>
        <w:ind w:left="0" w:firstLine="700"/>
        <w:jc w:val="both"/>
      </w:pPr>
    </w:p>
    <w:p w14:paraId="5522884C" w14:textId="77777777" w:rsidR="006D2022" w:rsidRPr="00730842" w:rsidRDefault="006D2022" w:rsidP="006D2022">
      <w:pPr>
        <w:pStyle w:val="Sraopastraipa"/>
        <w:widowControl w:val="0"/>
        <w:tabs>
          <w:tab w:val="left" w:pos="1276"/>
        </w:tabs>
        <w:ind w:left="0" w:firstLine="700"/>
        <w:jc w:val="both"/>
      </w:pPr>
    </w:p>
    <w:p w14:paraId="49A7A4FA" w14:textId="7F666154" w:rsidR="009D29A0" w:rsidRPr="009D29A0" w:rsidRDefault="006D2022" w:rsidP="009D29A0">
      <w:pPr>
        <w:pStyle w:val="Sraopastraipa"/>
        <w:widowControl w:val="0"/>
        <w:numPr>
          <w:ilvl w:val="0"/>
          <w:numId w:val="5"/>
        </w:numPr>
        <w:tabs>
          <w:tab w:val="left" w:pos="993"/>
          <w:tab w:val="left" w:pos="1134"/>
        </w:tabs>
        <w:ind w:left="0" w:firstLine="851"/>
        <w:jc w:val="both"/>
      </w:pPr>
      <w:bookmarkStart w:id="10" w:name="_Hlk157497960"/>
      <w:r w:rsidRPr="009D29A0">
        <w:rPr>
          <w:b/>
          <w:bCs/>
        </w:rPr>
        <w:t>Aprašo XIV skyrius (Patalpų apšvietimas) 22 p. Elektros lempos:</w:t>
      </w:r>
      <w:r w:rsidRPr="009D29A0">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28D3B436" w14:textId="2381E7D5" w:rsidR="006D2022" w:rsidRPr="009D29A0" w:rsidRDefault="006D2022" w:rsidP="009D29A0">
      <w:pPr>
        <w:widowControl w:val="0"/>
        <w:ind w:firstLine="360"/>
        <w:jc w:val="both"/>
      </w:pPr>
      <w:r w:rsidRPr="009D29A0">
        <w:rPr>
          <w:i/>
          <w:iCs/>
        </w:rPr>
        <w:t xml:space="preserve">Galimi atitiktį įrodantys dokumentai: Rangovo iki darbų vykdymo pradžios Užsakovui pateikiama: </w:t>
      </w:r>
      <w:r w:rsidRPr="009D29A0">
        <w:rPr>
          <w:b/>
          <w:bCs/>
          <w:i/>
          <w:iCs/>
        </w:rPr>
        <w:t xml:space="preserve">Dėl prekės energinio efektyvumo klasės: </w:t>
      </w:r>
      <w:r w:rsidRPr="009D29A0">
        <w:rPr>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9D29A0">
        <w:rPr>
          <w:b/>
          <w:bCs/>
          <w:i/>
          <w:iCs/>
        </w:rPr>
        <w:t xml:space="preserve">jeigu prekės turi atitikti Europos Komisijos reglamentuose dėl gaminių ekologinio projektavimo nustatytus efektyvaus energijos vartojimo kriterijus: </w:t>
      </w:r>
      <w:r w:rsidRPr="009D29A0">
        <w:rPr>
          <w:i/>
          <w:iCs/>
        </w:rPr>
        <w:t>a)</w:t>
      </w:r>
      <w:r w:rsidRPr="009D29A0">
        <w:rPr>
          <w:b/>
          <w:bCs/>
          <w:i/>
          <w:iCs/>
        </w:rPr>
        <w:t xml:space="preserve"> </w:t>
      </w:r>
      <w:r w:rsidRPr="009D29A0">
        <w:rPr>
          <w:i/>
          <w:iCs/>
        </w:rPr>
        <w:t>gamintojo atitikties deklaracija, patvirtinanti, kad prekės atitinka Europos Komisijos reglamentuose dėl gaminių ekologinio projektavimo nurodytus reikalavimus, arba b) gamintojo techniniai dokumentai, arba c) kiti lygiaverčiai įrodymai.</w:t>
      </w:r>
      <w:r w:rsidRPr="009D29A0">
        <w:t xml:space="preserve"> </w:t>
      </w:r>
    </w:p>
    <w:p w14:paraId="768E3409" w14:textId="77777777" w:rsidR="00A67986" w:rsidRPr="00730842" w:rsidRDefault="00A67986" w:rsidP="00A67986">
      <w:pPr>
        <w:widowControl w:val="0"/>
        <w:jc w:val="both"/>
      </w:pPr>
    </w:p>
    <w:bookmarkEnd w:id="10"/>
    <w:p w14:paraId="6B80625B" w14:textId="518D6B5C" w:rsidR="00A67986" w:rsidRPr="00A67986" w:rsidRDefault="00A67986" w:rsidP="00A67986">
      <w:pPr>
        <w:ind w:firstLine="851"/>
        <w:jc w:val="both"/>
        <w:rPr>
          <w:lang w:val="da-DK" w:eastAsia="lt-LT"/>
        </w:rPr>
      </w:pPr>
      <w:r w:rsidRPr="00A67986">
        <w:rPr>
          <w:b/>
          <w:bCs/>
          <w:lang w:eastAsia="lt-LT"/>
        </w:rPr>
        <w:t>6</w:t>
      </w:r>
      <w:r w:rsidRPr="00A67986">
        <w:rPr>
          <w:b/>
          <w:bCs/>
          <w:color w:val="000000"/>
          <w:lang w:eastAsia="lt-LT"/>
        </w:rPr>
        <w:t xml:space="preserve">. </w:t>
      </w:r>
      <w:r w:rsidR="009D29A0">
        <w:rPr>
          <w:b/>
          <w:bCs/>
          <w:color w:val="000000"/>
          <w:lang w:eastAsia="lt-LT"/>
        </w:rPr>
        <w:t xml:space="preserve">aprašo </w:t>
      </w:r>
      <w:r w:rsidR="009D29A0" w:rsidRPr="009D29A0">
        <w:rPr>
          <w:b/>
          <w:bCs/>
          <w:color w:val="000000"/>
          <w:lang w:eastAsia="lt-LT"/>
        </w:rPr>
        <w:t xml:space="preserve">XV skyriaus </w:t>
      </w:r>
      <w:r w:rsidR="009D29A0" w:rsidRPr="009D29A0">
        <w:rPr>
          <w:b/>
          <w:bCs/>
          <w:color w:val="000000"/>
        </w:rPr>
        <w:t>(Vandens čiaupai ir dušai)</w:t>
      </w:r>
      <w:r w:rsidR="009D29A0" w:rsidRPr="009D29A0">
        <w:rPr>
          <w:b/>
          <w:bCs/>
          <w:color w:val="000000"/>
          <w:lang w:eastAsia="lt-LT"/>
        </w:rPr>
        <w:t xml:space="preserve"> </w:t>
      </w:r>
      <w:r w:rsidR="00C13745">
        <w:rPr>
          <w:b/>
          <w:bCs/>
          <w:color w:val="000000"/>
          <w:lang w:eastAsia="lt-LT"/>
        </w:rPr>
        <w:t>24</w:t>
      </w:r>
      <w:r w:rsidR="009D29A0" w:rsidRPr="009D29A0">
        <w:rPr>
          <w:b/>
          <w:bCs/>
          <w:color w:val="000000"/>
          <w:lang w:eastAsia="lt-LT"/>
        </w:rPr>
        <w:t xml:space="preserve"> p.</w:t>
      </w:r>
      <w:r w:rsidR="009D29A0" w:rsidRPr="009D29A0">
        <w:rPr>
          <w:b/>
          <w:bCs/>
          <w:color w:val="000000"/>
        </w:rPr>
        <w:t xml:space="preserve"> </w:t>
      </w:r>
      <w:r w:rsidRPr="00A67986">
        <w:rPr>
          <w:b/>
          <w:bCs/>
          <w:color w:val="000000"/>
          <w:lang w:eastAsia="lt-LT"/>
        </w:rPr>
        <w:t>Vandens maišytuva</w:t>
      </w:r>
      <w:r w:rsidR="009D29A0" w:rsidRPr="009D29A0">
        <w:rPr>
          <w:b/>
          <w:bCs/>
          <w:color w:val="000000"/>
          <w:lang w:eastAsia="lt-LT"/>
        </w:rPr>
        <w:t>i</w:t>
      </w:r>
      <w:r w:rsidR="009D29A0">
        <w:rPr>
          <w:b/>
          <w:bCs/>
          <w:color w:val="000000"/>
          <w:lang w:eastAsia="lt-LT"/>
        </w:rPr>
        <w:t xml:space="preserve"> </w:t>
      </w:r>
      <w:r w:rsidRPr="00A67986">
        <w:rPr>
          <w:b/>
          <w:bCs/>
          <w:color w:val="000000"/>
          <w:lang w:eastAsia="lt-LT"/>
        </w:rPr>
        <w:t>:</w:t>
      </w:r>
    </w:p>
    <w:p w14:paraId="21072DBB" w14:textId="77777777" w:rsidR="00A67986" w:rsidRDefault="00A67986" w:rsidP="00A67986">
      <w:pPr>
        <w:ind w:left="34" w:firstLine="817"/>
        <w:jc w:val="both"/>
        <w:rPr>
          <w:color w:val="000000"/>
        </w:rPr>
      </w:pPr>
      <w:bookmarkStart w:id="11" w:name="part_578bc204615b4d46966d630de01cfef9"/>
      <w:bookmarkEnd w:id="11"/>
      <w:r>
        <w:rPr>
          <w:color w:val="000000"/>
        </w:rPr>
        <w:t>24. Vandens čiaupai ir dušai:</w:t>
      </w:r>
    </w:p>
    <w:p w14:paraId="2B722AEA" w14:textId="77777777" w:rsidR="00A67986" w:rsidRDefault="00A67986" w:rsidP="00A67986">
      <w:pPr>
        <w:ind w:left="34" w:firstLine="817"/>
        <w:jc w:val="both"/>
        <w:rPr>
          <w:color w:val="000000"/>
        </w:rPr>
      </w:pPr>
      <w:bookmarkStart w:id="12" w:name="part_eeba2f22870f4fd1beb1113d349de891"/>
      <w:bookmarkEnd w:id="12"/>
      <w:r>
        <w:rPr>
          <w:color w:val="000000"/>
        </w:rPr>
        <w:t>24.1. vandens čiaupai ir dušai turi turėti momentinio vandens panaudojimo trukmės ribojimo galimybę, vadovaujantis bent vienu iš šių minimalių aplinkos apsaugos kriterijų:</w:t>
      </w:r>
    </w:p>
    <w:p w14:paraId="55E50D87" w14:textId="77777777" w:rsidR="00A67986" w:rsidRDefault="00A67986" w:rsidP="00A67986">
      <w:pPr>
        <w:ind w:left="34" w:firstLine="817"/>
        <w:jc w:val="both"/>
        <w:rPr>
          <w:color w:val="000000"/>
        </w:rPr>
      </w:pPr>
      <w:bookmarkStart w:id="13" w:name="part_8cc8d489ac9f41bd92f8059ea69a35a5"/>
      <w:bookmarkEnd w:id="13"/>
      <w:r>
        <w:rPr>
          <w:color w:val="000000"/>
        </w:rPr>
        <w:t>24.1.1. trukmės kontrolės sistema: nustatyta ilgiausia vandens tekėjimo trukmė čiaupais turi neviršyti 15 sekundžių, dušais – 35 sekundžių. Gaminys turi būti suprojektuotas taip, kad montuotojas galėtų nustatyti tekėjimo trukmę atsižvelgdamas į numatomą gaminio naudojimo būdą;</w:t>
      </w:r>
    </w:p>
    <w:p w14:paraId="4F44C890" w14:textId="77777777" w:rsidR="00A67986" w:rsidRDefault="00A67986" w:rsidP="00A67986">
      <w:pPr>
        <w:ind w:firstLine="851"/>
        <w:jc w:val="both"/>
        <w:rPr>
          <w:color w:val="000000"/>
        </w:rPr>
      </w:pPr>
      <w:r>
        <w:rPr>
          <w:color w:val="000000"/>
        </w:rPr>
        <w:t>24.1.2. davikliais valdoma sistema: santechnikos įtaisų su davikliu išjungimo atidėjimas baigus leisti vandenį čiaupais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čiaupo arba dušo, kai jie nenaudojami.</w:t>
      </w:r>
    </w:p>
    <w:p w14:paraId="44C7195B" w14:textId="77777777" w:rsidR="00A67986" w:rsidRPr="00A67986" w:rsidRDefault="00A67986" w:rsidP="00A67986">
      <w:pPr>
        <w:ind w:firstLine="567"/>
        <w:jc w:val="both"/>
        <w:rPr>
          <w:b/>
          <w:bCs/>
          <w:color w:val="000000"/>
          <w:lang w:eastAsia="lt-LT"/>
        </w:rPr>
      </w:pPr>
    </w:p>
    <w:p w14:paraId="07685172" w14:textId="283E99CF" w:rsidR="00A67986" w:rsidRPr="00A67986" w:rsidRDefault="00FC7827" w:rsidP="00A67986">
      <w:pPr>
        <w:jc w:val="both"/>
        <w:rPr>
          <w:i/>
          <w:iCs/>
          <w:lang w:eastAsia="lt-LT"/>
        </w:rPr>
      </w:pPr>
      <w:r w:rsidRPr="00096F99">
        <w:rPr>
          <w:i/>
          <w:iCs/>
        </w:rPr>
        <w:t xml:space="preserve">Galimi atitiktį įrodantys dokumentai: Rangovo iki darbų vykdymo pradžios Užsakovui pateikiama: </w:t>
      </w:r>
      <w:r w:rsidR="00A67986" w:rsidRPr="00A67986">
        <w:rPr>
          <w:i/>
          <w:iCs/>
          <w:lang w:eastAsia="lt-LT"/>
        </w:rPr>
        <w:t xml:space="preserve">gamintojo ir (ar) tiekėjo techniniai dokumentai, gamintojo ir (ar) importuotojo, ir (ar) tiekėjo rašytinis patvirtinimas, saugos duomenų lapas, gamintojo bandymų ataskaita, protokolas, gamintojo </w:t>
      </w:r>
      <w:r w:rsidR="00A67986" w:rsidRPr="00A67986">
        <w:rPr>
          <w:i/>
          <w:iCs/>
          <w:lang w:eastAsia="lt-LT"/>
        </w:rPr>
        <w:lastRenderedPageBreak/>
        <w:t>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1D9FF627" w14:textId="13F0F08A" w:rsidR="006D2022" w:rsidRDefault="006D2022" w:rsidP="006D2022">
      <w:pPr>
        <w:widowControl w:val="0"/>
        <w:tabs>
          <w:tab w:val="left" w:pos="709"/>
        </w:tabs>
        <w:autoSpaceDE w:val="0"/>
        <w:autoSpaceDN w:val="0"/>
        <w:spacing w:line="276" w:lineRule="auto"/>
        <w:ind w:right="-1"/>
        <w:rPr>
          <w:b/>
          <w:bCs/>
        </w:rPr>
      </w:pPr>
    </w:p>
    <w:p w14:paraId="1B887944" w14:textId="77777777" w:rsidR="006D2022" w:rsidRDefault="006D2022" w:rsidP="006D2022">
      <w:pPr>
        <w:widowControl w:val="0"/>
        <w:tabs>
          <w:tab w:val="left" w:pos="1118"/>
        </w:tabs>
        <w:autoSpaceDE w:val="0"/>
        <w:autoSpaceDN w:val="0"/>
        <w:spacing w:line="276" w:lineRule="auto"/>
        <w:jc w:val="both"/>
        <w:rPr>
          <w:b/>
        </w:rPr>
      </w:pPr>
    </w:p>
    <w:p w14:paraId="5DA0D9A0" w14:textId="77777777" w:rsidR="006D2022" w:rsidRDefault="006D2022" w:rsidP="006D2022">
      <w:pPr>
        <w:widowControl w:val="0"/>
        <w:tabs>
          <w:tab w:val="left" w:pos="1118"/>
        </w:tabs>
        <w:autoSpaceDE w:val="0"/>
        <w:autoSpaceDN w:val="0"/>
        <w:spacing w:line="276" w:lineRule="auto"/>
        <w:jc w:val="both"/>
        <w:rPr>
          <w:b/>
        </w:rPr>
      </w:pPr>
    </w:p>
    <w:p w14:paraId="7EC9CA9A" w14:textId="7AD932AD" w:rsidR="006D2022" w:rsidRDefault="006D2022" w:rsidP="006D2022">
      <w:pPr>
        <w:pStyle w:val="Sraopastraipa"/>
        <w:widowControl w:val="0"/>
        <w:tabs>
          <w:tab w:val="left" w:pos="1276"/>
        </w:tabs>
        <w:ind w:left="0" w:firstLine="709"/>
        <w:jc w:val="both"/>
        <w:rPr>
          <w:b/>
          <w:bCs/>
          <w:sz w:val="24"/>
          <w:szCs w:val="24"/>
        </w:rPr>
      </w:pPr>
      <w:r w:rsidRPr="00E962D7">
        <w:rPr>
          <w:b/>
          <w:sz w:val="24"/>
          <w:szCs w:val="24"/>
          <w:u w:val="single"/>
        </w:rPr>
        <w:t>Sutartyje</w:t>
      </w:r>
      <w:r w:rsidRPr="00E962D7">
        <w:rPr>
          <w:b/>
          <w:spacing w:val="-2"/>
          <w:sz w:val="24"/>
          <w:szCs w:val="24"/>
          <w:u w:val="single"/>
        </w:rPr>
        <w:t xml:space="preserve"> </w:t>
      </w:r>
      <w:r w:rsidRPr="00E962D7">
        <w:rPr>
          <w:b/>
          <w:sz w:val="24"/>
          <w:szCs w:val="24"/>
          <w:u w:val="single"/>
        </w:rPr>
        <w:t>nustatoma</w:t>
      </w:r>
      <w:r w:rsidRPr="00E962D7">
        <w:rPr>
          <w:b/>
          <w:spacing w:val="40"/>
          <w:sz w:val="24"/>
          <w:szCs w:val="24"/>
          <w:u w:val="single"/>
        </w:rPr>
        <w:t xml:space="preserve"> </w:t>
      </w:r>
      <w:r w:rsidRPr="00E962D7">
        <w:rPr>
          <w:b/>
          <w:sz w:val="24"/>
          <w:szCs w:val="24"/>
          <w:u w:val="single"/>
        </w:rPr>
        <w:t>aukščiau</w:t>
      </w:r>
      <w:r w:rsidRPr="00E962D7">
        <w:rPr>
          <w:b/>
          <w:spacing w:val="-4"/>
          <w:sz w:val="24"/>
          <w:szCs w:val="24"/>
          <w:u w:val="single"/>
        </w:rPr>
        <w:t xml:space="preserve"> </w:t>
      </w:r>
      <w:r w:rsidRPr="00E962D7">
        <w:rPr>
          <w:b/>
          <w:sz w:val="24"/>
          <w:szCs w:val="24"/>
          <w:u w:val="single"/>
        </w:rPr>
        <w:t>nurodytų AAK vykdymo kontrolė bei nustatomos sankcijos už jų nesilaikymą.</w:t>
      </w:r>
      <w:r w:rsidRPr="00E962D7">
        <w:rPr>
          <w:b/>
          <w:bCs/>
          <w:sz w:val="24"/>
          <w:szCs w:val="24"/>
        </w:rPr>
        <w:t xml:space="preserve"> </w:t>
      </w:r>
    </w:p>
    <w:p w14:paraId="797A0643" w14:textId="77777777" w:rsidR="00BF7237" w:rsidRPr="00E962D7" w:rsidRDefault="00BF7237" w:rsidP="006D2022">
      <w:pPr>
        <w:pStyle w:val="Sraopastraipa"/>
        <w:widowControl w:val="0"/>
        <w:tabs>
          <w:tab w:val="left" w:pos="1276"/>
        </w:tabs>
        <w:ind w:left="0" w:firstLine="709"/>
        <w:jc w:val="both"/>
        <w:rPr>
          <w:b/>
          <w:bCs/>
          <w:sz w:val="24"/>
          <w:szCs w:val="24"/>
        </w:rPr>
      </w:pPr>
    </w:p>
    <w:p w14:paraId="1E6E8356" w14:textId="32EAA83C" w:rsidR="006D2022" w:rsidRDefault="006D2022" w:rsidP="006D2022">
      <w:pPr>
        <w:pStyle w:val="Sraopastraipa"/>
        <w:widowControl w:val="0"/>
        <w:tabs>
          <w:tab w:val="left" w:pos="1276"/>
        </w:tabs>
        <w:ind w:left="0" w:firstLine="709"/>
        <w:jc w:val="both"/>
        <w:rPr>
          <w:b/>
          <w:bCs/>
          <w:sz w:val="24"/>
          <w:szCs w:val="24"/>
        </w:rPr>
      </w:pPr>
      <w:r w:rsidRPr="00E962D7">
        <w:rPr>
          <w:b/>
          <w:bCs/>
          <w:sz w:val="24"/>
          <w:szCs w:val="24"/>
        </w:rPr>
        <w:t xml:space="preserve">Užsakovui nustačius, kad Rangovas nesilaiko </w:t>
      </w:r>
      <w:r w:rsidR="00EA432F">
        <w:rPr>
          <w:b/>
          <w:bCs/>
          <w:sz w:val="24"/>
          <w:szCs w:val="24"/>
        </w:rPr>
        <w:t xml:space="preserve">aukščiau </w:t>
      </w:r>
      <w:r w:rsidRPr="00E962D7">
        <w:rPr>
          <w:b/>
          <w:bCs/>
          <w:sz w:val="24"/>
          <w:szCs w:val="24"/>
        </w:rPr>
        <w:t>nurodyt</w:t>
      </w:r>
      <w:r w:rsidR="00EA432F">
        <w:rPr>
          <w:b/>
          <w:bCs/>
          <w:sz w:val="24"/>
          <w:szCs w:val="24"/>
        </w:rPr>
        <w:t>ų</w:t>
      </w:r>
      <w:r w:rsidRPr="00E962D7">
        <w:rPr>
          <w:b/>
          <w:bCs/>
          <w:sz w:val="24"/>
          <w:szCs w:val="24"/>
        </w:rPr>
        <w:t xml:space="preserve"> įsipareigojim</w:t>
      </w:r>
      <w:r w:rsidR="00EA432F">
        <w:rPr>
          <w:b/>
          <w:bCs/>
          <w:sz w:val="24"/>
          <w:szCs w:val="24"/>
        </w:rPr>
        <w:t>ų</w:t>
      </w:r>
      <w:r w:rsidRPr="00E962D7">
        <w:rPr>
          <w:b/>
          <w:bCs/>
          <w:sz w:val="24"/>
          <w:szCs w:val="24"/>
        </w:rPr>
        <w:t>, Rangovas priva</w:t>
      </w:r>
      <w:r w:rsidR="00096F99">
        <w:rPr>
          <w:b/>
          <w:bCs/>
          <w:sz w:val="24"/>
          <w:szCs w:val="24"/>
        </w:rPr>
        <w:t>lės</w:t>
      </w:r>
      <w:r w:rsidRPr="00E962D7">
        <w:rPr>
          <w:b/>
          <w:bCs/>
          <w:sz w:val="24"/>
          <w:szCs w:val="24"/>
        </w:rPr>
        <w:t xml:space="preserve"> sumokėti Užsakovui Sutartyje nurodytą baudą</w:t>
      </w:r>
      <w:r w:rsidRPr="008139C8">
        <w:rPr>
          <w:b/>
          <w:bCs/>
          <w:sz w:val="24"/>
          <w:szCs w:val="24"/>
        </w:rPr>
        <w:t>.</w:t>
      </w:r>
    </w:p>
    <w:bookmarkEnd w:id="0"/>
    <w:p w14:paraId="4A6CA158"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53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1" w15:restartNumberingAfterBreak="0">
    <w:nsid w:val="15B02691"/>
    <w:multiLevelType w:val="hybridMultilevel"/>
    <w:tmpl w:val="C9C64E72"/>
    <w:lvl w:ilvl="0" w:tplc="0427000F">
      <w:start w:val="4"/>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4" w15:restartNumberingAfterBreak="0">
    <w:nsid w:val="608523DE"/>
    <w:multiLevelType w:val="hybridMultilevel"/>
    <w:tmpl w:val="F0FCB7E8"/>
    <w:lvl w:ilvl="0" w:tplc="0427000F">
      <w:start w:val="3"/>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22"/>
    <w:rsid w:val="000012CB"/>
    <w:rsid w:val="00045A4D"/>
    <w:rsid w:val="00096F99"/>
    <w:rsid w:val="00163663"/>
    <w:rsid w:val="00170BC3"/>
    <w:rsid w:val="00247B79"/>
    <w:rsid w:val="003D2499"/>
    <w:rsid w:val="003F48F7"/>
    <w:rsid w:val="0066062A"/>
    <w:rsid w:val="006D2022"/>
    <w:rsid w:val="006E17BD"/>
    <w:rsid w:val="008B1812"/>
    <w:rsid w:val="009D29A0"/>
    <w:rsid w:val="009E6C4A"/>
    <w:rsid w:val="00A64376"/>
    <w:rsid w:val="00A67986"/>
    <w:rsid w:val="00B81AB6"/>
    <w:rsid w:val="00BF7237"/>
    <w:rsid w:val="00C13745"/>
    <w:rsid w:val="00C850DF"/>
    <w:rsid w:val="00DF4BC8"/>
    <w:rsid w:val="00EA432F"/>
    <w:rsid w:val="00FC7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9AA8"/>
  <w15:chartTrackingRefBased/>
  <w15:docId w15:val="{E8E7810B-ACCA-48BA-A4D4-76DFE0E4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2022"/>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6D2022"/>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6D2022"/>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6D2022"/>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D202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6D2022"/>
    <w:rPr>
      <w:rFonts w:ascii="Times New Roman" w:eastAsia="Times New Roman" w:hAnsi="Times New Roman" w:cs="Times New Roman"/>
      <w:sz w:val="20"/>
      <w:szCs w:val="20"/>
      <w:lang w:eastAsia="lt-LT"/>
    </w:rPr>
  </w:style>
  <w:style w:type="paragraph" w:customStyle="1" w:styleId="Default">
    <w:name w:val="Default"/>
    <w:rsid w:val="006D2022"/>
    <w:pPr>
      <w:autoSpaceDE w:val="0"/>
      <w:autoSpaceDN w:val="0"/>
      <w:adjustRightInd w:val="0"/>
      <w:ind w:firstLine="0"/>
      <w:jc w:val="left"/>
    </w:pPr>
    <w:rPr>
      <w:rFonts w:ascii="Arial" w:hAnsi="Arial" w:cs="Arial"/>
      <w:color w:val="000000"/>
      <w:sz w:val="24"/>
      <w:szCs w:val="24"/>
    </w:rPr>
  </w:style>
  <w:style w:type="table" w:styleId="Lentelstinklelisviesus">
    <w:name w:val="Grid Table Light"/>
    <w:basedOn w:val="prastojilentel"/>
    <w:uiPriority w:val="40"/>
    <w:rsid w:val="006D2022"/>
    <w:pPr>
      <w:ind w:firstLine="0"/>
      <w:jc w:val="left"/>
    </w:pPr>
    <w:rPr>
      <w:kern w:val="2"/>
      <w:lang w:eastAsia="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53848">
      <w:bodyDiv w:val="1"/>
      <w:marLeft w:val="0"/>
      <w:marRight w:val="0"/>
      <w:marTop w:val="0"/>
      <w:marBottom w:val="0"/>
      <w:divBdr>
        <w:top w:val="none" w:sz="0" w:space="0" w:color="auto"/>
        <w:left w:val="none" w:sz="0" w:space="0" w:color="auto"/>
        <w:bottom w:val="none" w:sz="0" w:space="0" w:color="auto"/>
        <w:right w:val="none" w:sz="0" w:space="0" w:color="auto"/>
      </w:divBdr>
      <w:divsChild>
        <w:div w:id="512690099">
          <w:marLeft w:val="0"/>
          <w:marRight w:val="0"/>
          <w:marTop w:val="0"/>
          <w:marBottom w:val="0"/>
          <w:divBdr>
            <w:top w:val="none" w:sz="0" w:space="0" w:color="auto"/>
            <w:left w:val="none" w:sz="0" w:space="0" w:color="auto"/>
            <w:bottom w:val="none" w:sz="0" w:space="0" w:color="auto"/>
            <w:right w:val="none" w:sz="0" w:space="0" w:color="auto"/>
          </w:divBdr>
          <w:divsChild>
            <w:div w:id="527911144">
              <w:marLeft w:val="0"/>
              <w:marRight w:val="0"/>
              <w:marTop w:val="0"/>
              <w:marBottom w:val="0"/>
              <w:divBdr>
                <w:top w:val="none" w:sz="0" w:space="0" w:color="auto"/>
                <w:left w:val="none" w:sz="0" w:space="0" w:color="auto"/>
                <w:bottom w:val="none" w:sz="0" w:space="0" w:color="auto"/>
                <w:right w:val="none" w:sz="0" w:space="0" w:color="auto"/>
              </w:divBdr>
            </w:div>
            <w:div w:id="2084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4</Pages>
  <Words>7991</Words>
  <Characters>4556</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15</cp:revision>
  <dcterms:created xsi:type="dcterms:W3CDTF">2025-04-22T12:21:00Z</dcterms:created>
  <dcterms:modified xsi:type="dcterms:W3CDTF">2025-04-29T13:13:00Z</dcterms:modified>
</cp:coreProperties>
</file>