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6438436C" w:rsidR="00191AD0" w:rsidRPr="00CB71E0" w:rsidRDefault="000F7AE9" w:rsidP="000F7AE9">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Viešojo pirkimo komisijos </w:t>
          </w:r>
          <w:r w:rsidR="00B5114C" w:rsidRPr="00CB71E0">
            <w:rPr>
              <w:rFonts w:ascii="Times New Roman" w:hAnsi="Times New Roman" w:cs="Times New Roman"/>
              <w:i/>
              <w:iCs/>
              <w:sz w:val="22"/>
              <w:szCs w:val="22"/>
              <w:lang w:val="lt-LT"/>
            </w:rPr>
            <w:t>202</w:t>
          </w:r>
          <w:r w:rsidR="00F44F0A" w:rsidRPr="00CB71E0">
            <w:rPr>
              <w:rFonts w:ascii="Times New Roman" w:hAnsi="Times New Roman" w:cs="Times New Roman"/>
              <w:i/>
              <w:iCs/>
              <w:sz w:val="22"/>
              <w:szCs w:val="22"/>
              <w:lang w:val="lt-LT"/>
            </w:rPr>
            <w:t>5</w:t>
          </w:r>
          <w:r w:rsidR="005B5ABC">
            <w:rPr>
              <w:rFonts w:ascii="Times New Roman" w:hAnsi="Times New Roman" w:cs="Times New Roman"/>
              <w:i/>
              <w:iCs/>
              <w:sz w:val="22"/>
              <w:szCs w:val="22"/>
              <w:lang w:val="lt-LT"/>
            </w:rPr>
            <w:t>-05-02</w:t>
          </w:r>
        </w:p>
        <w:p w14:paraId="05EABC66" w14:textId="7D4D2B46" w:rsidR="00184B8C" w:rsidRPr="00CB71E0" w:rsidRDefault="000F7AE9" w:rsidP="000F7AE9">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posėdžio protokolu </w:t>
          </w:r>
          <w:r w:rsidRPr="00CB71E0">
            <w:rPr>
              <w:rFonts w:ascii="Times New Roman" w:hAnsi="Times New Roman" w:cs="Times New Roman"/>
              <w:i/>
              <w:iCs/>
              <w:sz w:val="22"/>
              <w:szCs w:val="22"/>
              <w:lang w:val="lt-LT"/>
            </w:rPr>
            <w:t>Nr.</w:t>
          </w:r>
          <w:r w:rsidR="008C04A7" w:rsidRPr="00CB71E0">
            <w:rPr>
              <w:rFonts w:ascii="Times New Roman" w:hAnsi="Times New Roman" w:cs="Times New Roman"/>
              <w:i/>
              <w:iCs/>
              <w:sz w:val="22"/>
              <w:szCs w:val="22"/>
              <w:lang w:val="lt-LT"/>
            </w:rPr>
            <w:t>1</w:t>
          </w:r>
          <w:r w:rsidR="00C13B07" w:rsidRPr="00CB71E0">
            <w:rPr>
              <w:rFonts w:ascii="Times New Roman" w:hAnsi="Times New Roman" w:cs="Times New Roman"/>
              <w:i/>
              <w:iCs/>
              <w:sz w:val="22"/>
              <w:szCs w:val="22"/>
              <w:lang w:val="lt-LT"/>
            </w:rPr>
            <w:t xml:space="preserve"> /VPS</w:t>
          </w:r>
          <w:r w:rsidR="002F38EB" w:rsidRPr="00CB71E0">
            <w:rPr>
              <w:rFonts w:ascii="Times New Roman" w:hAnsi="Times New Roman" w:cs="Times New Roman"/>
              <w:i/>
              <w:iCs/>
              <w:sz w:val="22"/>
              <w:szCs w:val="22"/>
              <w:lang w:val="lt-LT"/>
            </w:rPr>
            <w:t>-</w:t>
          </w:r>
          <w:r w:rsidR="005B5ABC">
            <w:rPr>
              <w:rFonts w:ascii="Times New Roman" w:hAnsi="Times New Roman" w:cs="Times New Roman"/>
              <w:i/>
              <w:iCs/>
              <w:sz w:val="22"/>
              <w:szCs w:val="22"/>
              <w:lang w:val="lt-LT"/>
            </w:rPr>
            <w:t>17</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661175C1"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B2511A">
              <w:rPr>
                <w:b w:val="0"/>
                <w:bCs w:val="0"/>
                <w:webHidden/>
              </w:rPr>
              <w:t>2</w:t>
            </w:r>
            <w:r w:rsidR="00131B55" w:rsidRPr="000749BE">
              <w:rPr>
                <w:b w:val="0"/>
                <w:bCs w:val="0"/>
                <w:webHidden/>
              </w:rPr>
              <w:fldChar w:fldCharType="end"/>
            </w:r>
          </w:hyperlink>
        </w:p>
        <w:p w14:paraId="03B58BA8" w14:textId="6C95B315"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B2511A">
              <w:rPr>
                <w:b w:val="0"/>
                <w:bCs w:val="0"/>
                <w:webHidden/>
              </w:rPr>
              <w:t>2</w:t>
            </w:r>
            <w:r w:rsidRPr="000749BE">
              <w:rPr>
                <w:b w:val="0"/>
                <w:bCs w:val="0"/>
                <w:webHidden/>
              </w:rPr>
              <w:fldChar w:fldCharType="end"/>
            </w:r>
          </w:hyperlink>
        </w:p>
        <w:p w14:paraId="66BB5278" w14:textId="3DDBA886"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B2511A">
              <w:rPr>
                <w:b w:val="0"/>
                <w:bCs w:val="0"/>
                <w:webHidden/>
              </w:rPr>
              <w:t>4</w:t>
            </w:r>
            <w:r w:rsidRPr="000749BE">
              <w:rPr>
                <w:b w:val="0"/>
                <w:bCs w:val="0"/>
                <w:webHidden/>
              </w:rPr>
              <w:fldChar w:fldCharType="end"/>
            </w:r>
          </w:hyperlink>
        </w:p>
        <w:p w14:paraId="3B57A667" w14:textId="0104F834"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B2511A">
              <w:rPr>
                <w:b w:val="0"/>
                <w:bCs w:val="0"/>
                <w:webHidden/>
              </w:rPr>
              <w:t>4</w:t>
            </w:r>
            <w:r w:rsidRPr="000749BE">
              <w:rPr>
                <w:b w:val="0"/>
                <w:bCs w:val="0"/>
                <w:webHidden/>
              </w:rPr>
              <w:fldChar w:fldCharType="end"/>
            </w:r>
          </w:hyperlink>
        </w:p>
        <w:p w14:paraId="2C978AF8" w14:textId="5311A94A"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B2511A">
              <w:rPr>
                <w:b w:val="0"/>
                <w:bCs w:val="0"/>
                <w:webHidden/>
              </w:rPr>
              <w:t>5</w:t>
            </w:r>
            <w:r w:rsidRPr="000749BE">
              <w:rPr>
                <w:b w:val="0"/>
                <w:bCs w:val="0"/>
                <w:webHidden/>
              </w:rPr>
              <w:fldChar w:fldCharType="end"/>
            </w:r>
          </w:hyperlink>
        </w:p>
        <w:p w14:paraId="4CBB25DB" w14:textId="1527A638"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B2511A">
              <w:rPr>
                <w:b w:val="0"/>
                <w:bCs w:val="0"/>
                <w:webHidden/>
              </w:rPr>
              <w:t>5</w:t>
            </w:r>
            <w:r w:rsidRPr="000749BE">
              <w:rPr>
                <w:b w:val="0"/>
                <w:bCs w:val="0"/>
                <w:webHidden/>
              </w:rPr>
              <w:fldChar w:fldCharType="end"/>
            </w:r>
          </w:hyperlink>
        </w:p>
        <w:p w14:paraId="42A833A0" w14:textId="0ED3353D"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B2511A">
              <w:rPr>
                <w:b w:val="0"/>
                <w:bCs w:val="0"/>
                <w:webHidden/>
              </w:rPr>
              <w:t>6</w:t>
            </w:r>
            <w:r w:rsidRPr="000749BE">
              <w:rPr>
                <w:b w:val="0"/>
                <w:bCs w:val="0"/>
                <w:webHidden/>
              </w:rPr>
              <w:fldChar w:fldCharType="end"/>
            </w:r>
          </w:hyperlink>
        </w:p>
        <w:p w14:paraId="49D15EA3" w14:textId="72237D03"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B2511A">
              <w:rPr>
                <w:b w:val="0"/>
                <w:bCs w:val="0"/>
                <w:webHidden/>
              </w:rPr>
              <w:t>6</w:t>
            </w:r>
            <w:r w:rsidRPr="000749BE">
              <w:rPr>
                <w:b w:val="0"/>
                <w:bCs w:val="0"/>
                <w:webHidden/>
              </w:rPr>
              <w:fldChar w:fldCharType="end"/>
            </w:r>
          </w:hyperlink>
        </w:p>
        <w:p w14:paraId="00286112" w14:textId="798EEC22"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B2511A">
              <w:rPr>
                <w:b w:val="0"/>
                <w:bCs w:val="0"/>
                <w:webHidden/>
              </w:rPr>
              <w:t>6</w:t>
            </w:r>
            <w:r w:rsidRPr="000749BE">
              <w:rPr>
                <w:b w:val="0"/>
                <w:bCs w:val="0"/>
                <w:webHidden/>
              </w:rPr>
              <w:fldChar w:fldCharType="end"/>
            </w:r>
          </w:hyperlink>
        </w:p>
        <w:p w14:paraId="28209874" w14:textId="672C5197"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B2511A">
              <w:rPr>
                <w:b w:val="0"/>
                <w:bCs w:val="0"/>
                <w:webHidden/>
              </w:rPr>
              <w:t>7</w:t>
            </w:r>
            <w:r w:rsidRPr="000749BE">
              <w:rPr>
                <w:b w:val="0"/>
                <w:bCs w:val="0"/>
                <w:webHidden/>
              </w:rPr>
              <w:fldChar w:fldCharType="end"/>
            </w:r>
          </w:hyperlink>
        </w:p>
        <w:p w14:paraId="0585545E" w14:textId="474E521D"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B2511A">
              <w:rPr>
                <w:b w:val="0"/>
                <w:bCs w:val="0"/>
                <w:webHidden/>
              </w:rPr>
              <w:t>8</w:t>
            </w:r>
            <w:r w:rsidRPr="000749BE">
              <w:rPr>
                <w:b w:val="0"/>
                <w:bCs w:val="0"/>
                <w:webHidden/>
              </w:rPr>
              <w:fldChar w:fldCharType="end"/>
            </w:r>
          </w:hyperlink>
        </w:p>
        <w:p w14:paraId="67023AD1" w14:textId="2599D6EF"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B2511A">
              <w:rPr>
                <w:b w:val="0"/>
                <w:bCs w:val="0"/>
                <w:webHidden/>
              </w:rPr>
              <w:t>8</w:t>
            </w:r>
            <w:r w:rsidRPr="000749BE">
              <w:rPr>
                <w:b w:val="0"/>
                <w:bCs w:val="0"/>
                <w:webHidden/>
              </w:rPr>
              <w:fldChar w:fldCharType="end"/>
            </w:r>
          </w:hyperlink>
        </w:p>
        <w:p w14:paraId="5B974542" w14:textId="4101ED93"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B2511A">
              <w:rPr>
                <w:b w:val="0"/>
                <w:bCs w:val="0"/>
                <w:webHidden/>
              </w:rPr>
              <w:t>8</w:t>
            </w:r>
            <w:r w:rsidRPr="000749BE">
              <w:rPr>
                <w:b w:val="0"/>
                <w:bCs w:val="0"/>
                <w:webHidden/>
              </w:rPr>
              <w:fldChar w:fldCharType="end"/>
            </w:r>
          </w:hyperlink>
        </w:p>
        <w:p w14:paraId="5548CCF1" w14:textId="5A40E10A"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B2511A">
              <w:rPr>
                <w:b w:val="0"/>
                <w:bCs w:val="0"/>
                <w:webHidden/>
              </w:rPr>
              <w:t>10</w:t>
            </w:r>
            <w:r w:rsidRPr="000749BE">
              <w:rPr>
                <w:b w:val="0"/>
                <w:bCs w:val="0"/>
                <w:webHidden/>
              </w:rPr>
              <w:fldChar w:fldCharType="end"/>
            </w:r>
          </w:hyperlink>
        </w:p>
        <w:p w14:paraId="64EB1CD4" w14:textId="68AA6B1D"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B2511A">
              <w:rPr>
                <w:b w:val="0"/>
                <w:bCs w:val="0"/>
                <w:webHidden/>
              </w:rPr>
              <w:t>10</w:t>
            </w:r>
            <w:r w:rsidRPr="000749BE">
              <w:rPr>
                <w:b w:val="0"/>
                <w:bCs w:val="0"/>
                <w:webHidden/>
              </w:rPr>
              <w:fldChar w:fldCharType="end"/>
            </w:r>
          </w:hyperlink>
        </w:p>
        <w:p w14:paraId="2ABDE4B5" w14:textId="178CD729"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B2511A">
              <w:rPr>
                <w:b w:val="0"/>
                <w:bCs w:val="0"/>
                <w:webHidden/>
              </w:rPr>
              <w:t>11</w:t>
            </w:r>
            <w:r w:rsidRPr="000749BE">
              <w:rPr>
                <w:b w:val="0"/>
                <w:bCs w:val="0"/>
                <w:webHidden/>
              </w:rPr>
              <w:fldChar w:fldCharType="end"/>
            </w:r>
          </w:hyperlink>
        </w:p>
        <w:p w14:paraId="51FBB89D" w14:textId="02F869F4"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B2511A">
              <w:rPr>
                <w:b w:val="0"/>
                <w:bCs w:val="0"/>
                <w:webHidden/>
              </w:rPr>
              <w:t>11</w:t>
            </w:r>
            <w:r w:rsidRPr="000749BE">
              <w:rPr>
                <w:b w:val="0"/>
                <w:bCs w:val="0"/>
                <w:webHidden/>
              </w:rPr>
              <w:fldChar w:fldCharType="end"/>
            </w:r>
          </w:hyperlink>
        </w:p>
        <w:p w14:paraId="40E6361A" w14:textId="45AC8758"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B2511A">
              <w:rPr>
                <w:b w:val="0"/>
                <w:bCs w:val="0"/>
                <w:webHidden/>
              </w:rPr>
              <w:t>12</w:t>
            </w:r>
            <w:r w:rsidRPr="000749BE">
              <w:rPr>
                <w:b w:val="0"/>
                <w:bCs w:val="0"/>
                <w:webHidden/>
              </w:rPr>
              <w:fldChar w:fldCharType="end"/>
            </w:r>
          </w:hyperlink>
        </w:p>
        <w:p w14:paraId="5AB65FD5" w14:textId="476484FD"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B2511A">
              <w:rPr>
                <w:b w:val="0"/>
                <w:bCs w:val="0"/>
                <w:webHidden/>
              </w:rPr>
              <w:t>13</w:t>
            </w:r>
            <w:r w:rsidRPr="000749BE">
              <w:rPr>
                <w:b w:val="0"/>
                <w:bCs w:val="0"/>
                <w:webHidden/>
              </w:rPr>
              <w:fldChar w:fldCharType="end"/>
            </w:r>
          </w:hyperlink>
        </w:p>
        <w:p w14:paraId="218746CC" w14:textId="26F682FB"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B2511A">
              <w:rPr>
                <w:b w:val="0"/>
                <w:bCs w:val="0"/>
                <w:webHidden/>
              </w:rPr>
              <w:t>13</w:t>
            </w:r>
            <w:r w:rsidRPr="000749BE">
              <w:rPr>
                <w:b w:val="0"/>
                <w:bCs w:val="0"/>
                <w:webHidden/>
              </w:rPr>
              <w:fldChar w:fldCharType="end"/>
            </w:r>
          </w:hyperlink>
        </w:p>
        <w:p w14:paraId="5DB3C079" w14:textId="428FE049"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B2511A">
              <w:rPr>
                <w:b w:val="0"/>
                <w:bCs w:val="0"/>
                <w:webHidden/>
              </w:rPr>
              <w:t>14</w:t>
            </w:r>
            <w:r w:rsidRPr="000749BE">
              <w:rPr>
                <w:b w:val="0"/>
                <w:bCs w:val="0"/>
                <w:webHidden/>
              </w:rPr>
              <w:fldChar w:fldCharType="end"/>
            </w:r>
          </w:hyperlink>
        </w:p>
        <w:p w14:paraId="53EBBCEB" w14:textId="215D9D8A"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B2511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0138BA91" w14:textId="77777777" w:rsidR="00845679" w:rsidRPr="00753E4C" w:rsidRDefault="00184B8C" w:rsidP="00845679">
      <w:pPr>
        <w:pStyle w:val="Sraopastraipa"/>
        <w:numPr>
          <w:ilvl w:val="1"/>
          <w:numId w:val="2"/>
        </w:numPr>
        <w:spacing w:after="120" w:line="20" w:lineRule="atLeast"/>
        <w:ind w:left="0" w:firstLine="567"/>
        <w:jc w:val="both"/>
        <w:rPr>
          <w:rFonts w:ascii="Times New Roman" w:hAnsi="Times New Roman" w:cs="Times New Roman"/>
          <w:lang w:val="lt-LT"/>
        </w:rPr>
      </w:pPr>
      <w:r w:rsidRPr="00845679">
        <w:rPr>
          <w:rFonts w:ascii="Times New Roman" w:hAnsi="Times New Roman" w:cs="Times New Roman"/>
          <w:b/>
          <w:bCs/>
          <w:lang w:val="lt-LT"/>
        </w:rPr>
        <w:t>CVP IS</w:t>
      </w:r>
      <w:r w:rsidRPr="00845679">
        <w:rPr>
          <w:rFonts w:ascii="Times New Roman" w:hAnsi="Times New Roman" w:cs="Times New Roman"/>
          <w:lang w:val="lt-LT"/>
        </w:rPr>
        <w:t xml:space="preserve"> – </w:t>
      </w:r>
      <w:r w:rsidRPr="00845679">
        <w:rPr>
          <w:rFonts w:ascii="Times New Roman" w:eastAsia="Calibri" w:hAnsi="Times New Roman" w:cs="Times New Roman"/>
          <w:lang w:val="lt-LT"/>
        </w:rPr>
        <w:t xml:space="preserve">Centrinės viešųjų pirkimų informacinė sistema, adresu </w:t>
      </w:r>
      <w:hyperlink r:id="rId15" w:history="1">
        <w:r w:rsidR="00845679"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7859F6B5" w:rsidR="00E2488F" w:rsidRPr="00845679" w:rsidRDefault="00E2488F" w:rsidP="001663F4">
      <w:pPr>
        <w:pStyle w:val="Sraopastraipa"/>
        <w:numPr>
          <w:ilvl w:val="1"/>
          <w:numId w:val="2"/>
        </w:numPr>
        <w:spacing w:after="120" w:line="20" w:lineRule="atLeast"/>
        <w:ind w:left="0" w:firstLine="567"/>
        <w:jc w:val="both"/>
        <w:rPr>
          <w:rFonts w:ascii="Times New Roman" w:hAnsi="Times New Roman" w:cs="Times New Roman"/>
          <w:lang w:val="lt-LT"/>
        </w:rPr>
      </w:pPr>
      <w:r w:rsidRPr="00845679">
        <w:rPr>
          <w:rFonts w:ascii="Times New Roman" w:hAnsi="Times New Roman" w:cs="Times New Roman"/>
          <w:b/>
          <w:bCs/>
          <w:lang w:val="lt-LT"/>
        </w:rPr>
        <w:t xml:space="preserve">Dalyvis </w:t>
      </w:r>
      <w:r w:rsidRPr="00845679">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739AA66A" w:rsidR="00333DA7" w:rsidRPr="008014A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8014AE">
        <w:rPr>
          <w:rFonts w:ascii="Times New Roman" w:eastAsia="Calibri" w:hAnsi="Times New Roman" w:cs="Times New Roman"/>
          <w:lang w:val="lt-LT"/>
        </w:rPr>
        <w:t>Perkančioji organizacija</w:t>
      </w:r>
      <w:r w:rsidR="006F51DD" w:rsidRPr="008014AE">
        <w:rPr>
          <w:rFonts w:ascii="Times New Roman" w:eastAsia="Calibri" w:hAnsi="Times New Roman" w:cs="Times New Roman"/>
          <w:lang w:val="lt-LT"/>
        </w:rPr>
        <w:t xml:space="preserve"> kviečia tiekėjus dalyvauti </w:t>
      </w:r>
      <w:r w:rsidR="00DF0343" w:rsidRPr="008014AE">
        <w:rPr>
          <w:rFonts w:ascii="Times New Roman" w:eastAsia="Calibri" w:hAnsi="Times New Roman" w:cs="Times New Roman"/>
          <w:lang w:val="lt-LT"/>
        </w:rPr>
        <w:t>p</w:t>
      </w:r>
      <w:r w:rsidR="006F51DD" w:rsidRPr="008014AE">
        <w:rPr>
          <w:rFonts w:ascii="Times New Roman" w:eastAsia="Calibri" w:hAnsi="Times New Roman" w:cs="Times New Roman"/>
          <w:lang w:val="lt-LT"/>
        </w:rPr>
        <w:t xml:space="preserve">irkime, atliekamame </w:t>
      </w:r>
      <w:r w:rsidR="00DF0343" w:rsidRPr="008014AE">
        <w:rPr>
          <w:rFonts w:ascii="Times New Roman" w:eastAsia="Calibri" w:hAnsi="Times New Roman" w:cs="Times New Roman"/>
          <w:lang w:val="lt-LT"/>
        </w:rPr>
        <w:t>atviro konkurso</w:t>
      </w:r>
      <w:r w:rsidR="006F51DD" w:rsidRPr="008014AE">
        <w:rPr>
          <w:rFonts w:ascii="Times New Roman" w:eastAsia="Calibri" w:hAnsi="Times New Roman" w:cs="Times New Roman"/>
          <w:lang w:val="lt-LT"/>
        </w:rPr>
        <w:t xml:space="preserve"> būdu, siekiant įsigyti </w:t>
      </w:r>
      <w:r w:rsidR="00DF0343" w:rsidRPr="008014AE">
        <w:rPr>
          <w:rFonts w:ascii="Times New Roman" w:eastAsia="Calibri" w:hAnsi="Times New Roman" w:cs="Times New Roman"/>
          <w:lang w:val="lt-LT"/>
        </w:rPr>
        <w:t>p</w:t>
      </w:r>
      <w:r w:rsidR="006F51DD" w:rsidRPr="008014AE">
        <w:rPr>
          <w:rFonts w:ascii="Times New Roman" w:eastAsia="Calibri" w:hAnsi="Times New Roman" w:cs="Times New Roman"/>
          <w:lang w:val="lt-LT"/>
        </w:rPr>
        <w:t xml:space="preserve">irkimo objektą, kurio techninė specifikacija pateikta </w:t>
      </w:r>
      <w:r w:rsidR="00D93DD0" w:rsidRPr="008014AE">
        <w:rPr>
          <w:rFonts w:ascii="Times New Roman" w:eastAsia="Calibri" w:hAnsi="Times New Roman" w:cs="Times New Roman"/>
          <w:lang w:val="lt-LT"/>
        </w:rPr>
        <w:t>s</w:t>
      </w:r>
      <w:r w:rsidR="006F51DD" w:rsidRPr="008014AE">
        <w:rPr>
          <w:rFonts w:ascii="Times New Roman" w:eastAsia="Calibri" w:hAnsi="Times New Roman" w:cs="Times New Roman"/>
          <w:lang w:val="lt-LT"/>
        </w:rPr>
        <w:t>pecial</w:t>
      </w:r>
      <w:r w:rsidR="00675588" w:rsidRPr="008014AE">
        <w:rPr>
          <w:rFonts w:ascii="Times New Roman" w:eastAsia="Calibri" w:hAnsi="Times New Roman" w:cs="Times New Roman"/>
          <w:lang w:val="lt-LT"/>
        </w:rPr>
        <w:t xml:space="preserve">iųjų pirkimo </w:t>
      </w:r>
      <w:r w:rsidR="006F51DD" w:rsidRPr="008014AE">
        <w:rPr>
          <w:rFonts w:ascii="Times New Roman" w:eastAsia="Calibri" w:hAnsi="Times New Roman" w:cs="Times New Roman"/>
          <w:lang w:val="lt-LT"/>
        </w:rPr>
        <w:t>sąlyg</w:t>
      </w:r>
      <w:r w:rsidR="00675588" w:rsidRPr="008014AE">
        <w:rPr>
          <w:rFonts w:ascii="Times New Roman" w:eastAsia="Calibri" w:hAnsi="Times New Roman" w:cs="Times New Roman"/>
          <w:lang w:val="lt-LT"/>
        </w:rPr>
        <w:t xml:space="preserve">ų </w:t>
      </w:r>
      <w:r w:rsidR="00773797" w:rsidRPr="008014AE">
        <w:rPr>
          <w:rFonts w:ascii="Times New Roman" w:eastAsia="Calibri" w:hAnsi="Times New Roman" w:cs="Times New Roman"/>
          <w:lang w:val="lt-LT"/>
        </w:rPr>
        <w:t xml:space="preserve">2 </w:t>
      </w:r>
      <w:r w:rsidR="00675588" w:rsidRPr="008014AE">
        <w:rPr>
          <w:rFonts w:ascii="Times New Roman" w:eastAsia="Calibri" w:hAnsi="Times New Roman" w:cs="Times New Roman"/>
          <w:lang w:val="lt-LT"/>
        </w:rPr>
        <w:t>priede</w:t>
      </w:r>
      <w:r w:rsidR="00773797" w:rsidRPr="008014AE">
        <w:rPr>
          <w:rFonts w:ascii="Times New Roman" w:eastAsia="Calibri" w:hAnsi="Times New Roman" w:cs="Times New Roman"/>
          <w:lang w:val="lt-LT"/>
        </w:rPr>
        <w:t xml:space="preserve"> „Techninė specifikacija“</w:t>
      </w:r>
      <w:r w:rsidR="008014AE" w:rsidRPr="008014AE">
        <w:rPr>
          <w:rFonts w:ascii="Times New Roman" w:eastAsia="Calibri" w:hAnsi="Times New Roman" w:cs="Times New Roman"/>
          <w:i/>
          <w:iCs/>
          <w:lang w:val="lt-LT"/>
        </w:rPr>
        <w:t>.</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lastRenderedPageBreak/>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lastRenderedPageBreak/>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537A0544"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7" w:history="1">
        <w:r w:rsidR="00845679" w:rsidRPr="00BE5AF8">
          <w:rPr>
            <w:rStyle w:val="Hipersaitas"/>
            <w:rFonts w:ascii="Times New Roman" w:hAnsi="Times New Roman" w:cs="Times New Roman"/>
            <w:color w:val="4472C4" w:themeColor="accent1"/>
            <w:lang w:val="lt-LT"/>
          </w:rPr>
          <w:t>https://viesiejipirkimai.lt/epps/home.do</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4107AD11"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B22566" w:rsidRPr="00B22566">
        <w:rPr>
          <w:rFonts w:ascii="Times New Roman" w:eastAsia="Calibri" w:hAnsi="Times New Roman" w:cs="Times New Roman"/>
          <w:lang w:val="lt-LT"/>
        </w:rPr>
        <w:t xml:space="preserve"> </w:t>
      </w:r>
      <w:hyperlink r:id="rId18" w:history="1">
        <w:r w:rsidR="00845679" w:rsidRPr="00BE5AF8">
          <w:rPr>
            <w:rStyle w:val="Hipersaitas"/>
            <w:rFonts w:ascii="Times New Roman" w:hAnsi="Times New Roman" w:cs="Times New Roman"/>
            <w:color w:val="4472C4" w:themeColor="accent1"/>
            <w:lang w:val="lt-LT"/>
          </w:rPr>
          <w:t>https://viesiejipirkimai.lt/epps/home.do</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0AB6EF0D"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FC7D76">
        <w:rPr>
          <w:rFonts w:ascii="Times New Roman" w:hAnsi="Times New Roman" w:cs="Times New Roman"/>
          <w:b/>
          <w:lang w:val="lt-LT"/>
        </w:rPr>
        <w:t>30</w:t>
      </w:r>
      <w:r w:rsidR="00277C30" w:rsidRPr="00D83622">
        <w:rPr>
          <w:rFonts w:ascii="Times New Roman" w:hAnsi="Times New Roman" w:cs="Times New Roman"/>
          <w:b/>
          <w:lang w:val="lt-LT"/>
        </w:rPr>
        <w:t xml:space="preserve">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82CC" w14:textId="77777777" w:rsidR="00240370" w:rsidRDefault="00240370" w:rsidP="00184B8C">
      <w:pPr>
        <w:spacing w:after="0" w:line="240" w:lineRule="auto"/>
      </w:pPr>
      <w:r>
        <w:separator/>
      </w:r>
    </w:p>
  </w:endnote>
  <w:endnote w:type="continuationSeparator" w:id="0">
    <w:p w14:paraId="2E6FE345" w14:textId="77777777" w:rsidR="00240370" w:rsidRDefault="00240370" w:rsidP="00184B8C">
      <w:pPr>
        <w:spacing w:after="0" w:line="240" w:lineRule="auto"/>
      </w:pPr>
      <w:r>
        <w:continuationSeparator/>
      </w:r>
    </w:p>
  </w:endnote>
  <w:endnote w:type="continuationNotice" w:id="1">
    <w:p w14:paraId="4DC0F855" w14:textId="77777777" w:rsidR="00240370" w:rsidRDefault="00240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2594" w14:textId="77777777" w:rsidR="00240370" w:rsidRDefault="00240370" w:rsidP="00184B8C">
      <w:pPr>
        <w:spacing w:after="0" w:line="240" w:lineRule="auto"/>
      </w:pPr>
      <w:r>
        <w:separator/>
      </w:r>
    </w:p>
  </w:footnote>
  <w:footnote w:type="continuationSeparator" w:id="0">
    <w:p w14:paraId="5DE3DC04" w14:textId="77777777" w:rsidR="00240370" w:rsidRDefault="00240370" w:rsidP="00184B8C">
      <w:pPr>
        <w:spacing w:after="0" w:line="240" w:lineRule="auto"/>
      </w:pPr>
      <w:r>
        <w:continuationSeparator/>
      </w:r>
    </w:p>
  </w:footnote>
  <w:footnote w:type="continuationNotice" w:id="1">
    <w:p w14:paraId="07F55D28" w14:textId="77777777" w:rsidR="00240370" w:rsidRDefault="00240370">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324"/>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894"/>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B6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370"/>
    <w:rsid w:val="002403CF"/>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9BB"/>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D7F0C"/>
    <w:rsid w:val="002E0932"/>
    <w:rsid w:val="002E2B05"/>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03C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4A"/>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B72"/>
    <w:rsid w:val="00546C35"/>
    <w:rsid w:val="00546DF5"/>
    <w:rsid w:val="0054702D"/>
    <w:rsid w:val="0054715D"/>
    <w:rsid w:val="0054792A"/>
    <w:rsid w:val="00550B41"/>
    <w:rsid w:val="00551774"/>
    <w:rsid w:val="00554896"/>
    <w:rsid w:val="00556425"/>
    <w:rsid w:val="005578DE"/>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ABC"/>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1E7"/>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4101"/>
    <w:rsid w:val="00705951"/>
    <w:rsid w:val="00706747"/>
    <w:rsid w:val="0070677A"/>
    <w:rsid w:val="00706FC4"/>
    <w:rsid w:val="00707A57"/>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0A2F"/>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B6"/>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DE"/>
    <w:rsid w:val="007F1290"/>
    <w:rsid w:val="007F1AE5"/>
    <w:rsid w:val="007F2EB9"/>
    <w:rsid w:val="007F2EED"/>
    <w:rsid w:val="007F43CE"/>
    <w:rsid w:val="007F4418"/>
    <w:rsid w:val="007F5133"/>
    <w:rsid w:val="007F608B"/>
    <w:rsid w:val="007F65E5"/>
    <w:rsid w:val="007F65EA"/>
    <w:rsid w:val="007F709F"/>
    <w:rsid w:val="00800334"/>
    <w:rsid w:val="008014AE"/>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679"/>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4E43"/>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FD1"/>
    <w:rsid w:val="008D65EF"/>
    <w:rsid w:val="008D6AC7"/>
    <w:rsid w:val="008D6AF2"/>
    <w:rsid w:val="008D74E5"/>
    <w:rsid w:val="008D796F"/>
    <w:rsid w:val="008D7B4D"/>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05C"/>
    <w:rsid w:val="0097267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F2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566"/>
    <w:rsid w:val="00B22BD0"/>
    <w:rsid w:val="00B22C1C"/>
    <w:rsid w:val="00B2371B"/>
    <w:rsid w:val="00B24236"/>
    <w:rsid w:val="00B24EBA"/>
    <w:rsid w:val="00B2511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943"/>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368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5BFD"/>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1E0"/>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5A82"/>
    <w:rsid w:val="00D35B43"/>
    <w:rsid w:val="00D35BCA"/>
    <w:rsid w:val="00D36681"/>
    <w:rsid w:val="00D369B9"/>
    <w:rsid w:val="00D36A03"/>
    <w:rsid w:val="00D36BAE"/>
    <w:rsid w:val="00D3755A"/>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47A9"/>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E6A8C"/>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630"/>
    <w:rsid w:val="00E45939"/>
    <w:rsid w:val="00E476D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4F0A"/>
    <w:rsid w:val="00F45917"/>
    <w:rsid w:val="00F45944"/>
    <w:rsid w:val="00F45EEE"/>
    <w:rsid w:val="00F46B82"/>
    <w:rsid w:val="00F501F7"/>
    <w:rsid w:val="00F50252"/>
    <w:rsid w:val="00F508F6"/>
    <w:rsid w:val="00F51165"/>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CA4"/>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97CD0"/>
    <w:rsid w:val="00FA0133"/>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C7D76"/>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95B"/>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550C8"/>
    <w:rsid w:val="000B1A64"/>
    <w:rsid w:val="000C5191"/>
    <w:rsid w:val="001434E1"/>
    <w:rsid w:val="001606F4"/>
    <w:rsid w:val="00165F53"/>
    <w:rsid w:val="00181471"/>
    <w:rsid w:val="001A142E"/>
    <w:rsid w:val="001A5316"/>
    <w:rsid w:val="001A6B92"/>
    <w:rsid w:val="001C3243"/>
    <w:rsid w:val="00207185"/>
    <w:rsid w:val="0020766A"/>
    <w:rsid w:val="002223C0"/>
    <w:rsid w:val="00237DC5"/>
    <w:rsid w:val="00244C86"/>
    <w:rsid w:val="002661E7"/>
    <w:rsid w:val="00266E4F"/>
    <w:rsid w:val="002717BE"/>
    <w:rsid w:val="00275C7F"/>
    <w:rsid w:val="0028710F"/>
    <w:rsid w:val="00292321"/>
    <w:rsid w:val="002A2CE7"/>
    <w:rsid w:val="002C392B"/>
    <w:rsid w:val="002E2B05"/>
    <w:rsid w:val="002F0E8D"/>
    <w:rsid w:val="00317ACB"/>
    <w:rsid w:val="00336D7E"/>
    <w:rsid w:val="00352916"/>
    <w:rsid w:val="00360A53"/>
    <w:rsid w:val="003749C5"/>
    <w:rsid w:val="00382923"/>
    <w:rsid w:val="003E6EE4"/>
    <w:rsid w:val="003F4FD3"/>
    <w:rsid w:val="00430FCE"/>
    <w:rsid w:val="004361CD"/>
    <w:rsid w:val="00444F51"/>
    <w:rsid w:val="00482F35"/>
    <w:rsid w:val="00483F63"/>
    <w:rsid w:val="00493487"/>
    <w:rsid w:val="004A76C5"/>
    <w:rsid w:val="004C6117"/>
    <w:rsid w:val="00517F99"/>
    <w:rsid w:val="00533072"/>
    <w:rsid w:val="00550B41"/>
    <w:rsid w:val="005675CF"/>
    <w:rsid w:val="005729F3"/>
    <w:rsid w:val="005810C1"/>
    <w:rsid w:val="005834A3"/>
    <w:rsid w:val="005E16E8"/>
    <w:rsid w:val="00601AF4"/>
    <w:rsid w:val="00606C3D"/>
    <w:rsid w:val="00645936"/>
    <w:rsid w:val="0069247E"/>
    <w:rsid w:val="00693424"/>
    <w:rsid w:val="006A0DC4"/>
    <w:rsid w:val="006B2D23"/>
    <w:rsid w:val="006C28A6"/>
    <w:rsid w:val="006C391D"/>
    <w:rsid w:val="006D5783"/>
    <w:rsid w:val="006E34FF"/>
    <w:rsid w:val="006F717D"/>
    <w:rsid w:val="007067F2"/>
    <w:rsid w:val="00707A57"/>
    <w:rsid w:val="0071291F"/>
    <w:rsid w:val="00720A2F"/>
    <w:rsid w:val="00734612"/>
    <w:rsid w:val="00735195"/>
    <w:rsid w:val="00736074"/>
    <w:rsid w:val="00790A1C"/>
    <w:rsid w:val="007B64B6"/>
    <w:rsid w:val="007D68C4"/>
    <w:rsid w:val="007F042B"/>
    <w:rsid w:val="0080023D"/>
    <w:rsid w:val="00803091"/>
    <w:rsid w:val="00826AF2"/>
    <w:rsid w:val="00842D8B"/>
    <w:rsid w:val="00842E0B"/>
    <w:rsid w:val="00870009"/>
    <w:rsid w:val="008972D3"/>
    <w:rsid w:val="008D7B4D"/>
    <w:rsid w:val="008E3986"/>
    <w:rsid w:val="008F0E2C"/>
    <w:rsid w:val="008F17FD"/>
    <w:rsid w:val="009400D0"/>
    <w:rsid w:val="00945412"/>
    <w:rsid w:val="009467A4"/>
    <w:rsid w:val="009669F6"/>
    <w:rsid w:val="009809C9"/>
    <w:rsid w:val="00986DA0"/>
    <w:rsid w:val="009E4598"/>
    <w:rsid w:val="00A17103"/>
    <w:rsid w:val="00A43FFE"/>
    <w:rsid w:val="00A52AAC"/>
    <w:rsid w:val="00A60F2B"/>
    <w:rsid w:val="00A67EAF"/>
    <w:rsid w:val="00AB26ED"/>
    <w:rsid w:val="00AC703D"/>
    <w:rsid w:val="00B04A47"/>
    <w:rsid w:val="00B110D9"/>
    <w:rsid w:val="00B117EC"/>
    <w:rsid w:val="00B15794"/>
    <w:rsid w:val="00B15D5D"/>
    <w:rsid w:val="00B34251"/>
    <w:rsid w:val="00B913D0"/>
    <w:rsid w:val="00B92C2D"/>
    <w:rsid w:val="00BA4285"/>
    <w:rsid w:val="00BC1087"/>
    <w:rsid w:val="00BE03D5"/>
    <w:rsid w:val="00C21BEC"/>
    <w:rsid w:val="00C40F63"/>
    <w:rsid w:val="00CD5F1C"/>
    <w:rsid w:val="00CE3250"/>
    <w:rsid w:val="00D03A3B"/>
    <w:rsid w:val="00D07460"/>
    <w:rsid w:val="00D23DD6"/>
    <w:rsid w:val="00D33352"/>
    <w:rsid w:val="00D3755A"/>
    <w:rsid w:val="00D50334"/>
    <w:rsid w:val="00D63C44"/>
    <w:rsid w:val="00D8236E"/>
    <w:rsid w:val="00D85F1A"/>
    <w:rsid w:val="00D93133"/>
    <w:rsid w:val="00D93980"/>
    <w:rsid w:val="00D953CC"/>
    <w:rsid w:val="00DC4FE0"/>
    <w:rsid w:val="00E4427C"/>
    <w:rsid w:val="00E476D3"/>
    <w:rsid w:val="00E57B06"/>
    <w:rsid w:val="00E82A7B"/>
    <w:rsid w:val="00E87071"/>
    <w:rsid w:val="00E96B48"/>
    <w:rsid w:val="00E97C9F"/>
    <w:rsid w:val="00EB0EF1"/>
    <w:rsid w:val="00EC43FB"/>
    <w:rsid w:val="00F0023A"/>
    <w:rsid w:val="00F02E7D"/>
    <w:rsid w:val="00F047D1"/>
    <w:rsid w:val="00F06192"/>
    <w:rsid w:val="00F206EF"/>
    <w:rsid w:val="00F27CAA"/>
    <w:rsid w:val="00F97CD0"/>
    <w:rsid w:val="00FB5A01"/>
    <w:rsid w:val="00FC2523"/>
    <w:rsid w:val="00FD09C0"/>
    <w:rsid w:val="00FD39FD"/>
    <w:rsid w:val="00FE3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9203</Words>
  <Characters>52460</Characters>
  <Application>Microsoft Office Word</Application>
  <DocSecurity>0</DocSecurity>
  <Lines>437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61540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32</cp:revision>
  <cp:lastPrinted>2024-05-22T10:09:00Z</cp:lastPrinted>
  <dcterms:created xsi:type="dcterms:W3CDTF">2024-09-24T05:53:00Z</dcterms:created>
  <dcterms:modified xsi:type="dcterms:W3CDTF">2025-05-02T06:30:00Z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