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6B751E" w:rsidRDefault="00B45066" w:rsidP="0046523E">
      <w:pPr>
        <w:ind w:firstLine="851"/>
        <w:jc w:val="center"/>
        <w:rPr>
          <w:b/>
          <w:caps/>
        </w:rPr>
      </w:pPr>
      <w:r>
        <w:rPr>
          <w:b/>
          <w:caps/>
        </w:rPr>
        <w:t xml:space="preserve">KONFERENCIJŲ SALĖS NUOMOS IR </w:t>
      </w:r>
      <w:r w:rsidR="006B751E">
        <w:rPr>
          <w:b/>
          <w:caps/>
        </w:rPr>
        <w:t xml:space="preserve">APGYVENDINIMO </w:t>
      </w:r>
      <w:r w:rsidR="00CA6D59">
        <w:rPr>
          <w:b/>
          <w:caps/>
        </w:rPr>
        <w:t>paslaugo</w:t>
      </w:r>
      <w:r w:rsidR="00CA6D59" w:rsidRPr="00CA6D59">
        <w:rPr>
          <w:b/>
          <w:caps/>
        </w:rPr>
        <w:t xml:space="preserve">s </w:t>
      </w:r>
    </w:p>
    <w:p w:rsidR="007A2978" w:rsidRPr="007A2978" w:rsidRDefault="007A2978" w:rsidP="0046523E">
      <w:pPr>
        <w:ind w:firstLine="851"/>
        <w:jc w:val="center"/>
        <w:rPr>
          <w:b/>
          <w:caps/>
        </w:rPr>
      </w:pPr>
      <w:r w:rsidRPr="007A2978">
        <w:rPr>
          <w:b/>
          <w:caps/>
        </w:rPr>
        <w:t>MAŽOS VERTĖS PIRKIMO</w:t>
      </w:r>
    </w:p>
    <w:p w:rsidR="00440772" w:rsidRPr="009C2504" w:rsidRDefault="007A2978" w:rsidP="0046523E">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46523E">
      <w:pPr>
        <w:pStyle w:val="BodyTextIndent"/>
        <w:spacing w:after="0"/>
        <w:ind w:left="0" w:right="282" w:firstLine="851"/>
        <w:jc w:val="center"/>
      </w:pPr>
    </w:p>
    <w:p w:rsidR="00DA3F02" w:rsidRPr="00780600" w:rsidRDefault="00DA3F02" w:rsidP="0046523E">
      <w:pPr>
        <w:pStyle w:val="BodyTextIndent"/>
        <w:spacing w:after="0"/>
        <w:ind w:left="0" w:right="282" w:firstLine="851"/>
        <w:jc w:val="center"/>
      </w:pPr>
      <w:r w:rsidRPr="00780600">
        <w:t>TURINYS</w:t>
      </w:r>
    </w:p>
    <w:p w:rsidR="00DA3F02" w:rsidRPr="00780600" w:rsidRDefault="00DA3F02" w:rsidP="0046523E">
      <w:pPr>
        <w:pStyle w:val="BodyTextIndent"/>
        <w:spacing w:after="0"/>
        <w:ind w:left="0" w:right="282" w:firstLine="851"/>
        <w:jc w:val="both"/>
        <w:rPr>
          <w:bCs/>
        </w:rPr>
      </w:pPr>
    </w:p>
    <w:p w:rsidR="00DA3F02" w:rsidRPr="00780600" w:rsidRDefault="00DA3F02" w:rsidP="00163F14">
      <w:pPr>
        <w:pStyle w:val="BodyTextIndent"/>
        <w:numPr>
          <w:ilvl w:val="0"/>
          <w:numId w:val="8"/>
        </w:numPr>
        <w:spacing w:after="0"/>
        <w:ind w:left="0" w:firstLine="851"/>
        <w:jc w:val="both"/>
      </w:pPr>
      <w:r w:rsidRPr="00780600">
        <w:t>BENDROSIOS NUOSTATOS</w:t>
      </w:r>
    </w:p>
    <w:p w:rsidR="00126AE7" w:rsidRPr="00780600" w:rsidRDefault="00DA3F02" w:rsidP="00163F14">
      <w:pPr>
        <w:pStyle w:val="BodyTextIndent"/>
        <w:numPr>
          <w:ilvl w:val="0"/>
          <w:numId w:val="8"/>
        </w:numPr>
        <w:spacing w:after="0"/>
        <w:ind w:left="0" w:firstLine="851"/>
        <w:jc w:val="both"/>
      </w:pPr>
      <w:r w:rsidRPr="00780600">
        <w:rPr>
          <w:bCs/>
        </w:rPr>
        <w:t>PIRKIMO OBJEKTAS</w:t>
      </w:r>
    </w:p>
    <w:p w:rsidR="00126AE7" w:rsidRPr="003411CE" w:rsidRDefault="00126AE7" w:rsidP="00163F14">
      <w:pPr>
        <w:pStyle w:val="ListParagraph"/>
        <w:numPr>
          <w:ilvl w:val="0"/>
          <w:numId w:val="8"/>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163F14">
      <w:pPr>
        <w:pStyle w:val="BodyTextIndent"/>
        <w:numPr>
          <w:ilvl w:val="0"/>
          <w:numId w:val="8"/>
        </w:numPr>
        <w:spacing w:after="0"/>
        <w:ind w:left="0" w:firstLine="851"/>
        <w:jc w:val="both"/>
      </w:pPr>
      <w:r w:rsidRPr="002D412A">
        <w:t xml:space="preserve">ŪKIO SUBJEKTŲ GRUPĖS </w:t>
      </w:r>
      <w:r w:rsidR="00DA3F02" w:rsidRPr="00780600">
        <w:t>DALYVAVIMAS PIRKIMO PROCEDŪROSE</w:t>
      </w:r>
    </w:p>
    <w:p w:rsidR="00126AE7" w:rsidRPr="00780600" w:rsidRDefault="00DA3F02" w:rsidP="00163F14">
      <w:pPr>
        <w:pStyle w:val="BodyTextIndent"/>
        <w:numPr>
          <w:ilvl w:val="0"/>
          <w:numId w:val="8"/>
        </w:numPr>
        <w:spacing w:after="0"/>
        <w:ind w:left="0" w:firstLine="851"/>
        <w:jc w:val="both"/>
      </w:pPr>
      <w:r w:rsidRPr="00780600">
        <w:t>PASIŪLYMŲ</w:t>
      </w:r>
      <w:r w:rsidR="004E7614">
        <w:t xml:space="preserve"> RENGIMO</w:t>
      </w:r>
      <w:r w:rsidRPr="00780600">
        <w:t xml:space="preserve"> BENDRIEJI REIKALAVIMAI </w:t>
      </w:r>
    </w:p>
    <w:p w:rsidR="00126AE7" w:rsidRPr="00780600" w:rsidRDefault="00DA3F02" w:rsidP="00163F14">
      <w:pPr>
        <w:pStyle w:val="BodyTextIndent"/>
        <w:numPr>
          <w:ilvl w:val="0"/>
          <w:numId w:val="8"/>
        </w:numPr>
        <w:spacing w:after="0"/>
        <w:ind w:left="0" w:firstLine="851"/>
        <w:jc w:val="both"/>
      </w:pPr>
      <w:r w:rsidRPr="00780600">
        <w:t>PASIŪLYMŲ GALIOJIMAS</w:t>
      </w:r>
    </w:p>
    <w:p w:rsidR="00126AE7" w:rsidRPr="00780600" w:rsidRDefault="00DA3F02" w:rsidP="00163F14">
      <w:pPr>
        <w:pStyle w:val="BodyTextIndent"/>
        <w:numPr>
          <w:ilvl w:val="0"/>
          <w:numId w:val="8"/>
        </w:numPr>
        <w:spacing w:after="0"/>
        <w:ind w:left="0" w:firstLine="851"/>
        <w:jc w:val="both"/>
      </w:pPr>
      <w:r w:rsidRPr="00780600">
        <w:rPr>
          <w:bCs/>
        </w:rPr>
        <w:t>PASIŪLYMŲ PATEIKIMO TERMINAI IR TVARKA</w:t>
      </w:r>
    </w:p>
    <w:p w:rsidR="00126AE7" w:rsidRPr="00780600" w:rsidRDefault="00DA3F02" w:rsidP="00163F14">
      <w:pPr>
        <w:pStyle w:val="BodyTextIndent"/>
        <w:numPr>
          <w:ilvl w:val="0"/>
          <w:numId w:val="8"/>
        </w:numPr>
        <w:spacing w:after="0"/>
        <w:ind w:left="0" w:firstLine="851"/>
        <w:jc w:val="both"/>
      </w:pPr>
      <w:r w:rsidRPr="00780600">
        <w:rPr>
          <w:bCs/>
        </w:rPr>
        <w:t>PASIŪLYMŲ ŠIFRAVIMAS</w:t>
      </w:r>
    </w:p>
    <w:p w:rsidR="00126AE7" w:rsidRPr="00780600" w:rsidRDefault="00DA3F02" w:rsidP="00163F14">
      <w:pPr>
        <w:pStyle w:val="BodyTextIndent"/>
        <w:numPr>
          <w:ilvl w:val="0"/>
          <w:numId w:val="8"/>
        </w:numPr>
        <w:spacing w:after="0"/>
        <w:ind w:left="0" w:firstLine="851"/>
        <w:jc w:val="both"/>
      </w:pPr>
      <w:r w:rsidRPr="00780600">
        <w:rPr>
          <w:rStyle w:val="Hyperlink"/>
          <w:color w:val="auto"/>
          <w:u w:val="none"/>
        </w:rPr>
        <w:t>PIRKIMO SĄLYGŲ PAAIŠKINIMAS IR PATIKSLINIMAS</w:t>
      </w:r>
    </w:p>
    <w:p w:rsidR="00DA3F02" w:rsidRPr="003411CE" w:rsidRDefault="00126AE7" w:rsidP="00163F14">
      <w:pPr>
        <w:pStyle w:val="BodyTextIndent"/>
        <w:numPr>
          <w:ilvl w:val="0"/>
          <w:numId w:val="8"/>
        </w:numPr>
        <w:spacing w:after="0"/>
        <w:ind w:left="0" w:firstLine="851"/>
        <w:jc w:val="both"/>
        <w:rPr>
          <w:rStyle w:val="Hyperlink"/>
          <w:color w:val="auto"/>
          <w:u w:val="none"/>
        </w:rPr>
      </w:pPr>
      <w:r w:rsidRPr="00126AE7">
        <w:t>SUSIPAŽINIMO SU GAUTAIS PASIŪLYMAIS IR JŲ NAGRINĖJIMO PROCEDŪROS</w:t>
      </w:r>
    </w:p>
    <w:p w:rsidR="00126AE7" w:rsidRPr="003411CE" w:rsidRDefault="00DA3F02" w:rsidP="00163F14">
      <w:pPr>
        <w:pStyle w:val="BodyTextIndent"/>
        <w:numPr>
          <w:ilvl w:val="0"/>
          <w:numId w:val="8"/>
        </w:numPr>
        <w:spacing w:after="0"/>
        <w:ind w:left="0" w:firstLine="851"/>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163F14">
      <w:pPr>
        <w:pStyle w:val="BodyTextIndent"/>
        <w:numPr>
          <w:ilvl w:val="0"/>
          <w:numId w:val="8"/>
        </w:numPr>
        <w:spacing w:after="0"/>
        <w:ind w:left="0" w:firstLine="851"/>
        <w:jc w:val="both"/>
      </w:pPr>
      <w:r w:rsidRPr="00780600">
        <w:t>PIRKIMO SUTARTIES SUDARYMAS IR JOS SĄLYGOS</w:t>
      </w:r>
    </w:p>
    <w:p w:rsidR="00512F68" w:rsidRPr="00780600" w:rsidRDefault="00DA3F02" w:rsidP="00163F14">
      <w:pPr>
        <w:pStyle w:val="BodyTextIndent"/>
        <w:numPr>
          <w:ilvl w:val="0"/>
          <w:numId w:val="8"/>
        </w:numPr>
        <w:spacing w:after="0"/>
        <w:ind w:left="0" w:firstLine="851"/>
        <w:jc w:val="both"/>
      </w:pPr>
      <w:r w:rsidRPr="00780600">
        <w:t>PRETENZIJŲ IR SKUNDŲ NAGRINĖJIMO TVARKA</w:t>
      </w:r>
    </w:p>
    <w:p w:rsidR="004B58C4" w:rsidRDefault="004B58C4" w:rsidP="00163F14">
      <w:pPr>
        <w:pStyle w:val="BodyTextIndent"/>
        <w:numPr>
          <w:ilvl w:val="0"/>
          <w:numId w:val="8"/>
        </w:numPr>
        <w:spacing w:after="0"/>
        <w:ind w:left="0" w:firstLine="851"/>
        <w:jc w:val="both"/>
      </w:pPr>
      <w:r>
        <w:t>BAIGIAMOSIOS NUOSTATOS</w:t>
      </w:r>
    </w:p>
    <w:p w:rsidR="00212566" w:rsidRDefault="00212566" w:rsidP="0046523E">
      <w:pPr>
        <w:pStyle w:val="BodyTextIndent"/>
        <w:spacing w:after="0"/>
        <w:ind w:left="0" w:firstLine="851"/>
        <w:jc w:val="both"/>
      </w:pPr>
    </w:p>
    <w:p w:rsidR="00DA3F02" w:rsidRDefault="00DA3F02" w:rsidP="0046523E">
      <w:pPr>
        <w:pStyle w:val="BodyTextIndent"/>
        <w:spacing w:after="0"/>
        <w:ind w:left="0" w:firstLine="851"/>
        <w:jc w:val="both"/>
      </w:pPr>
      <w:r w:rsidRPr="00780600">
        <w:t>PRIEDAI:</w:t>
      </w:r>
    </w:p>
    <w:p w:rsidR="00257FE9" w:rsidRDefault="00257FE9" w:rsidP="0046523E">
      <w:pPr>
        <w:pStyle w:val="BodyTextIndent"/>
        <w:spacing w:after="0"/>
        <w:ind w:left="0" w:firstLine="851"/>
        <w:jc w:val="both"/>
        <w:rPr>
          <w:rFonts w:eastAsia="Arial Unicode MS"/>
        </w:rPr>
      </w:pP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1 priedas</w:t>
      </w:r>
      <w:r w:rsidR="009D2C4F" w:rsidRPr="009D2C4F">
        <w:rPr>
          <w:rFonts w:eastAsia="Arial Unicode MS"/>
        </w:rPr>
        <w:t xml:space="preserve"> „Pasiūlymo forma“ (toliau – </w:t>
      </w:r>
      <w:r>
        <w:rPr>
          <w:rFonts w:eastAsia="Arial Unicode MS"/>
        </w:rPr>
        <w:t>1 priedas)</w:t>
      </w:r>
      <w:r w:rsidR="009D2C4F" w:rsidRPr="009D2C4F">
        <w:rPr>
          <w:rFonts w:eastAsia="Arial Unicode MS"/>
        </w:rPr>
        <w:t xml:space="preserve">; </w:t>
      </w: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2 priedas</w:t>
      </w:r>
      <w:r w:rsidR="009D2C4F" w:rsidRPr="009D2C4F">
        <w:rPr>
          <w:rFonts w:eastAsia="Arial Unicode MS"/>
        </w:rPr>
        <w:t xml:space="preserve"> „Techninė specifikacija“, (toliau – </w:t>
      </w:r>
      <w:r>
        <w:rPr>
          <w:rFonts w:eastAsia="Arial Unicode MS"/>
        </w:rPr>
        <w:t>2 priedas</w:t>
      </w:r>
      <w:r w:rsidR="009D2C4F" w:rsidRPr="009D2C4F">
        <w:rPr>
          <w:rFonts w:eastAsia="Arial Unicode MS"/>
        </w:rPr>
        <w:t>);</w:t>
      </w:r>
    </w:p>
    <w:p w:rsid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9D2C4F" w:rsidRPr="009D2C4F">
        <w:rPr>
          <w:rFonts w:eastAsia="Arial Unicode MS"/>
        </w:rPr>
        <w:t>Konkurso są</w:t>
      </w:r>
      <w:r w:rsidR="00A239EB">
        <w:rPr>
          <w:rFonts w:eastAsia="Arial Unicode MS"/>
        </w:rPr>
        <w:t>lygų 3 priedas</w:t>
      </w:r>
      <w:r w:rsidR="009D2C4F" w:rsidRPr="009D2C4F">
        <w:rPr>
          <w:rFonts w:eastAsia="Arial Unicode MS"/>
        </w:rPr>
        <w:t xml:space="preserve"> </w:t>
      </w:r>
      <w:r w:rsidR="00A239EB">
        <w:rPr>
          <w:rFonts w:eastAsia="Arial Unicode MS"/>
        </w:rPr>
        <w:t>„</w:t>
      </w:r>
      <w:r w:rsidR="009D2C4F" w:rsidRPr="009D2C4F">
        <w:rPr>
          <w:rFonts w:eastAsia="Arial Unicode MS"/>
        </w:rPr>
        <w:t>Prekių vie</w:t>
      </w:r>
      <w:r w:rsidR="00A239EB">
        <w:rPr>
          <w:rFonts w:eastAsia="Arial Unicode MS"/>
        </w:rPr>
        <w:t>šojo pirkimo–pardavimo sutarties projektas“</w:t>
      </w:r>
      <w:r w:rsidR="00FC2823">
        <w:rPr>
          <w:rFonts w:eastAsia="Arial Unicode MS"/>
        </w:rPr>
        <w:t xml:space="preserve"> (toliau – Sutartis);</w:t>
      </w:r>
    </w:p>
    <w:p w:rsidR="00FC2823" w:rsidRDefault="00FC2823" w:rsidP="00163F14">
      <w:pPr>
        <w:pStyle w:val="BodyTextIndent"/>
        <w:numPr>
          <w:ilvl w:val="0"/>
          <w:numId w:val="10"/>
        </w:numPr>
        <w:spacing w:after="0"/>
        <w:ind w:left="0" w:firstLine="851"/>
        <w:rPr>
          <w:rFonts w:eastAsia="Arial Unicode MS"/>
        </w:rPr>
      </w:pPr>
      <w:r>
        <w:rPr>
          <w:rFonts w:eastAsia="Arial Unicode MS"/>
        </w:rPr>
        <w:t>Konkurso s</w:t>
      </w:r>
      <w:r w:rsidR="00A239EB">
        <w:rPr>
          <w:rFonts w:eastAsia="Arial Unicode MS"/>
        </w:rPr>
        <w:t>ąlygų 4 priedas „Tiekėjo deklaracija“ (toliau – 4 priedas).</w:t>
      </w:r>
    </w:p>
    <w:p w:rsidR="00F41978" w:rsidRDefault="00F41978" w:rsidP="0046523E">
      <w:pPr>
        <w:pStyle w:val="BodyTextIndent"/>
        <w:spacing w:after="0"/>
        <w:ind w:left="0" w:firstLine="851"/>
        <w:jc w:val="both"/>
      </w:pPr>
    </w:p>
    <w:p w:rsidR="00257FE9" w:rsidRPr="00780600" w:rsidRDefault="00257FE9" w:rsidP="00163F14">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46523E">
      <w:pPr>
        <w:ind w:firstLine="851"/>
        <w:jc w:val="center"/>
        <w:rPr>
          <w:rFonts w:eastAsia="Calibri"/>
          <w:b/>
          <w:lang w:eastAsia="en-US"/>
        </w:rPr>
      </w:pPr>
    </w:p>
    <w:p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BC198F" w:rsidRPr="006B751E">
        <w:rPr>
          <w:b/>
        </w:rPr>
        <w:t>apgyvendinimo</w:t>
      </w:r>
      <w:r w:rsidR="00BC198F">
        <w:rPr>
          <w:b/>
        </w:rPr>
        <w:t xml:space="preserve"> ir </w:t>
      </w:r>
      <w:r w:rsidR="00BC198F" w:rsidRPr="006B751E">
        <w:rPr>
          <w:b/>
        </w:rPr>
        <w:t xml:space="preserve"> </w:t>
      </w:r>
      <w:r w:rsidR="006B751E" w:rsidRPr="006B751E">
        <w:rPr>
          <w:b/>
        </w:rPr>
        <w:t>konferencijų salės nuom</w:t>
      </w:r>
      <w:r w:rsidR="00503190">
        <w:rPr>
          <w:b/>
        </w:rPr>
        <w:t xml:space="preserve">os </w:t>
      </w:r>
      <w:r w:rsidR="006B751E" w:rsidRPr="006B751E">
        <w:rPr>
          <w:b/>
        </w:rPr>
        <w:t>paslaugas</w:t>
      </w:r>
      <w:r w:rsidRPr="001C1C13">
        <w:t>.</w:t>
      </w:r>
    </w:p>
    <w:p w:rsidR="003B0E72" w:rsidRDefault="003B0E72" w:rsidP="0046523E">
      <w:pPr>
        <w:ind w:firstLine="851"/>
        <w:jc w:val="both"/>
        <w:outlineLvl w:val="1"/>
      </w:pPr>
    </w:p>
    <w:p w:rsidR="00C22594" w:rsidRDefault="0046523E" w:rsidP="0046523E">
      <w:pPr>
        <w:pStyle w:val="NormalWeb"/>
        <w:ind w:firstLine="851"/>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w:t>
      </w:r>
      <w:r w:rsidR="0097488A" w:rsidRPr="00F1763A">
        <w:lastRenderedPageBreak/>
        <w:t>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rsidR="003B0E72" w:rsidRDefault="003B0E72" w:rsidP="0046523E">
      <w:pPr>
        <w:pStyle w:val="NormalWeb"/>
        <w:ind w:firstLine="851"/>
        <w:jc w:val="both"/>
      </w:pPr>
    </w:p>
    <w:p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46523E">
      <w:pPr>
        <w:pStyle w:val="NormalWeb"/>
        <w:ind w:firstLine="851"/>
        <w:jc w:val="both"/>
      </w:pPr>
    </w:p>
    <w:p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46523E">
      <w:pPr>
        <w:tabs>
          <w:tab w:val="left" w:pos="567"/>
        </w:tabs>
        <w:suppressAutoHyphens/>
        <w:ind w:firstLine="851"/>
        <w:jc w:val="both"/>
      </w:pPr>
    </w:p>
    <w:p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CA6D59" w:rsidRPr="004325CE">
          <w:rPr>
            <w:rStyle w:val="Hyperlink"/>
          </w:rPr>
          <w:t>https://viesiejipirkimai.lt</w:t>
        </w:r>
      </w:hyperlink>
      <w:r w:rsidR="00BC513F">
        <w:t>.</w:t>
      </w:r>
    </w:p>
    <w:p w:rsidR="003B0E72" w:rsidRPr="00A45296" w:rsidRDefault="003B0E72" w:rsidP="0046523E">
      <w:pPr>
        <w:ind w:firstLine="851"/>
        <w:jc w:val="both"/>
        <w:outlineLvl w:val="1"/>
      </w:pPr>
    </w:p>
    <w:p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46523E">
      <w:pPr>
        <w:ind w:firstLine="851"/>
        <w:jc w:val="both"/>
        <w:rPr>
          <w:rFonts w:eastAsia="Calibri"/>
          <w:lang w:eastAsia="en-US"/>
        </w:rPr>
      </w:pPr>
    </w:p>
    <w:p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6B751E">
        <w:rPr>
          <w:rFonts w:eastAsia="Calibri"/>
        </w:rPr>
        <w:t xml:space="preserve"> ir</w:t>
      </w:r>
      <w:r w:rsidRPr="00A45296">
        <w:rPr>
          <w:rFonts w:eastAsia="Calibri"/>
        </w:rPr>
        <w:t xml:space="preserve"> išlaidos, galinčios turėti įtakos kainai ar atsirandančios vykdant sutartį.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46523E">
      <w:pPr>
        <w:ind w:firstLine="851"/>
        <w:jc w:val="both"/>
        <w:rPr>
          <w:rFonts w:eastAsia="Calibri"/>
        </w:rPr>
      </w:pPr>
    </w:p>
    <w:p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Pr="004A797B" w:rsidRDefault="003F59E7" w:rsidP="0046523E">
      <w:pPr>
        <w:ind w:firstLine="851"/>
        <w:jc w:val="both"/>
        <w:rPr>
          <w:rFonts w:eastAsia="Calibri"/>
          <w:lang w:val="en-US"/>
        </w:rPr>
      </w:pPr>
      <w:r>
        <w:rPr>
          <w:rFonts w:eastAsia="Calibri"/>
        </w:rPr>
        <w:t xml:space="preserve">1.7.1. </w:t>
      </w:r>
      <w:r w:rsidRPr="003F59E7">
        <w:rPr>
          <w:rFonts w:eastAsia="Calibri"/>
        </w:rPr>
        <w:t>viešųjų pirkimų procedūrų klausimais</w:t>
      </w:r>
      <w:r w:rsidR="004A797B">
        <w:rPr>
          <w:rFonts w:eastAsia="Calibri"/>
        </w:rPr>
        <w:t>:</w:t>
      </w:r>
      <w:r>
        <w:rPr>
          <w:rFonts w:eastAsia="Calibri"/>
        </w:rPr>
        <w:t xml:space="preserve"> </w:t>
      </w:r>
      <w:hyperlink r:id="rId12" w:history="1">
        <w:r w:rsidR="004A797B" w:rsidRPr="003A3840">
          <w:rPr>
            <w:rStyle w:val="Hyperlink"/>
            <w:rFonts w:eastAsia="Calibri"/>
          </w:rPr>
          <w:t>jolanta.palduniene</w:t>
        </w:r>
        <w:r w:rsidR="004A797B" w:rsidRPr="003A3840">
          <w:rPr>
            <w:rStyle w:val="Hyperlink"/>
            <w:rFonts w:eastAsia="Calibri"/>
            <w:lang w:val="en-US"/>
          </w:rPr>
          <w:t>@</w:t>
        </w:r>
        <w:proofErr w:type="spellStart"/>
        <w:r w:rsidR="004A797B" w:rsidRPr="003A3840">
          <w:rPr>
            <w:rStyle w:val="Hyperlink"/>
            <w:rFonts w:eastAsia="Calibri"/>
            <w:lang w:val="en-US"/>
          </w:rPr>
          <w:t>mil.lt</w:t>
        </w:r>
        <w:proofErr w:type="spellEnd"/>
      </w:hyperlink>
      <w:r w:rsidR="004A797B">
        <w:rPr>
          <w:rFonts w:eastAsia="Calibri"/>
          <w:lang w:val="en-US"/>
        </w:rPr>
        <w:t>,</w:t>
      </w:r>
    </w:p>
    <w:p w:rsidR="003F59E7" w:rsidRDefault="003F59E7" w:rsidP="0046523E">
      <w:pPr>
        <w:ind w:firstLine="851"/>
        <w:jc w:val="both"/>
        <w:rPr>
          <w:rFonts w:eastAsia="Calibri"/>
        </w:rPr>
      </w:pPr>
      <w:r>
        <w:rPr>
          <w:rFonts w:eastAsia="Calibri"/>
        </w:rPr>
        <w:t xml:space="preserve">1.7.2. </w:t>
      </w:r>
      <w:r w:rsidR="005E3027" w:rsidRPr="005E3027">
        <w:rPr>
          <w:rFonts w:eastAsia="Calibri"/>
        </w:rPr>
        <w:t>dėl konkurso sąlygų ir kitų klau</w:t>
      </w:r>
      <w:r w:rsidR="004A797B">
        <w:rPr>
          <w:rFonts w:eastAsia="Calibri"/>
        </w:rPr>
        <w:t>simų: kreiptis raštu per CVP IS.</w:t>
      </w:r>
    </w:p>
    <w:p w:rsidR="006F2824" w:rsidRDefault="006F2824" w:rsidP="0046523E">
      <w:pPr>
        <w:ind w:firstLine="851"/>
        <w:jc w:val="both"/>
        <w:rPr>
          <w:rFonts w:eastAsia="Calibri"/>
        </w:rPr>
      </w:pPr>
    </w:p>
    <w:p w:rsidR="006F2824" w:rsidRDefault="006F2824" w:rsidP="0046523E">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46523E">
      <w:pPr>
        <w:ind w:firstLine="851"/>
        <w:jc w:val="both"/>
      </w:pPr>
    </w:p>
    <w:p w:rsidR="00257FE9" w:rsidRPr="00780600" w:rsidRDefault="00257FE9" w:rsidP="00163F14">
      <w:pPr>
        <w:pStyle w:val="BodyText"/>
        <w:numPr>
          <w:ilvl w:val="0"/>
          <w:numId w:val="1"/>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rsidR="00257FE9" w:rsidRPr="00BC198F" w:rsidRDefault="00257FE9" w:rsidP="0046523E">
      <w:pPr>
        <w:pStyle w:val="BodyText"/>
        <w:tabs>
          <w:tab w:val="num" w:pos="993"/>
        </w:tabs>
        <w:ind w:right="-2" w:firstLine="851"/>
        <w:jc w:val="center"/>
        <w:rPr>
          <w:b/>
          <w:bCs/>
          <w:i w:val="0"/>
          <w:lang w:val="lt-LT"/>
        </w:rPr>
      </w:pPr>
    </w:p>
    <w:p w:rsidR="00793998" w:rsidRPr="00BC198F" w:rsidRDefault="00257FE9" w:rsidP="00163F14">
      <w:pPr>
        <w:numPr>
          <w:ilvl w:val="0"/>
          <w:numId w:val="2"/>
        </w:numPr>
        <w:autoSpaceDE w:val="0"/>
        <w:autoSpaceDN w:val="0"/>
        <w:adjustRightInd w:val="0"/>
        <w:ind w:right="-2" w:firstLine="851"/>
        <w:jc w:val="both"/>
      </w:pPr>
      <w:r w:rsidRPr="00BC198F">
        <w:t xml:space="preserve">Pirkimo objektas – </w:t>
      </w:r>
      <w:r w:rsidR="00BC198F" w:rsidRPr="00BC198F">
        <w:t>Apgyvendinimo ir k</w:t>
      </w:r>
      <w:r w:rsidR="00724B80" w:rsidRPr="00BC198F">
        <w:t>onferencijų salės nuom</w:t>
      </w:r>
      <w:r w:rsidR="00BC198F" w:rsidRPr="00BC198F">
        <w:t xml:space="preserve">os </w:t>
      </w:r>
      <w:r w:rsidR="004442A2" w:rsidRPr="00BC198F">
        <w:t>paslaugo</w:t>
      </w:r>
      <w:r w:rsidR="006B751E" w:rsidRPr="00BC198F">
        <w:t xml:space="preserve">s </w:t>
      </w:r>
      <w:r w:rsidRPr="00BC198F">
        <w:rPr>
          <w:bCs/>
          <w:lang w:eastAsia="zh-CN"/>
        </w:rPr>
        <w:t xml:space="preserve">(toliau – </w:t>
      </w:r>
      <w:r w:rsidR="00CA6D59" w:rsidRPr="00BC198F">
        <w:rPr>
          <w:bCs/>
          <w:lang w:eastAsia="zh-CN"/>
        </w:rPr>
        <w:t>Paslaugos</w:t>
      </w:r>
      <w:r w:rsidRPr="00BC198F">
        <w:rPr>
          <w:bCs/>
          <w:lang w:eastAsia="zh-CN"/>
        </w:rPr>
        <w:t>).</w:t>
      </w:r>
      <w:r w:rsidRPr="00BC198F">
        <w:t xml:space="preserve"> Perkamų </w:t>
      </w:r>
      <w:r w:rsidR="00DF20A5" w:rsidRPr="00BC198F">
        <w:t>p</w:t>
      </w:r>
      <w:r w:rsidR="00CA6D59" w:rsidRPr="00BC198F">
        <w:t>aslaugų</w:t>
      </w:r>
      <w:r w:rsidRPr="00BC198F">
        <w:t xml:space="preserve"> </w:t>
      </w:r>
      <w:r w:rsidR="004442A2" w:rsidRPr="00BC198F">
        <w:t xml:space="preserve">pagrindinis </w:t>
      </w:r>
      <w:r w:rsidRPr="00BC198F">
        <w:t>kodas pagal bendrąjį viešųjų pirkimų žodyną</w:t>
      </w:r>
      <w:r w:rsidR="00724B80" w:rsidRPr="00BC198F">
        <w:t xml:space="preserve"> (BVPŽ)</w:t>
      </w:r>
      <w:r w:rsidRPr="00BC198F">
        <w:t xml:space="preserve"> </w:t>
      </w:r>
      <w:r w:rsidR="00724B80" w:rsidRPr="00BC198F">
        <w:rPr>
          <w:bCs/>
        </w:rPr>
        <w:t>–</w:t>
      </w:r>
      <w:r w:rsidR="00085895" w:rsidRPr="00BC198F">
        <w:t xml:space="preserve"> </w:t>
      </w:r>
      <w:r w:rsidR="004442A2" w:rsidRPr="00BC198F">
        <w:t xml:space="preserve">55110000-4 </w:t>
      </w:r>
      <w:r w:rsidR="00724B80" w:rsidRPr="00BC198F">
        <w:t>(</w:t>
      </w:r>
      <w:r w:rsidR="004442A2" w:rsidRPr="00BC198F">
        <w:t>Apgyvendinimo viešbučiuose paslaugos</w:t>
      </w:r>
      <w:r w:rsidR="00724B80" w:rsidRPr="00BC198F">
        <w:t>)</w:t>
      </w:r>
      <w:r w:rsidR="00BC198F" w:rsidRPr="00BC198F">
        <w:t>, papildomas BVPŽ</w:t>
      </w:r>
      <w:r w:rsidR="00BB4185" w:rsidRPr="00BC198F">
        <w:t xml:space="preserve"> </w:t>
      </w:r>
      <w:r w:rsidR="00BC198F" w:rsidRPr="00BC198F">
        <w:rPr>
          <w:bCs/>
        </w:rPr>
        <w:t xml:space="preserve">– </w:t>
      </w:r>
      <w:r w:rsidR="00BB4185" w:rsidRPr="00BC198F">
        <w:t>55120000-7 (Susitikimų ir konferencijų viešbučiuose paslaugos)</w:t>
      </w:r>
      <w:r w:rsidR="00BC198F" w:rsidRPr="00BC198F">
        <w:t>.</w:t>
      </w:r>
    </w:p>
    <w:p w:rsidR="00063D09" w:rsidRPr="00BC198F" w:rsidRDefault="00063D09" w:rsidP="0046523E">
      <w:pPr>
        <w:autoSpaceDE w:val="0"/>
        <w:autoSpaceDN w:val="0"/>
        <w:adjustRightInd w:val="0"/>
        <w:ind w:firstLine="851"/>
        <w:jc w:val="both"/>
        <w:rPr>
          <w:lang w:val="en-US"/>
        </w:rPr>
      </w:pPr>
    </w:p>
    <w:p w:rsidR="00BB18BF" w:rsidRPr="002A7583" w:rsidRDefault="002445DF" w:rsidP="0046523E">
      <w:pPr>
        <w:autoSpaceDE w:val="0"/>
        <w:autoSpaceDN w:val="0"/>
        <w:adjustRightInd w:val="0"/>
        <w:ind w:firstLine="851"/>
        <w:jc w:val="both"/>
        <w:rPr>
          <w:b/>
        </w:rPr>
      </w:pPr>
      <w:r>
        <w:lastRenderedPageBreak/>
        <w:t>2.</w:t>
      </w:r>
      <w:r w:rsidR="006F2824">
        <w:t>2</w:t>
      </w:r>
      <w:r>
        <w:t xml:space="preserve">. </w:t>
      </w:r>
      <w:r w:rsidR="00AA470C" w:rsidRPr="00AA470C">
        <w:t xml:space="preserve">Pirkimo objektas nėra skaidomas į dalis. </w:t>
      </w:r>
      <w:bookmarkStart w:id="0" w:name="_GoBack"/>
      <w:r w:rsidR="00AA470C" w:rsidRPr="002A7583">
        <w:rPr>
          <w:b/>
        </w:rPr>
        <w:t>Tiekėjas tiekia pasiūlymą visai pirkimo objekto apimčiai.</w:t>
      </w:r>
    </w:p>
    <w:bookmarkEnd w:id="0"/>
    <w:p w:rsidR="00AA470C" w:rsidRPr="009A2321" w:rsidRDefault="00AA470C" w:rsidP="0046523E">
      <w:pPr>
        <w:autoSpaceDE w:val="0"/>
        <w:autoSpaceDN w:val="0"/>
        <w:adjustRightInd w:val="0"/>
        <w:ind w:firstLine="851"/>
        <w:jc w:val="both"/>
        <w:rPr>
          <w:i/>
          <w:iCs/>
        </w:rPr>
      </w:pPr>
    </w:p>
    <w:p w:rsidR="00063D09" w:rsidRDefault="00063D09" w:rsidP="0046523E">
      <w:pPr>
        <w:autoSpaceDE w:val="0"/>
        <w:autoSpaceDN w:val="0"/>
        <w:adjustRightInd w:val="0"/>
        <w:ind w:firstLine="851"/>
        <w:jc w:val="both"/>
      </w:pPr>
      <w:r>
        <w:t>2.</w:t>
      </w:r>
      <w:r w:rsidR="006F2824">
        <w:t>3</w:t>
      </w:r>
      <w:r>
        <w:t xml:space="preserve">. Privalomi </w:t>
      </w:r>
      <w:r w:rsidR="0057257B">
        <w:t>p</w:t>
      </w:r>
      <w:r w:rsidR="00CA6D59">
        <w:t>aslaugų</w:t>
      </w:r>
      <w:r>
        <w:t xml:space="preserve"> techniniai reikalavimai nurodyti </w:t>
      </w:r>
      <w:r w:rsidR="00FC0BA5">
        <w:t>pirkimo</w:t>
      </w:r>
      <w:r>
        <w:t xml:space="preserve"> </w:t>
      </w:r>
      <w:r w:rsidRPr="00E81507">
        <w:rPr>
          <w:b/>
        </w:rPr>
        <w:t>sąlygų</w:t>
      </w:r>
      <w:r w:rsidR="00AA470C" w:rsidRPr="00E81507">
        <w:rPr>
          <w:b/>
        </w:rPr>
        <w:t xml:space="preserve"> </w:t>
      </w:r>
      <w:r w:rsidR="00651863" w:rsidRPr="00E81507">
        <w:rPr>
          <w:b/>
        </w:rPr>
        <w:t>2</w:t>
      </w:r>
      <w:r w:rsidRPr="00E81507">
        <w:rPr>
          <w:b/>
        </w:rPr>
        <w:t xml:space="preserve"> priede</w:t>
      </w:r>
      <w:r w:rsidR="0046523E" w:rsidRPr="00E81507">
        <w:rPr>
          <w:b/>
        </w:rPr>
        <w:t>.</w:t>
      </w:r>
      <w:r w:rsidR="00F678D9">
        <w:t xml:space="preserve"> </w:t>
      </w:r>
      <w:r>
        <w:t xml:space="preserve">Teikėjo teikiamos </w:t>
      </w:r>
      <w:r w:rsidR="0057257B">
        <w:t>p</w:t>
      </w:r>
      <w:r w:rsidR="006B751E">
        <w:t>aslaugos</w:t>
      </w:r>
      <w:r>
        <w:t xml:space="preserve"> turi </w:t>
      </w:r>
      <w:r w:rsidR="00E52EAB">
        <w:t>atitikti nurodytus reikalavimus ir jeigu prašoma, pateikti atitikčiai įrodančius dokumentus.</w:t>
      </w:r>
    </w:p>
    <w:p w:rsidR="00BB18BF" w:rsidRDefault="00BB18BF" w:rsidP="0046523E">
      <w:pPr>
        <w:autoSpaceDE w:val="0"/>
        <w:autoSpaceDN w:val="0"/>
        <w:adjustRightInd w:val="0"/>
        <w:ind w:firstLine="851"/>
        <w:jc w:val="both"/>
      </w:pPr>
    </w:p>
    <w:p w:rsidR="00167241" w:rsidRPr="00AA7FDD" w:rsidRDefault="00063D09" w:rsidP="00167241">
      <w:pPr>
        <w:pStyle w:val="ListParagraph"/>
        <w:ind w:left="0" w:firstLine="851"/>
        <w:contextualSpacing w:val="0"/>
        <w:jc w:val="both"/>
      </w:pPr>
      <w:r w:rsidRPr="00AA7FDD">
        <w:t>2.</w:t>
      </w:r>
      <w:r w:rsidR="006F2824" w:rsidRPr="00AA7FDD">
        <w:t>4</w:t>
      </w:r>
      <w:r w:rsidRPr="00AA7FDD">
        <w:t xml:space="preserve">. </w:t>
      </w:r>
      <w:r w:rsidR="00167241" w:rsidRPr="00AA7FDD">
        <w:t xml:space="preserve">Numatomos sudaryti pirkimo sutarties </w:t>
      </w:r>
      <w:r w:rsidR="00BC198F" w:rsidRPr="00AA7FDD">
        <w:t xml:space="preserve">bendra </w:t>
      </w:r>
      <w:r w:rsidR="00167241" w:rsidRPr="00AA7FDD">
        <w:t>kaina</w:t>
      </w:r>
      <w:r w:rsidR="00AA7FDD" w:rsidRPr="00AA7FDD">
        <w:t xml:space="preserve"> – </w:t>
      </w:r>
      <w:r w:rsidR="00AA7FDD" w:rsidRPr="00AA7FDD">
        <w:rPr>
          <w:b/>
        </w:rPr>
        <w:t>26136,00</w:t>
      </w:r>
      <w:r w:rsidR="00BC198F" w:rsidRPr="00AA7FDD">
        <w:rPr>
          <w:b/>
        </w:rPr>
        <w:t xml:space="preserve"> </w:t>
      </w:r>
      <w:r w:rsidR="00AA7FDD" w:rsidRPr="00AA7FDD">
        <w:rPr>
          <w:b/>
        </w:rPr>
        <w:t>su visais mokėtinais mokesčiais ir išlaidomis</w:t>
      </w:r>
      <w:r w:rsidR="00AA7FDD">
        <w:t>,</w:t>
      </w:r>
      <w:r w:rsidR="00AA7FDD" w:rsidRPr="00AA7FDD">
        <w:t xml:space="preserve"> </w:t>
      </w:r>
      <w:r w:rsidR="00BC198F" w:rsidRPr="00AA7FDD">
        <w:t>kurią sudaro</w:t>
      </w:r>
      <w:r w:rsidR="00167241" w:rsidRPr="00AA7FDD">
        <w:t>:</w:t>
      </w:r>
    </w:p>
    <w:p w:rsidR="00F678D9" w:rsidRPr="00AA7FDD" w:rsidRDefault="00793998" w:rsidP="00167241">
      <w:pPr>
        <w:pStyle w:val="ListParagraph"/>
        <w:ind w:left="0" w:firstLine="851"/>
        <w:contextualSpacing w:val="0"/>
        <w:jc w:val="both"/>
      </w:pPr>
      <w:r w:rsidRPr="00AA7FDD">
        <w:t xml:space="preserve">2.4.1. </w:t>
      </w:r>
      <w:r w:rsidR="00AA7FDD">
        <w:t>Apgyvendinimo paslaugo</w:t>
      </w:r>
      <w:r w:rsidR="00167241" w:rsidRPr="00AA7FDD">
        <w:t xml:space="preserve">s - ne didesnė kaip </w:t>
      </w:r>
      <w:r w:rsidR="00167241" w:rsidRPr="00AA7FDD">
        <w:rPr>
          <w:lang w:val="en-US"/>
        </w:rPr>
        <w:t xml:space="preserve">22 920,00 </w:t>
      </w:r>
      <w:r w:rsidR="00167241" w:rsidRPr="00AA7FDD">
        <w:t>EUR su visais mokėtinais mokesčiais ir išlaidomis.</w:t>
      </w:r>
    </w:p>
    <w:p w:rsidR="00167241" w:rsidRPr="00AA7FDD" w:rsidRDefault="00793998" w:rsidP="00167241">
      <w:pPr>
        <w:pStyle w:val="ListParagraph"/>
        <w:ind w:left="0" w:firstLine="851"/>
        <w:contextualSpacing w:val="0"/>
        <w:jc w:val="both"/>
      </w:pPr>
      <w:r w:rsidRPr="00AA7FDD">
        <w:rPr>
          <w:lang w:val="pt-BR"/>
        </w:rPr>
        <w:t xml:space="preserve">2.4.2. </w:t>
      </w:r>
      <w:r w:rsidR="00AA7FDD">
        <w:t>Konferencijų salės nuoma</w:t>
      </w:r>
      <w:r w:rsidR="00167241" w:rsidRPr="00AA7FDD">
        <w:t xml:space="preserve"> - ne didesnė kaip </w:t>
      </w:r>
      <w:r w:rsidR="00167241" w:rsidRPr="00AA7FDD">
        <w:rPr>
          <w:lang w:val="en-US"/>
        </w:rPr>
        <w:t xml:space="preserve">3 216,00 </w:t>
      </w:r>
      <w:r w:rsidR="00167241" w:rsidRPr="00AA7FDD">
        <w:t>EUR su visais mokėtinais mokesčiais ir išlaidomis.</w:t>
      </w:r>
    </w:p>
    <w:p w:rsidR="00793998" w:rsidRDefault="00793998" w:rsidP="00167241">
      <w:pPr>
        <w:tabs>
          <w:tab w:val="left" w:pos="1134"/>
          <w:tab w:val="left" w:pos="1276"/>
        </w:tabs>
        <w:ind w:firstLine="709"/>
        <w:jc w:val="both"/>
        <w:rPr>
          <w:b/>
          <w:color w:val="000000"/>
          <w:lang w:val="pt-BR"/>
        </w:rPr>
      </w:pPr>
    </w:p>
    <w:p w:rsidR="00063D09" w:rsidRDefault="00F678D9" w:rsidP="00167241">
      <w:pPr>
        <w:tabs>
          <w:tab w:val="left" w:pos="1134"/>
          <w:tab w:val="left" w:pos="1276"/>
        </w:tabs>
        <w:ind w:firstLine="709"/>
        <w:jc w:val="both"/>
      </w:pPr>
      <w:r w:rsidRPr="00F678D9">
        <w:rPr>
          <w:color w:val="000000"/>
        </w:rPr>
        <w:t>2.</w:t>
      </w:r>
      <w:r w:rsidR="006F2824">
        <w:rPr>
          <w:color w:val="000000"/>
        </w:rPr>
        <w:t>5</w:t>
      </w:r>
      <w:r w:rsidRPr="00F678D9">
        <w:rPr>
          <w:color w:val="000000"/>
        </w:rPr>
        <w:t xml:space="preserve">. </w:t>
      </w:r>
      <w:r w:rsidR="00AA470C" w:rsidRPr="00AA470C">
        <w:t>P</w:t>
      </w:r>
      <w:r w:rsidR="00AA7FDD">
        <w:t>aslaugoms</w:t>
      </w:r>
      <w:r w:rsidR="00AA470C" w:rsidRPr="00AA470C">
        <w:t xml:space="preserve"> yra taikomas fiksuoto</w:t>
      </w:r>
      <w:r w:rsidR="006A1681">
        <w:t xml:space="preserve"> įkainio </w:t>
      </w:r>
      <w:r w:rsidR="00AA470C" w:rsidRPr="00AA470C">
        <w:t>apskaičiavimo būdas.</w:t>
      </w:r>
    </w:p>
    <w:p w:rsidR="00BB18BF" w:rsidRPr="00F678D9" w:rsidRDefault="00BB18BF" w:rsidP="00167241">
      <w:pPr>
        <w:tabs>
          <w:tab w:val="left" w:pos="1134"/>
          <w:tab w:val="left" w:pos="1276"/>
        </w:tabs>
        <w:ind w:firstLine="709"/>
        <w:jc w:val="both"/>
      </w:pPr>
    </w:p>
    <w:p w:rsidR="00063D09" w:rsidRDefault="001F7BAA" w:rsidP="00167241">
      <w:pPr>
        <w:autoSpaceDE w:val="0"/>
        <w:autoSpaceDN w:val="0"/>
        <w:adjustRightInd w:val="0"/>
        <w:ind w:firstLine="709"/>
        <w:jc w:val="both"/>
      </w:pPr>
      <w:r>
        <w:t>2.</w:t>
      </w:r>
      <w:r w:rsidR="006F2824">
        <w:t>6</w:t>
      </w:r>
      <w:r>
        <w:t xml:space="preserve">. </w:t>
      </w:r>
      <w:r w:rsidR="00A239EB">
        <w:t>Teikėjui - laimėtojui</w:t>
      </w:r>
      <w:r w:rsidR="00063D09">
        <w:t xml:space="preserve"> bus mokama už faktiškai </w:t>
      </w:r>
      <w:r w:rsidR="00793998">
        <w:t>atliktas paslaugas</w:t>
      </w:r>
      <w:r w:rsidR="00063D09">
        <w:t>.</w:t>
      </w:r>
    </w:p>
    <w:p w:rsidR="008A5E9C" w:rsidRPr="00780600" w:rsidRDefault="008A5E9C" w:rsidP="0046523E">
      <w:pPr>
        <w:tabs>
          <w:tab w:val="left" w:pos="993"/>
        </w:tabs>
        <w:autoSpaceDE w:val="0"/>
        <w:autoSpaceDN w:val="0"/>
        <w:adjustRightInd w:val="0"/>
        <w:ind w:right="-2" w:firstLine="851"/>
        <w:jc w:val="both"/>
      </w:pPr>
    </w:p>
    <w:p w:rsidR="00257FE9" w:rsidRPr="00780600" w:rsidRDefault="00257FE9" w:rsidP="00163F14">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46523E">
      <w:pPr>
        <w:pStyle w:val="BodyText"/>
        <w:ind w:firstLine="851"/>
        <w:rPr>
          <w:i w:val="0"/>
          <w:color w:val="000000"/>
          <w:lang w:val="lt-LT"/>
        </w:rPr>
      </w:pPr>
    </w:p>
    <w:p w:rsidR="00D91B47" w:rsidRDefault="00D91B47" w:rsidP="00D91B47">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w:t>
      </w:r>
      <w:proofErr w:type="spellStart"/>
      <w:r w:rsidRPr="002F4250">
        <w:rPr>
          <w:rFonts w:cs="Times New Roman"/>
          <w:color w:val="auto"/>
          <w:sz w:val="24"/>
          <w:szCs w:val="24"/>
          <w:lang w:val="lt-LT"/>
        </w:rPr>
        <w:t>pajėgumais</w:t>
      </w:r>
      <w:proofErr w:type="spellEnd"/>
      <w:r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rsidR="00D91B47" w:rsidRPr="003E3329" w:rsidRDefault="00D91B47" w:rsidP="00D91B47">
      <w:pPr>
        <w:pStyle w:val="Body2"/>
        <w:ind w:firstLine="480"/>
        <w:rPr>
          <w:rFonts w:cs="Times New Roman"/>
          <w:b/>
          <w:color w:val="auto"/>
          <w:sz w:val="24"/>
          <w:szCs w:val="24"/>
          <w:lang w:val="lt-LT"/>
        </w:rPr>
      </w:pPr>
      <w:r w:rsidRPr="00D91B47">
        <w:rPr>
          <w:rFonts w:cs="Times New Roman"/>
          <w:b/>
          <w:color w:val="auto"/>
          <w:sz w:val="24"/>
          <w:szCs w:val="24"/>
          <w:lang w:val="lt-LT"/>
        </w:rPr>
        <w:t>Pateikiama neatitikties VPĮ 45 straipsnio 2</w:t>
      </w:r>
      <w:r w:rsidRPr="00D91B47">
        <w:rPr>
          <w:rFonts w:ascii="Times New Roman Bold" w:hAnsi="Times New Roman Bold" w:cs="Times New Roman"/>
          <w:b/>
          <w:color w:val="auto"/>
          <w:sz w:val="24"/>
          <w:szCs w:val="24"/>
          <w:vertAlign w:val="superscript"/>
          <w:lang w:val="lt-LT"/>
        </w:rPr>
        <w:t>1</w:t>
      </w:r>
      <w:r w:rsidRPr="00D91B47">
        <w:rPr>
          <w:rFonts w:cs="Times New Roman"/>
          <w:b/>
          <w:color w:val="auto"/>
          <w:sz w:val="24"/>
          <w:szCs w:val="24"/>
          <w:lang w:val="lt-LT"/>
        </w:rPr>
        <w:t xml:space="preserve"> dalies 1, 2, 3 ir 6 punktuose nurodytoms sąlygoms Tiekėjo deklaracija, užpildyta pagal Sąlygų 4 priede pateiktą formą.</w:t>
      </w:r>
    </w:p>
    <w:p w:rsidR="006F2824" w:rsidRPr="00DE1A1A" w:rsidRDefault="006F2824" w:rsidP="0046523E">
      <w:pPr>
        <w:pStyle w:val="BodyText"/>
        <w:ind w:firstLine="851"/>
        <w:rPr>
          <w:i w:val="0"/>
          <w:lang w:val="lt-LT"/>
        </w:rPr>
      </w:pPr>
    </w:p>
    <w:p w:rsidR="00DE1A1A" w:rsidRDefault="00DE1A1A" w:rsidP="0046523E">
      <w:pPr>
        <w:pStyle w:val="BodyText"/>
        <w:ind w:firstLine="851"/>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46523E">
      <w:pPr>
        <w:tabs>
          <w:tab w:val="left" w:pos="25116"/>
          <w:tab w:val="left" w:pos="25269"/>
          <w:tab w:val="left" w:pos="25416"/>
          <w:tab w:val="left" w:pos="25569"/>
        </w:tabs>
        <w:suppressAutoHyphens/>
        <w:autoSpaceDE w:val="0"/>
        <w:ind w:firstLine="851"/>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rsidTr="00DE1A1A">
        <w:trPr>
          <w:trHeight w:val="589"/>
          <w:jc w:val="center"/>
        </w:trPr>
        <w:tc>
          <w:tcPr>
            <w:tcW w:w="918" w:type="dxa"/>
            <w:shd w:val="clear" w:color="auto" w:fill="auto"/>
          </w:tcPr>
          <w:p w:rsidR="00DE1A1A" w:rsidRPr="00596FC7" w:rsidRDefault="00DE1A1A" w:rsidP="00A00937">
            <w:pPr>
              <w:jc w:val="center"/>
              <w:rPr>
                <w:rFonts w:eastAsia="Calibri"/>
                <w:lang w:eastAsia="en-US"/>
              </w:rPr>
            </w:pPr>
            <w:r w:rsidRPr="00596FC7">
              <w:rPr>
                <w:rFonts w:eastAsia="Calibri"/>
                <w:lang w:eastAsia="en-US"/>
              </w:rPr>
              <w:t>Eil.</w:t>
            </w:r>
          </w:p>
          <w:p w:rsidR="00DE1A1A" w:rsidRPr="00596FC7" w:rsidRDefault="00DE1A1A" w:rsidP="00A00937">
            <w:pPr>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46523E">
            <w:pPr>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46523E">
            <w:pPr>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46523E">
            <w:pPr>
              <w:jc w:val="both"/>
              <w:rPr>
                <w:rFonts w:eastAsia="Calibri"/>
              </w:rPr>
            </w:pPr>
            <w:r>
              <w:rPr>
                <w:rFonts w:eastAsia="Calibri"/>
              </w:rPr>
              <w:t>3.2</w:t>
            </w:r>
            <w:r w:rsidRPr="00596FC7">
              <w:rPr>
                <w:rFonts w:eastAsia="Calibri"/>
              </w:rPr>
              <w:t>.1.</w:t>
            </w:r>
          </w:p>
        </w:tc>
        <w:tc>
          <w:tcPr>
            <w:tcW w:w="4469" w:type="dxa"/>
          </w:tcPr>
          <w:p w:rsidR="00DE1A1A" w:rsidRPr="00CD3B8F" w:rsidRDefault="00DE1A1A" w:rsidP="0046523E">
            <w:pPr>
              <w:ind w:firstLine="851"/>
              <w:jc w:val="both"/>
            </w:pPr>
            <w:r w:rsidRPr="00CD3B8F">
              <w:t xml:space="preserve">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w:t>
            </w:r>
            <w:r w:rsidRPr="00CD3B8F">
              <w:lastRenderedPageBreak/>
              <w:t>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956" w:type="dxa"/>
          </w:tcPr>
          <w:p w:rsidR="0046523E" w:rsidRDefault="009B5C75" w:rsidP="0046523E">
            <w:pPr>
              <w:ind w:firstLine="851"/>
              <w:jc w:val="both"/>
            </w:pPr>
            <w:r w:rsidRPr="00CD3B8F">
              <w:lastRenderedPageBreak/>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p>
          <w:p w:rsidR="00D91B47" w:rsidRPr="00A2484C" w:rsidRDefault="00D91B47" w:rsidP="00D91B47">
            <w:pPr>
              <w:jc w:val="both"/>
              <w:rPr>
                <w:i/>
                <w:color w:val="FF0000"/>
                <w:sz w:val="22"/>
              </w:rPr>
            </w:pPr>
            <w:r w:rsidRPr="00A2484C">
              <w:rPr>
                <w:i/>
                <w:color w:val="FF0000"/>
                <w:sz w:val="22"/>
              </w:rPr>
              <w:lastRenderedPageBreak/>
              <w:t>(Patvirtinančių dokumentų bus prašoma tik iš to dalyvio, kurio pasiūlymas pagal vertinimo rezultatus gali būti pripažintas laimėjusiu (iki pasiūlymų eilės nustatymo)).</w:t>
            </w:r>
          </w:p>
          <w:p w:rsidR="00DE1A1A" w:rsidRPr="00CD3B8F" w:rsidRDefault="00DE1A1A" w:rsidP="0046523E">
            <w:pPr>
              <w:jc w:val="both"/>
            </w:pPr>
          </w:p>
        </w:tc>
      </w:tr>
    </w:tbl>
    <w:p w:rsidR="00257FE9" w:rsidRDefault="00257FE9" w:rsidP="0046523E">
      <w:pPr>
        <w:pStyle w:val="BodyText"/>
        <w:ind w:firstLine="851"/>
        <w:rPr>
          <w:i w:val="0"/>
          <w:lang w:val="lt-LT"/>
        </w:rPr>
      </w:pPr>
    </w:p>
    <w:p w:rsidR="006F2824" w:rsidRPr="00E1218D" w:rsidRDefault="006F2824" w:rsidP="0046523E">
      <w:pPr>
        <w:pStyle w:val="BodyText"/>
        <w:ind w:firstLine="851"/>
        <w:rPr>
          <w:i w:val="0"/>
          <w:color w:val="000000" w:themeColor="text1"/>
          <w:lang w:val="lt-LT"/>
        </w:rPr>
      </w:pPr>
      <w:r w:rsidRPr="00E1218D">
        <w:rPr>
          <w:i w:val="0"/>
          <w:color w:val="000000" w:themeColor="text1"/>
          <w:lang w:val="lt-LT"/>
        </w:rPr>
        <w:t xml:space="preserve">3.3. </w:t>
      </w:r>
      <w:proofErr w:type="spellStart"/>
      <w:r w:rsidR="00D91B47" w:rsidRPr="00A2484C">
        <w:rPr>
          <w:rFonts w:eastAsia="Arial Unicode MS"/>
          <w:i w:val="0"/>
          <w:szCs w:val="24"/>
          <w:bdr w:val="nil"/>
        </w:rPr>
        <w:t>Tiekėjo</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kvalifikacija</w:t>
      </w:r>
      <w:proofErr w:type="spellEnd"/>
      <w:r w:rsidR="00D91B47" w:rsidRPr="00A2484C">
        <w:rPr>
          <w:rFonts w:eastAsia="Arial Unicode MS"/>
          <w:i w:val="0"/>
          <w:szCs w:val="24"/>
          <w:bdr w:val="nil"/>
        </w:rPr>
        <w:t xml:space="preserve"> </w:t>
      </w:r>
      <w:proofErr w:type="spellStart"/>
      <w:proofErr w:type="gramStart"/>
      <w:r w:rsidR="00D91B47" w:rsidRPr="00A2484C">
        <w:rPr>
          <w:rFonts w:eastAsia="Arial Unicode MS"/>
          <w:i w:val="0"/>
          <w:szCs w:val="24"/>
          <w:bdr w:val="nil"/>
        </w:rPr>
        <w:t>dėl</w:t>
      </w:r>
      <w:proofErr w:type="spellEnd"/>
      <w:proofErr w:type="gram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teisės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verstis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atitinkama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veikla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nėra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tikrinama</w:t>
      </w:r>
      <w:proofErr w:type="spellEnd"/>
      <w:r w:rsidR="00D91B47">
        <w:rPr>
          <w:rFonts w:eastAsia="Arial Unicode MS"/>
          <w:i w:val="0"/>
          <w:szCs w:val="24"/>
          <w:bdr w:val="nil"/>
        </w:rPr>
        <w:t>.</w:t>
      </w:r>
    </w:p>
    <w:p w:rsidR="006F2824" w:rsidRDefault="006F2824" w:rsidP="0046523E">
      <w:pPr>
        <w:pStyle w:val="BodyText"/>
        <w:ind w:firstLine="851"/>
        <w:rPr>
          <w:i w:val="0"/>
          <w:lang w:val="lt-LT"/>
        </w:rPr>
      </w:pPr>
    </w:p>
    <w:p w:rsidR="00D82390" w:rsidRDefault="00D82390" w:rsidP="0046523E">
      <w:pPr>
        <w:tabs>
          <w:tab w:val="left" w:pos="567"/>
        </w:tabs>
        <w:suppressAutoHyphens/>
        <w:ind w:firstLine="851"/>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3.5</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pPr>
      <w:r>
        <w:rPr>
          <w:szCs w:val="20"/>
          <w:lang w:eastAsia="ar-SA"/>
        </w:rPr>
        <w:t>3.7</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rsidR="00D82390" w:rsidRDefault="00D82390" w:rsidP="0046523E">
      <w:pPr>
        <w:tabs>
          <w:tab w:val="left" w:pos="567"/>
        </w:tabs>
        <w:suppressAutoHyphens/>
        <w:ind w:firstLine="851"/>
        <w:jc w:val="both"/>
      </w:pPr>
    </w:p>
    <w:p w:rsidR="00D82390" w:rsidRDefault="00D82390" w:rsidP="0046523E">
      <w:pPr>
        <w:suppressAutoHyphens/>
        <w:ind w:firstLine="851"/>
        <w:jc w:val="both"/>
      </w:pPr>
      <w:r>
        <w:t xml:space="preserve">3.8.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AA7FDD" w:rsidRDefault="00AA7FDD" w:rsidP="0046523E">
      <w:pPr>
        <w:tabs>
          <w:tab w:val="left" w:pos="567"/>
        </w:tabs>
        <w:suppressAutoHyphens/>
        <w:ind w:firstLine="851"/>
        <w:jc w:val="both"/>
      </w:pPr>
    </w:p>
    <w:p w:rsidR="00AA7FDD" w:rsidRDefault="00AA7FDD" w:rsidP="0046523E">
      <w:pPr>
        <w:tabs>
          <w:tab w:val="left" w:pos="567"/>
        </w:tabs>
        <w:suppressAutoHyphens/>
        <w:ind w:firstLine="851"/>
        <w:jc w:val="both"/>
      </w:pPr>
    </w:p>
    <w:p w:rsidR="00AA7FDD" w:rsidRDefault="00AA7FDD" w:rsidP="0046523E">
      <w:pPr>
        <w:tabs>
          <w:tab w:val="left" w:pos="567"/>
        </w:tabs>
        <w:suppressAutoHyphens/>
        <w:ind w:firstLine="851"/>
        <w:jc w:val="both"/>
      </w:pPr>
    </w:p>
    <w:p w:rsidR="00AA7FDD" w:rsidRDefault="00AA7FDD" w:rsidP="0046523E">
      <w:pPr>
        <w:tabs>
          <w:tab w:val="left" w:pos="567"/>
        </w:tabs>
        <w:suppressAutoHyphens/>
        <w:ind w:firstLine="851"/>
        <w:jc w:val="both"/>
      </w:pPr>
    </w:p>
    <w:p w:rsidR="00D444ED" w:rsidRPr="00D444ED" w:rsidRDefault="00D444ED" w:rsidP="00D444ED">
      <w:pPr>
        <w:tabs>
          <w:tab w:val="left" w:pos="567"/>
        </w:tabs>
        <w:suppressAutoHyphens/>
        <w:ind w:firstLine="851"/>
        <w:jc w:val="both"/>
        <w:rPr>
          <w:b/>
          <w:szCs w:val="20"/>
          <w:lang w:eastAsia="ar-SA"/>
        </w:rPr>
      </w:pPr>
      <w:r w:rsidRPr="00D444ED">
        <w:rPr>
          <w:b/>
        </w:rPr>
        <w:lastRenderedPageBreak/>
        <w:t>3.11. 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281"/>
        <w:gridCol w:w="4683"/>
      </w:tblGrid>
      <w:tr w:rsidR="005F1434" w:rsidRPr="005F1434" w:rsidTr="00A2642D">
        <w:trPr>
          <w:trHeight w:val="589"/>
          <w:jc w:val="center"/>
        </w:trPr>
        <w:tc>
          <w:tcPr>
            <w:tcW w:w="817" w:type="dxa"/>
            <w:shd w:val="clear" w:color="auto" w:fill="auto"/>
            <w:vAlign w:val="center"/>
          </w:tcPr>
          <w:p w:rsidR="00D444ED" w:rsidRPr="005F1434" w:rsidRDefault="00D444ED" w:rsidP="00475E96">
            <w:pPr>
              <w:ind w:firstLine="54"/>
              <w:jc w:val="center"/>
              <w:rPr>
                <w:rFonts w:eastAsia="Calibri"/>
                <w:sz w:val="22"/>
                <w:szCs w:val="22"/>
                <w:lang w:eastAsia="en-US"/>
              </w:rPr>
            </w:pPr>
            <w:r w:rsidRPr="005F1434">
              <w:rPr>
                <w:rFonts w:eastAsia="Calibri"/>
                <w:sz w:val="22"/>
                <w:szCs w:val="22"/>
                <w:lang w:eastAsia="en-US"/>
              </w:rPr>
              <w:t>Eil.</w:t>
            </w:r>
          </w:p>
          <w:p w:rsidR="00D444ED" w:rsidRPr="005F1434" w:rsidRDefault="00D444ED" w:rsidP="00475E96">
            <w:pPr>
              <w:ind w:firstLine="54"/>
              <w:jc w:val="center"/>
              <w:rPr>
                <w:rFonts w:eastAsia="Calibri"/>
                <w:b/>
                <w:sz w:val="22"/>
                <w:szCs w:val="22"/>
                <w:lang w:eastAsia="en-US"/>
              </w:rPr>
            </w:pPr>
            <w:r w:rsidRPr="005F1434">
              <w:rPr>
                <w:rFonts w:eastAsia="Calibri"/>
                <w:sz w:val="22"/>
                <w:szCs w:val="22"/>
                <w:lang w:eastAsia="en-US"/>
              </w:rPr>
              <w:t>Nr.</w:t>
            </w:r>
          </w:p>
        </w:tc>
        <w:tc>
          <w:tcPr>
            <w:tcW w:w="4281" w:type="dxa"/>
            <w:shd w:val="clear" w:color="auto" w:fill="auto"/>
            <w:vAlign w:val="center"/>
          </w:tcPr>
          <w:p w:rsidR="00D444ED" w:rsidRPr="005F1434" w:rsidRDefault="00D444ED" w:rsidP="00475E96">
            <w:pPr>
              <w:ind w:firstLine="54"/>
              <w:jc w:val="center"/>
              <w:rPr>
                <w:rFonts w:eastAsia="Calibri"/>
                <w:b/>
                <w:sz w:val="22"/>
                <w:szCs w:val="22"/>
                <w:lang w:eastAsia="en-US"/>
              </w:rPr>
            </w:pPr>
            <w:r w:rsidRPr="005F1434">
              <w:rPr>
                <w:sz w:val="22"/>
                <w:szCs w:val="22"/>
              </w:rPr>
              <w:t>Minimalūs Aplinkos apsaugos reikalavimai</w:t>
            </w:r>
          </w:p>
        </w:tc>
        <w:tc>
          <w:tcPr>
            <w:tcW w:w="4683" w:type="dxa"/>
            <w:shd w:val="clear" w:color="auto" w:fill="auto"/>
            <w:vAlign w:val="center"/>
          </w:tcPr>
          <w:p w:rsidR="00D444ED" w:rsidRPr="005F1434" w:rsidRDefault="00D444ED" w:rsidP="00475E96">
            <w:pPr>
              <w:ind w:firstLine="54"/>
              <w:jc w:val="center"/>
              <w:rPr>
                <w:rFonts w:eastAsia="Calibri"/>
                <w:b/>
                <w:sz w:val="22"/>
                <w:szCs w:val="22"/>
                <w:lang w:eastAsia="en-US"/>
              </w:rPr>
            </w:pPr>
            <w:r w:rsidRPr="005F1434">
              <w:rPr>
                <w:rFonts w:eastAsia="Calibri"/>
                <w:sz w:val="22"/>
                <w:szCs w:val="22"/>
                <w:lang w:eastAsia="en-US"/>
              </w:rPr>
              <w:t>Reikalavimus įrodantys dokumentai</w:t>
            </w:r>
          </w:p>
        </w:tc>
      </w:tr>
      <w:tr w:rsidR="005F1434" w:rsidRPr="005F1434" w:rsidTr="00A2642D">
        <w:trPr>
          <w:trHeight w:val="558"/>
          <w:jc w:val="center"/>
        </w:trPr>
        <w:tc>
          <w:tcPr>
            <w:tcW w:w="817" w:type="dxa"/>
            <w:shd w:val="clear" w:color="auto" w:fill="auto"/>
          </w:tcPr>
          <w:p w:rsidR="00A2642D" w:rsidRPr="005F1434" w:rsidRDefault="00A2642D" w:rsidP="00287FEB">
            <w:pPr>
              <w:ind w:firstLine="54"/>
              <w:jc w:val="both"/>
              <w:rPr>
                <w:rFonts w:eastAsia="Calibri"/>
                <w:sz w:val="22"/>
                <w:szCs w:val="22"/>
              </w:rPr>
            </w:pPr>
            <w:r w:rsidRPr="005F1434">
              <w:rPr>
                <w:rFonts w:eastAsia="Calibri"/>
                <w:sz w:val="22"/>
                <w:szCs w:val="22"/>
              </w:rPr>
              <w:t>3.11.</w:t>
            </w:r>
            <w:r w:rsidR="00287FEB" w:rsidRPr="005F1434">
              <w:rPr>
                <w:rFonts w:eastAsia="Calibri"/>
                <w:sz w:val="22"/>
                <w:szCs w:val="22"/>
              </w:rPr>
              <w:t>1</w:t>
            </w:r>
            <w:r w:rsidRPr="005F1434">
              <w:rPr>
                <w:rFonts w:eastAsia="Calibri"/>
                <w:sz w:val="22"/>
                <w:szCs w:val="22"/>
              </w:rPr>
              <w:t>.</w:t>
            </w:r>
          </w:p>
        </w:tc>
        <w:tc>
          <w:tcPr>
            <w:tcW w:w="4281" w:type="dxa"/>
          </w:tcPr>
          <w:p w:rsidR="00471725" w:rsidRPr="005F1434" w:rsidRDefault="00A2642D" w:rsidP="00A2642D">
            <w:pPr>
              <w:ind w:left="57"/>
              <w:jc w:val="both"/>
              <w:rPr>
                <w:sz w:val="22"/>
                <w:szCs w:val="22"/>
              </w:rPr>
            </w:pPr>
            <w:r w:rsidRPr="005F1434">
              <w:rPr>
                <w:sz w:val="22"/>
                <w:szCs w:val="22"/>
              </w:rPr>
              <w:t xml:space="preserve">Vadovaujantis LR aplinkos ministro 2011 m. birželio 28 d. įsakymo Nr. D1-508 „Dėl aplinkos apsaugos kriterijų taikymo, vykdant žaliuosius pirkimus, tvarkos aprašo patvirtinimo“ </w:t>
            </w:r>
            <w:r w:rsidR="00471725" w:rsidRPr="005F1434">
              <w:rPr>
                <w:sz w:val="22"/>
                <w:szCs w:val="22"/>
              </w:rPr>
              <w:t>4 p.</w:t>
            </w:r>
          </w:p>
          <w:p w:rsidR="00471725" w:rsidRPr="005F1434" w:rsidRDefault="00471725" w:rsidP="00A2642D">
            <w:pPr>
              <w:ind w:left="57"/>
              <w:jc w:val="both"/>
              <w:rPr>
                <w:sz w:val="22"/>
                <w:szCs w:val="22"/>
              </w:rPr>
            </w:pPr>
            <w:r w:rsidRPr="005F1434">
              <w:rPr>
                <w:sz w:val="22"/>
                <w:szCs w:val="22"/>
              </w:rPr>
              <w:t>Paslaugos turi būti teikiamos konferencijų salėse, viešbučiuose ar kitose erdvėse:</w:t>
            </w:r>
          </w:p>
          <w:p w:rsidR="00471725" w:rsidRPr="005F1434" w:rsidRDefault="00471725" w:rsidP="00A2642D">
            <w:pPr>
              <w:ind w:left="57"/>
              <w:jc w:val="both"/>
              <w:rPr>
                <w:sz w:val="22"/>
                <w:szCs w:val="22"/>
              </w:rPr>
            </w:pPr>
            <w:r w:rsidRPr="005F1434">
              <w:rPr>
                <w:sz w:val="22"/>
                <w:szCs w:val="22"/>
              </w:rPr>
              <w:t xml:space="preserve">kuriose yra taikomos aplinkos apsaugos vadybos sistemos reikalavimai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Pr="005F1434">
              <w:rPr>
                <w:sz w:val="22"/>
                <w:szCs w:val="22"/>
              </w:rPr>
              <w:t>įrodymais</w:t>
            </w:r>
            <w:proofErr w:type="spellEnd"/>
            <w:r w:rsidRPr="005F1434">
              <w:rPr>
                <w:sz w:val="22"/>
                <w:szCs w:val="22"/>
              </w:rPr>
              <w:t xml:space="preserve"> ir (ar);</w:t>
            </w:r>
          </w:p>
          <w:p w:rsidR="00471725" w:rsidRPr="005F1434" w:rsidRDefault="00471725" w:rsidP="008F5802">
            <w:pPr>
              <w:ind w:left="57"/>
              <w:jc w:val="both"/>
              <w:rPr>
                <w:sz w:val="22"/>
                <w:szCs w:val="22"/>
              </w:rPr>
            </w:pPr>
            <w:r w:rsidRPr="005F1434">
              <w:rPr>
                <w:sz w:val="22"/>
                <w:szCs w:val="22"/>
              </w:rPr>
              <w:t>atitinka nustatytus I tipo ekologinio ženklo reikalavimus pagal standartą LST EN ISO 14024 „Aplinkosauginiai ženklai ir aplinkosauginės deklaracijos. I tipo aplinkosauginis ženklinimas. Principai ir procedūros“ ir paženklintus I tipo ekologiniu ženklu (pvz., „</w:t>
            </w:r>
            <w:proofErr w:type="spellStart"/>
            <w:r w:rsidRPr="005F1434">
              <w:rPr>
                <w:sz w:val="22"/>
                <w:szCs w:val="22"/>
              </w:rPr>
              <w:t>Green</w:t>
            </w:r>
            <w:proofErr w:type="spellEnd"/>
            <w:r w:rsidRPr="005F1434">
              <w:rPr>
                <w:sz w:val="22"/>
                <w:szCs w:val="22"/>
              </w:rPr>
              <w:t xml:space="preserve"> </w:t>
            </w:r>
            <w:proofErr w:type="spellStart"/>
            <w:r w:rsidRPr="005F1434">
              <w:rPr>
                <w:sz w:val="22"/>
                <w:szCs w:val="22"/>
              </w:rPr>
              <w:t>Key</w:t>
            </w:r>
            <w:proofErr w:type="spellEnd"/>
            <w:r w:rsidRPr="005F1434">
              <w:rPr>
                <w:sz w:val="22"/>
                <w:szCs w:val="22"/>
              </w:rPr>
              <w:t>“, „</w:t>
            </w:r>
            <w:proofErr w:type="spellStart"/>
            <w:r w:rsidRPr="005F1434">
              <w:rPr>
                <w:sz w:val="22"/>
                <w:szCs w:val="22"/>
              </w:rPr>
              <w:t>Österreichisches</w:t>
            </w:r>
            <w:proofErr w:type="spellEnd"/>
            <w:r w:rsidRPr="005F1434">
              <w:rPr>
                <w:sz w:val="22"/>
                <w:szCs w:val="22"/>
              </w:rPr>
              <w:t xml:space="preserve"> </w:t>
            </w:r>
            <w:proofErr w:type="spellStart"/>
            <w:r w:rsidRPr="005F1434">
              <w:rPr>
                <w:sz w:val="22"/>
                <w:szCs w:val="22"/>
              </w:rPr>
              <w:t>Umweltzeichean</w:t>
            </w:r>
            <w:proofErr w:type="spellEnd"/>
            <w:r w:rsidRPr="005F1434">
              <w:rPr>
                <w:sz w:val="22"/>
                <w:szCs w:val="22"/>
              </w:rPr>
              <w:t xml:space="preserve">“, „EU </w:t>
            </w:r>
            <w:proofErr w:type="spellStart"/>
            <w:r w:rsidRPr="005F1434">
              <w:rPr>
                <w:sz w:val="22"/>
                <w:szCs w:val="22"/>
              </w:rPr>
              <w:t>Ecolabel</w:t>
            </w:r>
            <w:proofErr w:type="spellEnd"/>
            <w:r w:rsidRPr="005F1434">
              <w:rPr>
                <w:sz w:val="22"/>
                <w:szCs w:val="22"/>
              </w:rPr>
              <w:t>“, „</w:t>
            </w:r>
            <w:proofErr w:type="spellStart"/>
            <w:r w:rsidRPr="005F1434">
              <w:rPr>
                <w:sz w:val="22"/>
                <w:szCs w:val="22"/>
              </w:rPr>
              <w:t>Nordic</w:t>
            </w:r>
            <w:proofErr w:type="spellEnd"/>
            <w:r w:rsidRPr="005F1434">
              <w:rPr>
                <w:sz w:val="22"/>
                <w:szCs w:val="22"/>
              </w:rPr>
              <w:t xml:space="preserve"> </w:t>
            </w:r>
            <w:proofErr w:type="spellStart"/>
            <w:r w:rsidRPr="005F1434">
              <w:rPr>
                <w:sz w:val="22"/>
                <w:szCs w:val="22"/>
              </w:rPr>
              <w:t>Swan</w:t>
            </w:r>
            <w:proofErr w:type="spellEnd"/>
            <w:r w:rsidRPr="005F1434">
              <w:rPr>
                <w:sz w:val="22"/>
                <w:szCs w:val="22"/>
              </w:rPr>
              <w:t>“) arba kitu tiekėjo pateiktu lygiaverčiu įrodymu ir  (ar) nuomojamose patalpose ir (ar) apgyvendinimo paslaugų vietoje naudojama elektra (arba jos dalis) turi būti pagaminta iš atsinaujinančių energijos išteklių</w:t>
            </w:r>
            <w:r w:rsidR="008F5802">
              <w:rPr>
                <w:sz w:val="22"/>
                <w:szCs w:val="22"/>
              </w:rPr>
              <w:t xml:space="preserve"> ir (ar) </w:t>
            </w:r>
            <w:r w:rsidR="008F5802" w:rsidRPr="008F5802">
              <w:rPr>
                <w:sz w:val="22"/>
                <w:szCs w:val="22"/>
              </w:rPr>
              <w:t>Teikėjas siūlomose apgyvendinimo vie</w:t>
            </w:r>
            <w:r w:rsidR="008F5802">
              <w:rPr>
                <w:sz w:val="22"/>
                <w:szCs w:val="22"/>
              </w:rPr>
              <w:t xml:space="preserve">tose </w:t>
            </w:r>
            <w:r w:rsidR="008F5802" w:rsidRPr="008F5802">
              <w:rPr>
                <w:sz w:val="22"/>
                <w:szCs w:val="22"/>
              </w:rPr>
              <w:t>užtikrin</w:t>
            </w:r>
            <w:r w:rsidR="008F5802">
              <w:rPr>
                <w:sz w:val="22"/>
                <w:szCs w:val="22"/>
              </w:rPr>
              <w:t>a</w:t>
            </w:r>
            <w:r w:rsidR="008F5802" w:rsidRPr="008F5802">
              <w:rPr>
                <w:sz w:val="22"/>
                <w:szCs w:val="22"/>
              </w:rPr>
              <w:t xml:space="preserve"> atliekų rūšiavimą ir jų perdavimą atliekas tvarkančioms įmonėms.</w:t>
            </w:r>
          </w:p>
        </w:tc>
        <w:tc>
          <w:tcPr>
            <w:tcW w:w="4683" w:type="dxa"/>
          </w:tcPr>
          <w:p w:rsidR="00471725" w:rsidRPr="005F1434" w:rsidRDefault="00471725" w:rsidP="00220F77">
            <w:pPr>
              <w:jc w:val="both"/>
              <w:rPr>
                <w:sz w:val="22"/>
                <w:szCs w:val="22"/>
              </w:rPr>
            </w:pPr>
            <w:r w:rsidRPr="005F1434">
              <w:rPr>
                <w:sz w:val="22"/>
                <w:szCs w:val="22"/>
              </w:rPr>
              <w:t>Atitiktį įrodantys dokumentai – Žaliojo rakto diplomas arba EMAS arba LST EN ISO 14001 sertifikatas, arba kitas lygiavertis sertifikatas. Ekologinis ženklas arba sertifikatai, arba kiti lygiaverčiai įrodymai arba</w:t>
            </w:r>
            <w:r w:rsidR="005F1434">
              <w:rPr>
                <w:sz w:val="22"/>
                <w:szCs w:val="22"/>
              </w:rPr>
              <w:t xml:space="preserve"> tiekėjo laisvos formos deklaracija arba</w:t>
            </w:r>
            <w:r w:rsidRPr="005F1434">
              <w:rPr>
                <w:sz w:val="22"/>
                <w:szCs w:val="22"/>
              </w:rPr>
              <w:t xml:space="preserve"> Sutarti</w:t>
            </w:r>
            <w:r w:rsidR="008F5802">
              <w:rPr>
                <w:sz w:val="22"/>
                <w:szCs w:val="22"/>
              </w:rPr>
              <w:t>s su elektros energijos tiekėju arba sutartis su įmone tvarkančia atliekas.</w:t>
            </w:r>
          </w:p>
          <w:p w:rsidR="00220F77" w:rsidRPr="005F1434" w:rsidRDefault="007474FA" w:rsidP="005F1434">
            <w:pPr>
              <w:jc w:val="both"/>
              <w:rPr>
                <w:sz w:val="22"/>
                <w:szCs w:val="22"/>
                <w:lang w:val="en-US"/>
              </w:rPr>
            </w:pPr>
            <w:r w:rsidRPr="005F1434">
              <w:rPr>
                <w:i/>
                <w:color w:val="FF0000"/>
                <w:sz w:val="22"/>
                <w:szCs w:val="22"/>
              </w:rPr>
              <w:t>Galimas laimėtojas turės pateikti dokumentų skaitmenines kopijas</w:t>
            </w:r>
            <w:r w:rsidR="005F1434" w:rsidRPr="005F1434">
              <w:rPr>
                <w:i/>
                <w:color w:val="FF0000"/>
                <w:sz w:val="22"/>
                <w:szCs w:val="22"/>
              </w:rPr>
              <w:t>.</w:t>
            </w:r>
            <w:r w:rsidRPr="005F1434">
              <w:rPr>
                <w:i/>
                <w:color w:val="FF0000"/>
                <w:sz w:val="22"/>
                <w:szCs w:val="22"/>
              </w:rPr>
              <w:t xml:space="preserve"> </w:t>
            </w:r>
          </w:p>
        </w:tc>
      </w:tr>
    </w:tbl>
    <w:p w:rsidR="00DA3F02" w:rsidRPr="00780600" w:rsidRDefault="00DA3F02" w:rsidP="0046523E">
      <w:pPr>
        <w:tabs>
          <w:tab w:val="left" w:pos="993"/>
        </w:tabs>
        <w:autoSpaceDE w:val="0"/>
        <w:autoSpaceDN w:val="0"/>
        <w:adjustRightInd w:val="0"/>
        <w:ind w:right="-2" w:firstLine="851"/>
        <w:jc w:val="both"/>
      </w:pPr>
    </w:p>
    <w:p w:rsidR="00DA3F02" w:rsidRPr="00780600" w:rsidRDefault="002D412A" w:rsidP="00163F14">
      <w:pPr>
        <w:pStyle w:val="BodyText"/>
        <w:numPr>
          <w:ilvl w:val="0"/>
          <w:numId w:val="1"/>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46523E">
      <w:pPr>
        <w:ind w:firstLine="851"/>
        <w:jc w:val="both"/>
        <w:rPr>
          <w:color w:val="000000"/>
        </w:rPr>
      </w:pPr>
    </w:p>
    <w:p w:rsidR="004A05ED" w:rsidRDefault="00E1218D" w:rsidP="0046523E">
      <w:pPr>
        <w:ind w:firstLine="851"/>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6523E">
      <w:pPr>
        <w:pStyle w:val="ListParagraph"/>
        <w:ind w:left="0" w:firstLine="851"/>
        <w:jc w:val="both"/>
      </w:pPr>
    </w:p>
    <w:p w:rsidR="00DA3F02" w:rsidRPr="00E1218D" w:rsidRDefault="00E1218D" w:rsidP="0046523E">
      <w:pPr>
        <w:ind w:firstLine="851"/>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46523E">
      <w:pPr>
        <w:ind w:firstLine="851"/>
        <w:jc w:val="both"/>
        <w:rPr>
          <w:bCs/>
        </w:rPr>
      </w:pPr>
    </w:p>
    <w:p w:rsidR="00DA3F02" w:rsidRDefault="00AC2F74" w:rsidP="00793998">
      <w:pPr>
        <w:pStyle w:val="ListParagraph"/>
        <w:numPr>
          <w:ilvl w:val="1"/>
          <w:numId w:val="12"/>
        </w:numPr>
        <w:ind w:left="0" w:firstLine="851"/>
        <w:jc w:val="both"/>
      </w:pPr>
      <w:r w:rsidRPr="00AC2F74">
        <w:t>Perkančioji organizacija nereikalauja, kad, tiekėjų grupės pateiktą pasiūlymą nustačius laimėjusiu ir pasiūlius sudaryti pirkimo sutartį, ši tiekėjų grupė įgytų tam tikrą teisinę formą.</w:t>
      </w:r>
    </w:p>
    <w:p w:rsidR="00220F77" w:rsidRDefault="00220F77" w:rsidP="00220F77">
      <w:pPr>
        <w:ind w:firstLine="851"/>
        <w:jc w:val="both"/>
      </w:pPr>
    </w:p>
    <w:p w:rsidR="00220F77" w:rsidRPr="00780600" w:rsidRDefault="00220F77" w:rsidP="00220F77">
      <w:pPr>
        <w:jc w:val="both"/>
      </w:pPr>
    </w:p>
    <w:p w:rsidR="00DA3F02" w:rsidRPr="00780600" w:rsidRDefault="00DA3F02" w:rsidP="0046523E">
      <w:pPr>
        <w:tabs>
          <w:tab w:val="left" w:pos="993"/>
        </w:tabs>
        <w:autoSpaceDE w:val="0"/>
        <w:autoSpaceDN w:val="0"/>
        <w:adjustRightInd w:val="0"/>
        <w:ind w:right="282" w:firstLine="851"/>
        <w:jc w:val="both"/>
      </w:pPr>
    </w:p>
    <w:p w:rsidR="00DA3F02" w:rsidRPr="00780600" w:rsidRDefault="00DA3F02" w:rsidP="00163F14">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46523E">
      <w:pPr>
        <w:pStyle w:val="BodyText"/>
        <w:ind w:firstLine="851"/>
        <w:rPr>
          <w:rFonts w:eastAsia="Arial Unicode MS"/>
          <w:b/>
          <w:i w:val="0"/>
          <w:color w:val="000000"/>
          <w:lang w:val="lt-LT"/>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1A34D7"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46523E">
      <w:pPr>
        <w:pStyle w:val="BodyTextIndent3"/>
        <w:spacing w:after="0"/>
        <w:ind w:left="0" w:firstLine="851"/>
        <w:jc w:val="both"/>
        <w:rPr>
          <w:sz w:val="24"/>
          <w:szCs w:val="24"/>
        </w:rPr>
      </w:pPr>
    </w:p>
    <w:p w:rsidR="00DA3F02" w:rsidRPr="00A44A7A" w:rsidRDefault="004A5F72" w:rsidP="00163F14">
      <w:pPr>
        <w:pStyle w:val="BodyTextIndent3"/>
        <w:numPr>
          <w:ilvl w:val="0"/>
          <w:numId w:val="3"/>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3" w:history="1">
        <w:r w:rsidR="0045422B" w:rsidRPr="004325CE">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DA3F02" w:rsidP="00163F14">
      <w:pPr>
        <w:numPr>
          <w:ilvl w:val="0"/>
          <w:numId w:val="3"/>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46523E">
      <w:pPr>
        <w:ind w:firstLine="851"/>
        <w:jc w:val="both"/>
        <w:rPr>
          <w:rFonts w:eastAsia="Calibri"/>
          <w:lang w:eastAsia="en-US"/>
        </w:rPr>
      </w:pPr>
    </w:p>
    <w:p w:rsidR="00DA3F02" w:rsidRDefault="004A5F72" w:rsidP="00163F14">
      <w:pPr>
        <w:pStyle w:val="BodyTextIndent3"/>
        <w:numPr>
          <w:ilvl w:val="0"/>
          <w:numId w:val="3"/>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46523E">
      <w:pPr>
        <w:pStyle w:val="BodyTextIndent3"/>
        <w:spacing w:after="0"/>
        <w:ind w:left="0" w:firstLine="851"/>
        <w:jc w:val="both"/>
        <w:rPr>
          <w:sz w:val="24"/>
          <w:szCs w:val="24"/>
        </w:rPr>
      </w:pPr>
    </w:p>
    <w:p w:rsidR="00A44A7A" w:rsidRDefault="00A44A7A" w:rsidP="00163F14">
      <w:pPr>
        <w:pStyle w:val="BodyTextIndent3"/>
        <w:numPr>
          <w:ilvl w:val="0"/>
          <w:numId w:val="3"/>
        </w:numPr>
        <w:tabs>
          <w:tab w:val="clear" w:pos="1443"/>
          <w:tab w:val="num" w:pos="1134"/>
        </w:tabs>
        <w:spacing w:after="0"/>
        <w:ind w:left="0" w:firstLine="851"/>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46523E">
      <w:pPr>
        <w:pStyle w:val="BodyTextIndent3"/>
        <w:spacing w:after="0"/>
        <w:ind w:left="0" w:firstLine="851"/>
        <w:jc w:val="both"/>
        <w:rPr>
          <w:sz w:val="24"/>
          <w:szCs w:val="24"/>
        </w:rPr>
      </w:pPr>
    </w:p>
    <w:p w:rsidR="00DA3F02" w:rsidRPr="00A44A7A" w:rsidRDefault="004A5F72" w:rsidP="00163F14">
      <w:pPr>
        <w:pStyle w:val="BodyText"/>
        <w:numPr>
          <w:ilvl w:val="0"/>
          <w:numId w:val="3"/>
        </w:numPr>
        <w:tabs>
          <w:tab w:val="clear" w:pos="1443"/>
          <w:tab w:val="left" w:pos="969"/>
        </w:tabs>
        <w:suppressAutoHyphens w:val="0"/>
        <w:ind w:left="0" w:firstLine="851"/>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46523E">
      <w:pPr>
        <w:pStyle w:val="BodyText"/>
        <w:tabs>
          <w:tab w:val="left" w:pos="969"/>
        </w:tabs>
        <w:suppressAutoHyphens w:val="0"/>
        <w:ind w:firstLine="851"/>
        <w:rPr>
          <w:i w:val="0"/>
          <w:lang w:val="lt-LT"/>
        </w:rPr>
      </w:pPr>
    </w:p>
    <w:p w:rsidR="00DA3F02" w:rsidRDefault="00AE4278" w:rsidP="00163F14">
      <w:pPr>
        <w:pStyle w:val="BodyTextIndent3"/>
        <w:numPr>
          <w:ilvl w:val="0"/>
          <w:numId w:val="3"/>
        </w:numPr>
        <w:tabs>
          <w:tab w:val="clear" w:pos="1443"/>
          <w:tab w:val="num" w:pos="1134"/>
        </w:tabs>
        <w:spacing w:after="0"/>
        <w:ind w:left="0" w:firstLine="851"/>
        <w:jc w:val="both"/>
        <w:rPr>
          <w:sz w:val="24"/>
          <w:szCs w:val="24"/>
        </w:rPr>
      </w:pPr>
      <w:r>
        <w:rPr>
          <w:sz w:val="24"/>
          <w:szCs w:val="24"/>
        </w:rPr>
        <w:lastRenderedPageBreak/>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46523E">
      <w:pPr>
        <w:pStyle w:val="BodyTextIndent3"/>
        <w:spacing w:after="0"/>
        <w:ind w:left="0" w:firstLine="851"/>
        <w:jc w:val="both"/>
        <w:rPr>
          <w:sz w:val="24"/>
          <w:szCs w:val="24"/>
        </w:rPr>
      </w:pPr>
    </w:p>
    <w:p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3D26EC">
        <w:rPr>
          <w:b/>
        </w:rPr>
        <w:t>aslaugų</w:t>
      </w:r>
      <w:r w:rsidR="009F62C7">
        <w:rPr>
          <w:b/>
        </w:rPr>
        <w:t xml:space="preserve"> </w:t>
      </w:r>
      <w:r w:rsidR="003D26EC">
        <w:rPr>
          <w:b/>
        </w:rPr>
        <w:t xml:space="preserve">bendra </w:t>
      </w:r>
      <w:r w:rsidR="009F62C7">
        <w:rPr>
          <w:rFonts w:eastAsia="Calibri"/>
          <w:b/>
          <w:szCs w:val="22"/>
          <w:lang w:eastAsia="en-US"/>
        </w:rPr>
        <w:t>kain</w:t>
      </w:r>
      <w:r w:rsidR="003D26EC">
        <w:rPr>
          <w:rFonts w:eastAsia="Calibri"/>
          <w:b/>
          <w:szCs w:val="22"/>
          <w:lang w:eastAsia="en-US"/>
        </w:rPr>
        <w:t>a</w:t>
      </w:r>
      <w:r w:rsidR="009F62C7">
        <w:rPr>
          <w:rFonts w:eastAsia="Calibri"/>
          <w:b/>
          <w:szCs w:val="22"/>
          <w:lang w:eastAsia="en-US"/>
        </w:rPr>
        <w:t xml:space="preserve">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46523E">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46523E">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46523E">
      <w:pPr>
        <w:tabs>
          <w:tab w:val="left" w:pos="709"/>
        </w:tabs>
        <w:ind w:firstLine="851"/>
        <w:jc w:val="both"/>
      </w:pPr>
    </w:p>
    <w:p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4"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rsidR="00DA3F02" w:rsidRPr="00B1142F" w:rsidRDefault="00DA3F02" w:rsidP="0046523E">
      <w:pPr>
        <w:ind w:firstLine="851"/>
        <w:rPr>
          <w:color w:val="000000"/>
        </w:rPr>
      </w:pPr>
    </w:p>
    <w:p w:rsidR="00DA3F02" w:rsidRPr="00B1142F" w:rsidRDefault="004B0CA6" w:rsidP="00163F14">
      <w:pPr>
        <w:pStyle w:val="Heading5"/>
        <w:numPr>
          <w:ilvl w:val="0"/>
          <w:numId w:val="4"/>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46523E">
      <w:pPr>
        <w:ind w:firstLine="851"/>
        <w:jc w:val="center"/>
        <w:rPr>
          <w:b/>
          <w:bCs/>
          <w:color w:val="000000"/>
        </w:rPr>
      </w:pPr>
    </w:p>
    <w:p w:rsidR="00DA3F02" w:rsidRPr="00B1142F" w:rsidRDefault="00DA3F02" w:rsidP="0046523E">
      <w:pPr>
        <w:jc w:val="center"/>
        <w:rPr>
          <w:b/>
          <w:bCs/>
          <w:color w:val="000000"/>
        </w:rPr>
      </w:pPr>
      <w:r w:rsidRPr="00B1142F">
        <w:rPr>
          <w:b/>
          <w:bCs/>
          <w:color w:val="000000"/>
        </w:rPr>
        <w:t>7. PASIŪLYMŲ PATEIKIMO TERMINAI IR TVARKA</w:t>
      </w:r>
    </w:p>
    <w:p w:rsidR="00DA3F02" w:rsidRPr="00B1142F" w:rsidRDefault="00DA3F02" w:rsidP="0046523E">
      <w:pPr>
        <w:ind w:firstLine="851"/>
        <w:jc w:val="center"/>
        <w:rPr>
          <w:b/>
          <w:bCs/>
          <w:color w:val="000000"/>
        </w:rPr>
      </w:pPr>
    </w:p>
    <w:p w:rsidR="00DA3F02" w:rsidRPr="00E1218D" w:rsidRDefault="004B0CA6" w:rsidP="00163F14">
      <w:pPr>
        <w:pStyle w:val="BodyText"/>
        <w:numPr>
          <w:ilvl w:val="0"/>
          <w:numId w:val="5"/>
        </w:numPr>
        <w:tabs>
          <w:tab w:val="clear" w:pos="1707"/>
          <w:tab w:val="num" w:pos="993"/>
        </w:tabs>
        <w:suppressAutoHyphens w:val="0"/>
        <w:ind w:left="0" w:firstLine="851"/>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46523E">
      <w:pPr>
        <w:pStyle w:val="BodyText"/>
        <w:suppressAutoHyphens w:val="0"/>
        <w:ind w:firstLine="851"/>
        <w:rPr>
          <w:i w:val="0"/>
          <w:color w:val="000000"/>
          <w:lang w:val="lt-LT"/>
        </w:rPr>
      </w:pPr>
    </w:p>
    <w:p w:rsidR="00DA3F02" w:rsidRDefault="004F15CF" w:rsidP="00163F14">
      <w:pPr>
        <w:pStyle w:val="BodyText"/>
        <w:numPr>
          <w:ilvl w:val="0"/>
          <w:numId w:val="5"/>
        </w:numPr>
        <w:tabs>
          <w:tab w:val="clear" w:pos="1707"/>
          <w:tab w:val="num" w:pos="1134"/>
        </w:tabs>
        <w:suppressAutoHyphens w:val="0"/>
        <w:ind w:left="0" w:firstLine="851"/>
        <w:rPr>
          <w:i w:val="0"/>
          <w:lang w:val="lt-LT"/>
        </w:rPr>
      </w:pPr>
      <w:r>
        <w:rPr>
          <w:i w:val="0"/>
          <w:color w:val="000000"/>
          <w:lang w:val="lt-LT"/>
        </w:rPr>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46523E">
      <w:pPr>
        <w:pStyle w:val="BodyText"/>
        <w:suppressAutoHyphens w:val="0"/>
        <w:ind w:firstLine="851"/>
        <w:rPr>
          <w:i w:val="0"/>
          <w:lang w:val="lt-LT"/>
        </w:rPr>
      </w:pPr>
    </w:p>
    <w:p w:rsidR="00DA3F02" w:rsidRDefault="00043CBD" w:rsidP="00163F14">
      <w:pPr>
        <w:pStyle w:val="BodyText"/>
        <w:numPr>
          <w:ilvl w:val="0"/>
          <w:numId w:val="5"/>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46523E">
      <w:pPr>
        <w:pStyle w:val="BodyText"/>
        <w:suppressAutoHyphens w:val="0"/>
        <w:ind w:firstLine="851"/>
        <w:rPr>
          <w:i w:val="0"/>
          <w:lang w:val="lt-LT"/>
        </w:rPr>
      </w:pPr>
    </w:p>
    <w:p w:rsidR="00DA3F02" w:rsidRPr="009B5E48" w:rsidRDefault="00DA3F02" w:rsidP="00163F14">
      <w:pPr>
        <w:pStyle w:val="BodyText"/>
        <w:numPr>
          <w:ilvl w:val="0"/>
          <w:numId w:val="5"/>
        </w:numPr>
        <w:tabs>
          <w:tab w:val="clear" w:pos="1707"/>
          <w:tab w:val="num" w:pos="1197"/>
        </w:tabs>
        <w:suppressAutoHyphens w:val="0"/>
        <w:ind w:left="0" w:firstLine="851"/>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Default="00DA3F02" w:rsidP="0046523E">
      <w:pPr>
        <w:pStyle w:val="BodyText"/>
        <w:ind w:firstLine="851"/>
        <w:rPr>
          <w:i w:val="0"/>
          <w:lang w:val="lt-LT"/>
        </w:rPr>
      </w:pPr>
    </w:p>
    <w:p w:rsidR="0046523E" w:rsidRDefault="0046523E" w:rsidP="0046523E">
      <w:pPr>
        <w:pStyle w:val="BodyText"/>
        <w:ind w:firstLine="851"/>
        <w:rPr>
          <w:i w:val="0"/>
          <w:lang w:val="lt-LT"/>
        </w:rPr>
      </w:pPr>
    </w:p>
    <w:p w:rsidR="00DA3F02" w:rsidRPr="009B5E48" w:rsidRDefault="00DA3F02" w:rsidP="0046523E">
      <w:pPr>
        <w:pStyle w:val="BodyText"/>
        <w:jc w:val="center"/>
        <w:rPr>
          <w:b/>
          <w:i w:val="0"/>
          <w:lang w:val="lt-LT"/>
        </w:rPr>
      </w:pPr>
      <w:r w:rsidRPr="009B5E48">
        <w:rPr>
          <w:b/>
          <w:i w:val="0"/>
          <w:lang w:val="lt-LT"/>
        </w:rPr>
        <w:t>8. PASIŪLYMŲ ŠIFRAVIMAS</w:t>
      </w:r>
    </w:p>
    <w:p w:rsidR="00DA3F02" w:rsidRPr="009B5E48" w:rsidRDefault="00DA3F02" w:rsidP="0046523E">
      <w:pPr>
        <w:pStyle w:val="BodyText"/>
        <w:ind w:firstLine="851"/>
        <w:jc w:val="center"/>
        <w:rPr>
          <w:b/>
          <w:i w:val="0"/>
          <w:lang w:val="lt-LT"/>
        </w:rPr>
      </w:pPr>
    </w:p>
    <w:p w:rsidR="00DA3F02" w:rsidRDefault="00B04FC2" w:rsidP="00163F14">
      <w:pPr>
        <w:pStyle w:val="ListParagraph"/>
        <w:numPr>
          <w:ilvl w:val="1"/>
          <w:numId w:val="6"/>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46523E">
      <w:pPr>
        <w:pStyle w:val="ListParagraph"/>
        <w:ind w:left="0" w:firstLine="851"/>
        <w:jc w:val="both"/>
        <w:rPr>
          <w:color w:val="000000"/>
        </w:rPr>
      </w:pPr>
    </w:p>
    <w:p w:rsidR="00EB6A14" w:rsidRPr="00596FC7" w:rsidRDefault="00EB6A14" w:rsidP="0046523E">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004B0CA6" w:rsidRPr="00970077">
          <w:rPr>
            <w:rStyle w:val="Hyperlink"/>
          </w:rPr>
          <w:t>http://vpt.lrv.lt/uploads/vpt/documents/files/uzsifravimo_instrukcija.pdf</w:t>
        </w:r>
      </w:hyperlink>
      <w:r w:rsidR="004B0CA6">
        <w:t>;</w:t>
      </w:r>
    </w:p>
    <w:p w:rsidR="004B0CA6" w:rsidRDefault="00EB6A14" w:rsidP="0046523E">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6523E">
      <w:pPr>
        <w:pStyle w:val="Default"/>
        <w:ind w:firstLine="851"/>
        <w:jc w:val="both"/>
      </w:pPr>
    </w:p>
    <w:p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46523E">
      <w:pPr>
        <w:tabs>
          <w:tab w:val="left" w:pos="1605"/>
        </w:tabs>
        <w:ind w:firstLine="851"/>
        <w:jc w:val="center"/>
        <w:rPr>
          <w:b/>
          <w:bCs/>
          <w:color w:val="000000"/>
        </w:rPr>
      </w:pPr>
    </w:p>
    <w:p w:rsidR="00782DB3" w:rsidRDefault="00782DB3" w:rsidP="0046523E">
      <w:pPr>
        <w:pStyle w:val="NormalWeb"/>
        <w:ind w:firstLine="851"/>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46523E">
      <w:pPr>
        <w:pStyle w:val="NormalWeb"/>
        <w:ind w:firstLine="851"/>
        <w:jc w:val="both"/>
      </w:pPr>
    </w:p>
    <w:p w:rsidR="00782DB3" w:rsidRDefault="00782DB3" w:rsidP="0046523E">
      <w:pPr>
        <w:pStyle w:val="NormalWeb"/>
        <w:ind w:firstLine="851"/>
        <w:jc w:val="both"/>
      </w:pPr>
      <w:r>
        <w:lastRenderedPageBreak/>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46523E">
      <w:pPr>
        <w:pStyle w:val="NormalWeb"/>
        <w:ind w:firstLine="851"/>
        <w:jc w:val="both"/>
      </w:pPr>
    </w:p>
    <w:p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46523E">
      <w:pPr>
        <w:pStyle w:val="BodyText"/>
        <w:suppressAutoHyphens w:val="0"/>
        <w:ind w:firstLine="851"/>
        <w:rPr>
          <w:i w:val="0"/>
          <w:color w:val="000000"/>
          <w:lang w:val="lt-LT"/>
        </w:rPr>
      </w:pPr>
      <w:r>
        <w:rPr>
          <w:i w:val="0"/>
          <w:color w:val="000000"/>
          <w:lang w:val="lt-LT"/>
        </w:rPr>
        <w:t xml:space="preserve"> </w:t>
      </w:r>
    </w:p>
    <w:p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46523E">
      <w:pPr>
        <w:pStyle w:val="BodyText"/>
        <w:ind w:firstLine="851"/>
        <w:rPr>
          <w:i w:val="0"/>
          <w:color w:val="000000"/>
          <w:lang w:val="lt-LT"/>
        </w:rPr>
      </w:pPr>
    </w:p>
    <w:p w:rsidR="00DA3F02" w:rsidRPr="00B1142F" w:rsidRDefault="00DA3F02" w:rsidP="004F15CF">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46523E">
      <w:pPr>
        <w:pStyle w:val="BodyText"/>
        <w:ind w:firstLine="851"/>
        <w:jc w:val="center"/>
        <w:rPr>
          <w:b/>
          <w:i w:val="0"/>
          <w:color w:val="000000"/>
          <w:lang w:val="lt-LT"/>
        </w:rPr>
      </w:pPr>
    </w:p>
    <w:p w:rsidR="00063025" w:rsidRPr="00063025" w:rsidRDefault="00070BA3" w:rsidP="00163F14">
      <w:pPr>
        <w:pStyle w:val="BodyText"/>
        <w:numPr>
          <w:ilvl w:val="1"/>
          <w:numId w:val="7"/>
        </w:numPr>
        <w:suppressAutoHyphens w:val="0"/>
        <w:ind w:left="0" w:firstLine="851"/>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46523E">
      <w:pPr>
        <w:pStyle w:val="BodyText"/>
        <w:suppressAutoHyphens w:val="0"/>
        <w:ind w:firstLine="851"/>
        <w:rPr>
          <w:i w:val="0"/>
          <w:color w:val="000000"/>
          <w:lang w:val="lt-LT"/>
        </w:rPr>
      </w:pPr>
      <w:r>
        <w:rPr>
          <w:i w:val="0"/>
          <w:color w:val="000000"/>
          <w:lang w:val="lt-LT"/>
        </w:rPr>
        <w:t xml:space="preserve"> </w:t>
      </w:r>
    </w:p>
    <w:p w:rsidR="00E80FE0" w:rsidRDefault="00E80FE0" w:rsidP="00163F14">
      <w:pPr>
        <w:pStyle w:val="BodyText"/>
        <w:numPr>
          <w:ilvl w:val="1"/>
          <w:numId w:val="7"/>
        </w:numPr>
        <w:suppressAutoHyphens w:val="0"/>
        <w:ind w:left="0" w:firstLine="851"/>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46523E">
      <w:pPr>
        <w:pStyle w:val="Default"/>
        <w:ind w:firstLine="851"/>
      </w:pPr>
    </w:p>
    <w:p w:rsidR="009C72BB" w:rsidRPr="00063025" w:rsidRDefault="009C72BB" w:rsidP="00163F14">
      <w:pPr>
        <w:pStyle w:val="Default"/>
        <w:numPr>
          <w:ilvl w:val="1"/>
          <w:numId w:val="7"/>
        </w:numPr>
        <w:ind w:left="0" w:firstLine="851"/>
      </w:pPr>
      <w:r>
        <w:t xml:space="preserve"> </w:t>
      </w:r>
      <w:r w:rsidR="00043CBD" w:rsidRPr="00043CBD">
        <w:t>Perkančioji organizacija</w:t>
      </w:r>
      <w:r w:rsidR="008D09BD" w:rsidRPr="00063025">
        <w:t xml:space="preserve"> atmeta pasiūlymą, jeigu: </w:t>
      </w:r>
    </w:p>
    <w:p w:rsidR="008D09BD" w:rsidRPr="00063025" w:rsidRDefault="008D09BD" w:rsidP="0046523E">
      <w:pPr>
        <w:pStyle w:val="Default"/>
        <w:spacing w:after="25"/>
        <w:ind w:firstLine="851"/>
      </w:pPr>
      <w:r w:rsidRPr="00063025">
        <w:t xml:space="preserve">10.3.1. pasiūlymas neatitinka pirkimo dokumentuose nustatytų reikalavimų, sąlygų ir kriterijų; </w:t>
      </w:r>
    </w:p>
    <w:p w:rsidR="008D09BD" w:rsidRPr="00063025" w:rsidRDefault="008D09BD" w:rsidP="0046523E">
      <w:pPr>
        <w:pStyle w:val="Default"/>
        <w:spacing w:after="25"/>
        <w:ind w:firstLine="851"/>
      </w:pPr>
      <w:r w:rsidRPr="00063025">
        <w:t xml:space="preserve">10.3.2. jei taikoma, dalyvis turi būti pašalintas vadovaujantis Viešųjų pirkimų įstatymo 46 straipsnio nuostatomis; </w:t>
      </w:r>
    </w:p>
    <w:p w:rsidR="008D09BD" w:rsidRPr="00063025" w:rsidRDefault="008D09BD" w:rsidP="0046523E">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46523E">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46523E">
      <w:pPr>
        <w:pStyle w:val="Default"/>
        <w:spacing w:after="25"/>
        <w:ind w:firstLine="851"/>
      </w:pPr>
      <w:r w:rsidRPr="00063025">
        <w:t xml:space="preserve">10.3.5. pasiūlyta kaina yra per didelė ir perkančiajai organizacijai nepriimtina; </w:t>
      </w:r>
    </w:p>
    <w:p w:rsidR="008D09BD" w:rsidRDefault="00C5168A" w:rsidP="0046523E">
      <w:pPr>
        <w:pStyle w:val="Default"/>
        <w:ind w:firstLine="851"/>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46523E">
      <w:pPr>
        <w:pStyle w:val="Default"/>
        <w:ind w:firstLine="851"/>
      </w:pPr>
    </w:p>
    <w:p w:rsidR="008D09BD" w:rsidRDefault="00063025" w:rsidP="00163F14">
      <w:pPr>
        <w:pStyle w:val="Default"/>
        <w:numPr>
          <w:ilvl w:val="1"/>
          <w:numId w:val="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rsidR="002C3CD1" w:rsidRDefault="002C3CD1" w:rsidP="0046523E">
      <w:pPr>
        <w:pStyle w:val="ListParagraph"/>
        <w:ind w:left="0" w:firstLine="851"/>
      </w:pPr>
    </w:p>
    <w:p w:rsidR="002C3CD1" w:rsidRDefault="002C3CD1" w:rsidP="00163F14">
      <w:pPr>
        <w:pStyle w:val="Default"/>
        <w:numPr>
          <w:ilvl w:val="1"/>
          <w:numId w:val="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9D6A7C" w:rsidRDefault="009D6A7C" w:rsidP="009D6A7C">
      <w:pPr>
        <w:pStyle w:val="ListParagraph"/>
      </w:pPr>
    </w:p>
    <w:p w:rsidR="009D6A7C" w:rsidRDefault="009D6A7C" w:rsidP="009D6A7C">
      <w:pPr>
        <w:pStyle w:val="Default"/>
        <w:spacing w:after="25"/>
        <w:ind w:left="480"/>
      </w:pPr>
    </w:p>
    <w:p w:rsidR="00DA3F02" w:rsidRPr="00063025" w:rsidRDefault="00DA3F02" w:rsidP="0046523E">
      <w:pPr>
        <w:pStyle w:val="BodyText"/>
        <w:tabs>
          <w:tab w:val="num" w:pos="1418"/>
        </w:tabs>
        <w:ind w:firstLine="851"/>
        <w:rPr>
          <w:i w:val="0"/>
          <w:color w:val="000000"/>
          <w:szCs w:val="24"/>
          <w:lang w:val="lt-LT"/>
        </w:rPr>
      </w:pPr>
    </w:p>
    <w:p w:rsidR="00B61836" w:rsidRPr="00B61836" w:rsidRDefault="00B61836" w:rsidP="00163F14">
      <w:pPr>
        <w:pStyle w:val="ListParagraph"/>
        <w:numPr>
          <w:ilvl w:val="0"/>
          <w:numId w:val="7"/>
        </w:numPr>
        <w:ind w:left="0" w:firstLine="851"/>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46523E">
      <w:pPr>
        <w:ind w:firstLine="851"/>
        <w:jc w:val="both"/>
      </w:pPr>
    </w:p>
    <w:p w:rsidR="00EB6971" w:rsidRDefault="00070BA3" w:rsidP="00163F14">
      <w:pPr>
        <w:pStyle w:val="ListParagraph"/>
        <w:numPr>
          <w:ilvl w:val="1"/>
          <w:numId w:val="7"/>
        </w:numPr>
        <w:ind w:left="0" w:firstLine="851"/>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46523E">
      <w:pPr>
        <w:ind w:firstLine="851"/>
        <w:jc w:val="both"/>
      </w:pPr>
    </w:p>
    <w:p w:rsidR="00B61836" w:rsidRDefault="00B61836" w:rsidP="0046523E">
      <w:pPr>
        <w:ind w:firstLine="851"/>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46523E">
      <w:pPr>
        <w:ind w:firstLine="851"/>
        <w:jc w:val="both"/>
      </w:pPr>
    </w:p>
    <w:p w:rsidR="00B61836" w:rsidRDefault="00B61836" w:rsidP="0046523E">
      <w:pPr>
        <w:ind w:firstLine="851"/>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B2184A" w:rsidRPr="00F551AE" w:rsidRDefault="00B2184A" w:rsidP="00B2184A">
      <w:pPr>
        <w:pStyle w:val="ListParagraph"/>
        <w:ind w:left="0" w:firstLine="851"/>
        <w:contextualSpacing w:val="0"/>
        <w:jc w:val="both"/>
      </w:pPr>
      <w:r w:rsidRPr="00F551AE">
        <w:rPr>
          <w:rFonts w:eastAsia="Calibri"/>
          <w:szCs w:val="22"/>
          <w:lang w:eastAsia="en-US"/>
        </w:rPr>
        <w:t xml:space="preserve">11.4. </w:t>
      </w:r>
      <w:r w:rsidRPr="00F551AE">
        <w:t>Laimėjusiu pripažįstamas tas Tiekėjas, kurio pasiūlymas atitinka visus pirkimo sąlygų reikalavimus ir pasiūlymo kaina yra mažiausia ir neviršija 2.4. punkte nurodytos kainos.</w:t>
      </w:r>
    </w:p>
    <w:p w:rsidR="00E65846" w:rsidRPr="00F551AE" w:rsidRDefault="00FA353E" w:rsidP="00A86FF7">
      <w:pPr>
        <w:pStyle w:val="ListParagraph"/>
        <w:ind w:left="0" w:firstLine="709"/>
        <w:contextualSpacing w:val="0"/>
        <w:jc w:val="both"/>
      </w:pPr>
      <w:r w:rsidRPr="00F551AE">
        <w:t xml:space="preserve">Perkančioji organizacija </w:t>
      </w:r>
      <w:r w:rsidR="00A86FF7" w:rsidRPr="00F551AE">
        <w:t xml:space="preserve"> (toliau – PO) </w:t>
      </w:r>
      <w:r w:rsidRPr="00F551AE">
        <w:t>vertindama pasiūlymus iš anksto nustato taisyklę, kad laimėjusį pasiūlymą laimės tas tiekėjas, kurio pasiūlymo vertė bus mažiausia, įskaitant visas susijusias išlaidas (pvz., PVM</w:t>
      </w:r>
      <w:r w:rsidR="00AA7FDD" w:rsidRPr="00F551AE">
        <w:t>,</w:t>
      </w:r>
      <w:r w:rsidRPr="00F551AE">
        <w:t xml:space="preserve"> pagalvės mok</w:t>
      </w:r>
      <w:r w:rsidR="00A86FF7" w:rsidRPr="00F551AE">
        <w:t>estis ir kt.). J</w:t>
      </w:r>
      <w:r w:rsidRPr="00F551AE">
        <w:t>ei</w:t>
      </w:r>
      <w:r w:rsidR="00A86FF7" w:rsidRPr="00F551AE">
        <w:t>gu</w:t>
      </w:r>
      <w:r w:rsidRPr="00F551AE">
        <w:t xml:space="preserve"> bus gaut</w:t>
      </w:r>
      <w:r w:rsidR="00A86FF7" w:rsidRPr="00F551AE">
        <w:t>i</w:t>
      </w:r>
      <w:r w:rsidRPr="00F551AE">
        <w:t xml:space="preserve"> pasiūlymai iš PVM mokėtojų ir ne PVM mokėtojų, laimėtojas bus nustatomas pagal galutinę mokėtiną sumą. </w:t>
      </w:r>
      <w:r w:rsidR="00A86FF7" w:rsidRPr="00F551AE">
        <w:t xml:space="preserve">PO </w:t>
      </w:r>
      <w:r w:rsidRPr="00F551AE">
        <w:t>ne PVM mokėtojų atžvilgiu laiko</w:t>
      </w:r>
      <w:r w:rsidR="00A86FF7" w:rsidRPr="00F551AE">
        <w:t>,</w:t>
      </w:r>
      <w:r w:rsidRPr="00F551AE">
        <w:t xml:space="preserve"> kad pasiūlymas negali viršyti galutinės sumos, nurodytos šiose sąlygose</w:t>
      </w:r>
      <w:r w:rsidR="00A86FF7" w:rsidRPr="00F551AE">
        <w:t>,</w:t>
      </w:r>
      <w:r w:rsidR="00AA7FDD" w:rsidRPr="00F551AE">
        <w:t xml:space="preserve"> įskaičiuojant PVM (jeigu mokėti reikės PO).</w:t>
      </w:r>
    </w:p>
    <w:p w:rsidR="00AA7FDD" w:rsidRPr="00A86FF7" w:rsidRDefault="00AA7FDD" w:rsidP="00A86FF7">
      <w:pPr>
        <w:pStyle w:val="ListParagraph"/>
        <w:ind w:left="0" w:firstLine="709"/>
        <w:contextualSpacing w:val="0"/>
        <w:jc w:val="both"/>
        <w:rPr>
          <w:color w:val="FF0000"/>
        </w:rPr>
      </w:pPr>
    </w:p>
    <w:p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2184A">
        <w:rPr>
          <w:rFonts w:eastAsia="Calibri"/>
          <w:szCs w:val="22"/>
          <w:lang w:eastAsia="en-US"/>
        </w:rPr>
        <w:t>5</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46523E">
      <w:pPr>
        <w:ind w:firstLine="851"/>
        <w:jc w:val="both"/>
        <w:rPr>
          <w:rFonts w:eastAsia="Lucida Sans Unicode"/>
        </w:rPr>
      </w:pPr>
    </w:p>
    <w:p w:rsidR="005473AC" w:rsidRPr="001D4A22" w:rsidRDefault="00E65846" w:rsidP="0046523E">
      <w:pPr>
        <w:ind w:firstLine="851"/>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2184A">
        <w:rPr>
          <w:rFonts w:eastAsia="Lucida Sans Unicode"/>
          <w:color w:val="000000"/>
        </w:rPr>
        <w:t>6</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46523E">
      <w:pPr>
        <w:ind w:firstLine="851"/>
        <w:jc w:val="center"/>
        <w:rPr>
          <w:rFonts w:eastAsia="Calibri"/>
          <w:color w:val="0000FF"/>
          <w:szCs w:val="22"/>
          <w:lang w:eastAsia="en-US"/>
        </w:rPr>
      </w:pPr>
    </w:p>
    <w:p w:rsidR="00B61836" w:rsidRPr="00B61836" w:rsidRDefault="004F15CF" w:rsidP="00163F14">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rsidR="00B61836" w:rsidRPr="00B61836" w:rsidRDefault="00B61836" w:rsidP="0046523E">
      <w:pPr>
        <w:pStyle w:val="BodyTextIndent"/>
        <w:spacing w:after="0"/>
        <w:ind w:left="0" w:firstLine="851"/>
        <w:rPr>
          <w:b/>
          <w:color w:val="000000"/>
        </w:rPr>
      </w:pPr>
    </w:p>
    <w:p w:rsidR="005473AC"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46523E">
      <w:pPr>
        <w:pStyle w:val="ListParagraph"/>
        <w:tabs>
          <w:tab w:val="left" w:pos="-142"/>
          <w:tab w:val="left" w:pos="1134"/>
        </w:tabs>
        <w:ind w:left="0" w:firstLine="851"/>
        <w:contextualSpacing w:val="0"/>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46523E">
      <w:pPr>
        <w:pStyle w:val="ListParagraph"/>
        <w:tabs>
          <w:tab w:val="left" w:pos="-142"/>
          <w:tab w:val="left" w:pos="1134"/>
        </w:tabs>
        <w:ind w:left="0" w:firstLine="851"/>
        <w:contextualSpacing w:val="0"/>
        <w:jc w:val="both"/>
        <w:rPr>
          <w:color w:val="000000"/>
        </w:rPr>
      </w:pPr>
    </w:p>
    <w:p w:rsidR="003B298D" w:rsidRDefault="003B298D"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w:t>
      </w:r>
      <w:r w:rsidR="0045422B">
        <w:rPr>
          <w:color w:val="000000"/>
        </w:rPr>
        <w:t>aslaugų</w:t>
      </w:r>
      <w:r w:rsidRPr="0021107A">
        <w:rPr>
          <w:color w:val="000000"/>
        </w:rPr>
        <w:t xml:space="preserve"> viešojo pirkimo - pardavimo sutarties pagrindinių sąlygų projekt</w:t>
      </w:r>
      <w:r w:rsidR="0045422B">
        <w:rPr>
          <w:color w:val="000000"/>
        </w:rPr>
        <w:t>ą</w:t>
      </w:r>
      <w:r w:rsidRPr="0021107A">
        <w:rPr>
          <w:color w:val="000000"/>
        </w:rPr>
        <w:t>.</w:t>
      </w:r>
    </w:p>
    <w:p w:rsidR="009D6A7C" w:rsidRPr="009D6A7C" w:rsidRDefault="009D6A7C" w:rsidP="009D6A7C">
      <w:pPr>
        <w:pStyle w:val="ListParagraph"/>
        <w:rPr>
          <w:color w:val="000000"/>
        </w:rPr>
      </w:pPr>
    </w:p>
    <w:p w:rsidR="009D6A7C" w:rsidRPr="009D6A7C" w:rsidRDefault="009D6A7C" w:rsidP="009D6A7C">
      <w:pPr>
        <w:tabs>
          <w:tab w:val="left" w:pos="-142"/>
          <w:tab w:val="left" w:pos="1134"/>
        </w:tabs>
        <w:jc w:val="both"/>
        <w:rPr>
          <w:color w:val="000000"/>
        </w:rPr>
      </w:pPr>
    </w:p>
    <w:p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rsidR="00E65846" w:rsidRPr="00E65846" w:rsidRDefault="00E65846" w:rsidP="0046523E">
      <w:pPr>
        <w:tabs>
          <w:tab w:val="left" w:pos="567"/>
        </w:tabs>
        <w:suppressAutoHyphens/>
        <w:ind w:firstLine="851"/>
        <w:jc w:val="both"/>
        <w:rPr>
          <w:rFonts w:eastAsia="Lucida Sans Unicode"/>
          <w:color w:val="000000"/>
        </w:rPr>
      </w:pPr>
    </w:p>
    <w:p w:rsidR="00121A0D" w:rsidRPr="00780600" w:rsidRDefault="00121A0D" w:rsidP="004F15CF">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46523E">
      <w:pPr>
        <w:keepNext/>
        <w:tabs>
          <w:tab w:val="left" w:pos="432"/>
          <w:tab w:val="left" w:pos="567"/>
        </w:tabs>
        <w:suppressAutoHyphens/>
        <w:ind w:firstLine="851"/>
        <w:jc w:val="center"/>
        <w:outlineLvl w:val="0"/>
        <w:rPr>
          <w:color w:val="000000"/>
          <w:lang w:eastAsia="ar-SA"/>
        </w:rPr>
      </w:pPr>
    </w:p>
    <w:p w:rsidR="004713EE" w:rsidRPr="00121A0D" w:rsidRDefault="004713EE" w:rsidP="0046523E">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6523E">
      <w:pPr>
        <w:suppressAutoHyphens/>
        <w:ind w:firstLine="851"/>
        <w:jc w:val="both"/>
        <w:rPr>
          <w:color w:val="000000"/>
          <w:lang w:eastAsia="ar-SA"/>
        </w:rPr>
      </w:pPr>
    </w:p>
    <w:p w:rsidR="004713EE" w:rsidRDefault="004713EE" w:rsidP="0046523E">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6523E">
      <w:pPr>
        <w:suppressAutoHyphens/>
        <w:ind w:firstLine="851"/>
        <w:jc w:val="both"/>
        <w:rPr>
          <w:color w:val="000000"/>
          <w:lang w:eastAsia="ar-SA"/>
        </w:rPr>
      </w:pPr>
    </w:p>
    <w:p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46523E">
      <w:pPr>
        <w:ind w:firstLine="851"/>
        <w:jc w:val="center"/>
        <w:rPr>
          <w:rFonts w:eastAsia="Calibri"/>
          <w:b/>
          <w:lang w:eastAsia="en-US"/>
        </w:rPr>
      </w:pPr>
    </w:p>
    <w:p w:rsidR="00E65846" w:rsidRPr="00E65846" w:rsidRDefault="00121A0D" w:rsidP="004F15CF">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46523E">
      <w:pPr>
        <w:tabs>
          <w:tab w:val="left" w:pos="0"/>
          <w:tab w:val="left" w:pos="1134"/>
        </w:tabs>
        <w:ind w:firstLine="851"/>
        <w:jc w:val="both"/>
      </w:pPr>
    </w:p>
    <w:p w:rsidR="00121A0D" w:rsidRDefault="00121A0D" w:rsidP="0046523E">
      <w:pPr>
        <w:tabs>
          <w:tab w:val="left" w:pos="0"/>
          <w:tab w:val="left" w:pos="1134"/>
        </w:tabs>
        <w:ind w:firstLine="851"/>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46523E">
      <w:pPr>
        <w:tabs>
          <w:tab w:val="left" w:pos="0"/>
          <w:tab w:val="left" w:pos="1134"/>
        </w:tabs>
        <w:ind w:firstLine="851"/>
        <w:jc w:val="both"/>
      </w:pPr>
    </w:p>
    <w:bookmarkEnd w:id="4"/>
    <w:p w:rsidR="00C5168A" w:rsidRDefault="00C5168A" w:rsidP="0046523E">
      <w:pPr>
        <w:pBdr>
          <w:top w:val="single" w:sz="4" w:space="1" w:color="auto"/>
        </w:pBdr>
        <w:ind w:firstLine="851"/>
        <w:rPr>
          <w:rFonts w:eastAsia="Calibri"/>
          <w:szCs w:val="22"/>
          <w:lang w:eastAsia="en-US"/>
        </w:rPr>
      </w:pPr>
    </w:p>
    <w:p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6"/>
      <w:headerReference w:type="default" r:id="rId17"/>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260" w:rsidRDefault="00650260">
      <w:r>
        <w:separator/>
      </w:r>
    </w:p>
  </w:endnote>
  <w:endnote w:type="continuationSeparator" w:id="0">
    <w:p w:rsidR="00650260" w:rsidRDefault="0065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260" w:rsidRDefault="00650260">
      <w:r>
        <w:separator/>
      </w:r>
    </w:p>
  </w:footnote>
  <w:footnote w:type="continuationSeparator" w:id="0">
    <w:p w:rsidR="00650260" w:rsidRDefault="00650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7583">
      <w:rPr>
        <w:rStyle w:val="PageNumber"/>
        <w:noProof/>
      </w:rPr>
      <w:t>11</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E65F"/>
    <w:multiLevelType w:val="hybridMultilevel"/>
    <w:tmpl w:val="035EB8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F9215FC"/>
    <w:multiLevelType w:val="multilevel"/>
    <w:tmpl w:val="620CEF46"/>
    <w:lvl w:ilvl="0">
      <w:start w:val="1"/>
      <w:numFmt w:val="decimal"/>
      <w:lvlText w:val="%1."/>
      <w:lvlJc w:val="left"/>
      <w:pPr>
        <w:ind w:left="644" w:hanging="36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abstractNum w:abstractNumId="3"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5"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3297" w:hanging="1170"/>
      </w:pPr>
      <w:rPr>
        <w:rFonts w:ascii="Times New Roman" w:hAnsi="Times New Roman" w:cs="Times New Roman" w:hint="default"/>
        <w:b w:val="0"/>
        <w:color w:val="auto"/>
        <w:sz w:val="24"/>
        <w:szCs w:val="24"/>
      </w:rPr>
    </w:lvl>
    <w:lvl w:ilvl="2">
      <w:start w:val="1"/>
      <w:numFmt w:val="decimal"/>
      <w:isLgl/>
      <w:lvlText w:val="%1.%2.%3."/>
      <w:lvlJc w:val="left"/>
      <w:pPr>
        <w:ind w:left="1737"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6" w15:restartNumberingAfterBreak="0">
    <w:nsid w:val="4076224B"/>
    <w:multiLevelType w:val="multilevel"/>
    <w:tmpl w:val="8C8686F6"/>
    <w:lvl w:ilvl="0">
      <w:start w:val="2"/>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7"/>
  </w:num>
  <w:num w:numId="6">
    <w:abstractNumId w:val="10"/>
  </w:num>
  <w:num w:numId="7">
    <w:abstractNumId w:val="12"/>
  </w:num>
  <w:num w:numId="8">
    <w:abstractNumId w:val="11"/>
  </w:num>
  <w:num w:numId="9">
    <w:abstractNumId w:val="8"/>
  </w:num>
  <w:num w:numId="10">
    <w:abstractNumId w:val="2"/>
  </w:num>
  <w:num w:numId="11">
    <w:abstractNumId w:val="0"/>
  </w:num>
  <w:num w:numId="12">
    <w:abstractNumId w:val="6"/>
  </w:num>
  <w:num w:numId="13">
    <w:abstractNumId w:val="5"/>
  </w:num>
  <w:num w:numId="1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07B8"/>
    <w:rsid w:val="000137FF"/>
    <w:rsid w:val="00014527"/>
    <w:rsid w:val="00015943"/>
    <w:rsid w:val="00017F9A"/>
    <w:rsid w:val="000216B1"/>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594E"/>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5895"/>
    <w:rsid w:val="00087465"/>
    <w:rsid w:val="00091087"/>
    <w:rsid w:val="00092911"/>
    <w:rsid w:val="000956AE"/>
    <w:rsid w:val="000A29DA"/>
    <w:rsid w:val="000A6767"/>
    <w:rsid w:val="000B2AF0"/>
    <w:rsid w:val="000B2C4B"/>
    <w:rsid w:val="000C226D"/>
    <w:rsid w:val="000C2705"/>
    <w:rsid w:val="000C47CD"/>
    <w:rsid w:val="000C5A35"/>
    <w:rsid w:val="000C5B4A"/>
    <w:rsid w:val="000C7BE5"/>
    <w:rsid w:val="000D2DF5"/>
    <w:rsid w:val="000D3162"/>
    <w:rsid w:val="000D48E6"/>
    <w:rsid w:val="000D5A02"/>
    <w:rsid w:val="000E216B"/>
    <w:rsid w:val="000E3A68"/>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3F14"/>
    <w:rsid w:val="001643C1"/>
    <w:rsid w:val="00167241"/>
    <w:rsid w:val="001675F4"/>
    <w:rsid w:val="00174F6A"/>
    <w:rsid w:val="001751FA"/>
    <w:rsid w:val="00175BCC"/>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20F77"/>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87FEB"/>
    <w:rsid w:val="00290654"/>
    <w:rsid w:val="00294135"/>
    <w:rsid w:val="002A0D2D"/>
    <w:rsid w:val="002A6032"/>
    <w:rsid w:val="002A7583"/>
    <w:rsid w:val="002B0740"/>
    <w:rsid w:val="002C31EC"/>
    <w:rsid w:val="002C3562"/>
    <w:rsid w:val="002C3CD1"/>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3A82"/>
    <w:rsid w:val="003046F3"/>
    <w:rsid w:val="00305F9D"/>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26EC"/>
    <w:rsid w:val="003D4E45"/>
    <w:rsid w:val="003D7A69"/>
    <w:rsid w:val="003D7DBA"/>
    <w:rsid w:val="003E066A"/>
    <w:rsid w:val="003E0903"/>
    <w:rsid w:val="003E184F"/>
    <w:rsid w:val="003E4C3C"/>
    <w:rsid w:val="003E5AE6"/>
    <w:rsid w:val="003F1842"/>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2A2"/>
    <w:rsid w:val="004448D4"/>
    <w:rsid w:val="00445D8F"/>
    <w:rsid w:val="0045318E"/>
    <w:rsid w:val="0045422B"/>
    <w:rsid w:val="0045459E"/>
    <w:rsid w:val="004547F4"/>
    <w:rsid w:val="004567A5"/>
    <w:rsid w:val="0045721D"/>
    <w:rsid w:val="00460F76"/>
    <w:rsid w:val="00461CB2"/>
    <w:rsid w:val="004625D6"/>
    <w:rsid w:val="004626EA"/>
    <w:rsid w:val="0046523E"/>
    <w:rsid w:val="00466B58"/>
    <w:rsid w:val="004713EE"/>
    <w:rsid w:val="00471725"/>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1434"/>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190"/>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1434"/>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0260"/>
    <w:rsid w:val="00651863"/>
    <w:rsid w:val="006605B0"/>
    <w:rsid w:val="00660E30"/>
    <w:rsid w:val="00663EBE"/>
    <w:rsid w:val="006663B8"/>
    <w:rsid w:val="0067129D"/>
    <w:rsid w:val="006712C8"/>
    <w:rsid w:val="00671FE3"/>
    <w:rsid w:val="00673527"/>
    <w:rsid w:val="00677482"/>
    <w:rsid w:val="0068031F"/>
    <w:rsid w:val="00680D46"/>
    <w:rsid w:val="006814B1"/>
    <w:rsid w:val="0068170F"/>
    <w:rsid w:val="00682412"/>
    <w:rsid w:val="006836C5"/>
    <w:rsid w:val="00684903"/>
    <w:rsid w:val="006849D5"/>
    <w:rsid w:val="006854B0"/>
    <w:rsid w:val="00692857"/>
    <w:rsid w:val="00692971"/>
    <w:rsid w:val="00695C38"/>
    <w:rsid w:val="0069677A"/>
    <w:rsid w:val="006968A5"/>
    <w:rsid w:val="006A1681"/>
    <w:rsid w:val="006A7B77"/>
    <w:rsid w:val="006B0843"/>
    <w:rsid w:val="006B15A1"/>
    <w:rsid w:val="006B3780"/>
    <w:rsid w:val="006B4854"/>
    <w:rsid w:val="006B59E2"/>
    <w:rsid w:val="006B6B40"/>
    <w:rsid w:val="006B751E"/>
    <w:rsid w:val="006B7CAE"/>
    <w:rsid w:val="006C0CE6"/>
    <w:rsid w:val="006C3C34"/>
    <w:rsid w:val="006D1D20"/>
    <w:rsid w:val="006D504C"/>
    <w:rsid w:val="006D7677"/>
    <w:rsid w:val="006E012F"/>
    <w:rsid w:val="006E1029"/>
    <w:rsid w:val="006E39E7"/>
    <w:rsid w:val="006E58EE"/>
    <w:rsid w:val="006F2824"/>
    <w:rsid w:val="006F3091"/>
    <w:rsid w:val="006F4B72"/>
    <w:rsid w:val="006F6DC2"/>
    <w:rsid w:val="007037BB"/>
    <w:rsid w:val="0070394B"/>
    <w:rsid w:val="00705F6E"/>
    <w:rsid w:val="007060A0"/>
    <w:rsid w:val="00706143"/>
    <w:rsid w:val="007065C7"/>
    <w:rsid w:val="0070776B"/>
    <w:rsid w:val="0071154F"/>
    <w:rsid w:val="00713A16"/>
    <w:rsid w:val="00714B18"/>
    <w:rsid w:val="00722D73"/>
    <w:rsid w:val="00723020"/>
    <w:rsid w:val="00723A1A"/>
    <w:rsid w:val="00724B80"/>
    <w:rsid w:val="00731D76"/>
    <w:rsid w:val="00733903"/>
    <w:rsid w:val="00736F97"/>
    <w:rsid w:val="00743830"/>
    <w:rsid w:val="00744517"/>
    <w:rsid w:val="00745D0B"/>
    <w:rsid w:val="007474FA"/>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3998"/>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5969"/>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5802"/>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8712D"/>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3EC"/>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0937"/>
    <w:rsid w:val="00A015BF"/>
    <w:rsid w:val="00A03608"/>
    <w:rsid w:val="00A04B08"/>
    <w:rsid w:val="00A05EB8"/>
    <w:rsid w:val="00A10832"/>
    <w:rsid w:val="00A11890"/>
    <w:rsid w:val="00A136F0"/>
    <w:rsid w:val="00A16004"/>
    <w:rsid w:val="00A239EB"/>
    <w:rsid w:val="00A23E63"/>
    <w:rsid w:val="00A2642D"/>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1DC9"/>
    <w:rsid w:val="00A82A56"/>
    <w:rsid w:val="00A82D48"/>
    <w:rsid w:val="00A84B38"/>
    <w:rsid w:val="00A85630"/>
    <w:rsid w:val="00A86CD9"/>
    <w:rsid w:val="00A86FF7"/>
    <w:rsid w:val="00A94866"/>
    <w:rsid w:val="00AA1589"/>
    <w:rsid w:val="00AA43BA"/>
    <w:rsid w:val="00AA470C"/>
    <w:rsid w:val="00AA52A7"/>
    <w:rsid w:val="00AA7FDD"/>
    <w:rsid w:val="00AB36F7"/>
    <w:rsid w:val="00AB3C38"/>
    <w:rsid w:val="00AB7319"/>
    <w:rsid w:val="00AC2F74"/>
    <w:rsid w:val="00AC46C9"/>
    <w:rsid w:val="00AC5212"/>
    <w:rsid w:val="00AC590E"/>
    <w:rsid w:val="00AD0E49"/>
    <w:rsid w:val="00AD26B6"/>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184A"/>
    <w:rsid w:val="00B238F1"/>
    <w:rsid w:val="00B23C8D"/>
    <w:rsid w:val="00B32096"/>
    <w:rsid w:val="00B32176"/>
    <w:rsid w:val="00B33BC8"/>
    <w:rsid w:val="00B34BFC"/>
    <w:rsid w:val="00B36457"/>
    <w:rsid w:val="00B36963"/>
    <w:rsid w:val="00B37936"/>
    <w:rsid w:val="00B4095F"/>
    <w:rsid w:val="00B41971"/>
    <w:rsid w:val="00B43E1D"/>
    <w:rsid w:val="00B449E2"/>
    <w:rsid w:val="00B45066"/>
    <w:rsid w:val="00B45DB7"/>
    <w:rsid w:val="00B46E69"/>
    <w:rsid w:val="00B51AEA"/>
    <w:rsid w:val="00B5541F"/>
    <w:rsid w:val="00B570B6"/>
    <w:rsid w:val="00B61836"/>
    <w:rsid w:val="00B63630"/>
    <w:rsid w:val="00B6369A"/>
    <w:rsid w:val="00B64151"/>
    <w:rsid w:val="00B64720"/>
    <w:rsid w:val="00B64960"/>
    <w:rsid w:val="00B65AD8"/>
    <w:rsid w:val="00B65BEB"/>
    <w:rsid w:val="00B66CCF"/>
    <w:rsid w:val="00B6721C"/>
    <w:rsid w:val="00B7142A"/>
    <w:rsid w:val="00B75200"/>
    <w:rsid w:val="00B817FB"/>
    <w:rsid w:val="00B82420"/>
    <w:rsid w:val="00B84DD5"/>
    <w:rsid w:val="00B87BBB"/>
    <w:rsid w:val="00B909AA"/>
    <w:rsid w:val="00B9114D"/>
    <w:rsid w:val="00B91EB2"/>
    <w:rsid w:val="00B947E8"/>
    <w:rsid w:val="00B948C3"/>
    <w:rsid w:val="00B96073"/>
    <w:rsid w:val="00B96B7C"/>
    <w:rsid w:val="00BA32B2"/>
    <w:rsid w:val="00BA3AA7"/>
    <w:rsid w:val="00BA3C43"/>
    <w:rsid w:val="00BA5116"/>
    <w:rsid w:val="00BA5B8D"/>
    <w:rsid w:val="00BA5B98"/>
    <w:rsid w:val="00BA6E63"/>
    <w:rsid w:val="00BB064B"/>
    <w:rsid w:val="00BB18BF"/>
    <w:rsid w:val="00BB4185"/>
    <w:rsid w:val="00BB6834"/>
    <w:rsid w:val="00BB751B"/>
    <w:rsid w:val="00BC08EB"/>
    <w:rsid w:val="00BC198F"/>
    <w:rsid w:val="00BC513F"/>
    <w:rsid w:val="00BC7BBC"/>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65C90"/>
    <w:rsid w:val="00C70190"/>
    <w:rsid w:val="00C73AF3"/>
    <w:rsid w:val="00C7729B"/>
    <w:rsid w:val="00C82059"/>
    <w:rsid w:val="00C84D33"/>
    <w:rsid w:val="00C85B00"/>
    <w:rsid w:val="00C91743"/>
    <w:rsid w:val="00C92DC4"/>
    <w:rsid w:val="00C93E61"/>
    <w:rsid w:val="00C94B42"/>
    <w:rsid w:val="00C959DC"/>
    <w:rsid w:val="00C96F3E"/>
    <w:rsid w:val="00C97279"/>
    <w:rsid w:val="00CA6D59"/>
    <w:rsid w:val="00CB0246"/>
    <w:rsid w:val="00CB0D82"/>
    <w:rsid w:val="00CB3208"/>
    <w:rsid w:val="00CB57A9"/>
    <w:rsid w:val="00CC48C4"/>
    <w:rsid w:val="00CC4E66"/>
    <w:rsid w:val="00CD329C"/>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14F2"/>
    <w:rsid w:val="00D43349"/>
    <w:rsid w:val="00D442C6"/>
    <w:rsid w:val="00D444ED"/>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1B47"/>
    <w:rsid w:val="00D97E19"/>
    <w:rsid w:val="00DA168B"/>
    <w:rsid w:val="00DA21C5"/>
    <w:rsid w:val="00DA3381"/>
    <w:rsid w:val="00DA3410"/>
    <w:rsid w:val="00DA3A42"/>
    <w:rsid w:val="00DA3F02"/>
    <w:rsid w:val="00DA44C5"/>
    <w:rsid w:val="00DA46EE"/>
    <w:rsid w:val="00DA5381"/>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E7886"/>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431C"/>
    <w:rsid w:val="00E4634F"/>
    <w:rsid w:val="00E47408"/>
    <w:rsid w:val="00E50078"/>
    <w:rsid w:val="00E52D75"/>
    <w:rsid w:val="00E52EAB"/>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1507"/>
    <w:rsid w:val="00E83410"/>
    <w:rsid w:val="00E83694"/>
    <w:rsid w:val="00E86011"/>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068"/>
    <w:rsid w:val="00F54BD3"/>
    <w:rsid w:val="00F551AC"/>
    <w:rsid w:val="00F551AE"/>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353E"/>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2823"/>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lanta.palduniene@mil.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mailto:lka@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s://vpt.lrv.lt/uploads/vpt/documents/files/Kaip_atsiim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355D0-38A5-4AEF-A2CC-EC4550736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5133</Words>
  <Characters>29260</Characters>
  <Application>Microsoft Office Word</Application>
  <DocSecurity>0</DocSecurity>
  <Lines>243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34325</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Windows User</cp:lastModifiedBy>
  <cp:revision>38</cp:revision>
  <cp:lastPrinted>2023-07-13T06:43:00Z</cp:lastPrinted>
  <dcterms:created xsi:type="dcterms:W3CDTF">2025-01-22T08:34:00Z</dcterms:created>
  <dcterms:modified xsi:type="dcterms:W3CDTF">2025-05-02T12:33:00Z</dcterms:modified>
</cp:coreProperties>
</file>