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34F121AA" w:rsidR="00382279" w:rsidRPr="0009755E" w:rsidRDefault="00F504BF" w:rsidP="0009755E">
      <w:pPr>
        <w:jc w:val="center"/>
        <w:rPr>
          <w:b/>
          <w:bCs/>
          <w:caps/>
          <w:szCs w:val="24"/>
        </w:rPr>
      </w:pPr>
      <w:r w:rsidRPr="0009755E">
        <w:rPr>
          <w:b/>
          <w:caps/>
          <w:color w:val="000000"/>
          <w:szCs w:val="24"/>
        </w:rPr>
        <w:t xml:space="preserve">DĖL </w:t>
      </w:r>
      <w:r w:rsidR="0009755E" w:rsidRPr="0009755E">
        <w:rPr>
          <w:b/>
          <w:bCs/>
          <w:caps/>
          <w:szCs w:val="24"/>
        </w:rPr>
        <w:t xml:space="preserve">Kėdainių miesto Aušros gatvės dalies (nuo Palangos g. iki Laisvės g.) rekonstravimo </w:t>
      </w:r>
      <w:r w:rsidR="00E156B6" w:rsidRPr="00940D3A">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862482">
              <w:rPr>
                <w:b/>
                <w:szCs w:val="24"/>
                <w:lang w:eastAsia="lt-LT"/>
              </w:rPr>
              <w:t>Gtiekėjostat</w:t>
            </w:r>
            <w:proofErr w:type="spellEnd"/>
            <w:r w:rsidRPr="00862482">
              <w:rPr>
                <w:b/>
                <w:szCs w:val="24"/>
                <w:lang w:eastAsia="lt-LT"/>
              </w:rPr>
              <w: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ir daugiau</w:t>
            </w:r>
          </w:p>
          <w:p w14:paraId="2259C6BB"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w:t>
      </w:r>
      <w:r w:rsidR="000165E2" w:rsidRPr="00F3148B">
        <w:rPr>
          <w:szCs w:val="24"/>
          <w:lang w:eastAsia="hi-IN" w:bidi="hi-IN"/>
        </w:rPr>
        <w:lastRenderedPageBreak/>
        <w:t xml:space="preserve">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09755E"/>
    <w:rsid w:val="001001C2"/>
    <w:rsid w:val="00103CB2"/>
    <w:rsid w:val="00187C73"/>
    <w:rsid w:val="001957FE"/>
    <w:rsid w:val="001E538F"/>
    <w:rsid w:val="002809B7"/>
    <w:rsid w:val="00313204"/>
    <w:rsid w:val="00382279"/>
    <w:rsid w:val="00461DF6"/>
    <w:rsid w:val="004B5B1A"/>
    <w:rsid w:val="005A5D39"/>
    <w:rsid w:val="005B032C"/>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46BE6"/>
    <w:rsid w:val="00A61F45"/>
    <w:rsid w:val="00AF65F0"/>
    <w:rsid w:val="00C750CC"/>
    <w:rsid w:val="00C8323F"/>
    <w:rsid w:val="00DC5C2D"/>
    <w:rsid w:val="00DF08C2"/>
    <w:rsid w:val="00E156B6"/>
    <w:rsid w:val="00E82B7F"/>
    <w:rsid w:val="00E9170E"/>
    <w:rsid w:val="00EF7302"/>
    <w:rsid w:val="00F04D8F"/>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3038</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32</cp:revision>
  <dcterms:created xsi:type="dcterms:W3CDTF">2024-05-17T05:59:00Z</dcterms:created>
  <dcterms:modified xsi:type="dcterms:W3CDTF">2025-04-29T08:33:00Z</dcterms:modified>
</cp:coreProperties>
</file>