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B05D" w14:textId="77777777" w:rsidR="00553966" w:rsidRDefault="00553966" w:rsidP="00553966">
      <w:pPr>
        <w:shd w:val="clear" w:color="auto" w:fill="FFFFFF"/>
        <w:jc w:val="center"/>
        <w:rPr>
          <w:b/>
          <w:bCs/>
        </w:rPr>
      </w:pPr>
    </w:p>
    <w:p w14:paraId="194EAA91" w14:textId="77777777" w:rsidR="00553966" w:rsidRPr="00124E01" w:rsidRDefault="00553966" w:rsidP="00553966">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p>
    <w:p w14:paraId="79F23ACA" w14:textId="77777777" w:rsidR="00553966" w:rsidRPr="003D61CA" w:rsidRDefault="00553966" w:rsidP="00553966">
      <w:pPr>
        <w:shd w:val="clear" w:color="auto" w:fill="FFFFFF"/>
        <w:jc w:val="center"/>
        <w:rPr>
          <w:b/>
          <w:bCs/>
        </w:rPr>
      </w:pPr>
    </w:p>
    <w:tbl>
      <w:tblPr>
        <w:tblStyle w:val="Lentelstinklelis"/>
        <w:tblW w:w="5000" w:type="pct"/>
        <w:jc w:val="center"/>
        <w:tblInd w:w="0" w:type="dxa"/>
        <w:tblLook w:val="04A0" w:firstRow="1" w:lastRow="0" w:firstColumn="1" w:lastColumn="0" w:noHBand="0" w:noVBand="1"/>
      </w:tblPr>
      <w:tblGrid>
        <w:gridCol w:w="744"/>
        <w:gridCol w:w="1935"/>
        <w:gridCol w:w="2265"/>
        <w:gridCol w:w="4685"/>
      </w:tblGrid>
      <w:tr w:rsidR="00553966" w:rsidRPr="00124E01" w14:paraId="682A49D3" w14:textId="77777777" w:rsidTr="00B50A0A">
        <w:trPr>
          <w:trHeight w:val="437"/>
          <w:jc w:val="center"/>
        </w:trPr>
        <w:tc>
          <w:tcPr>
            <w:tcW w:w="386" w:type="pct"/>
            <w:vAlign w:val="center"/>
          </w:tcPr>
          <w:p w14:paraId="5CC64779" w14:textId="77777777" w:rsidR="00553966" w:rsidRPr="00124E01" w:rsidRDefault="00553966">
            <w:pPr>
              <w:ind w:firstLine="0"/>
              <w:jc w:val="center"/>
              <w:rPr>
                <w:rFonts w:hAnsi="Times New Roman" w:cs="Times New Roman"/>
                <w:b/>
                <w:bCs/>
                <w:sz w:val="22"/>
                <w:szCs w:val="22"/>
              </w:rPr>
            </w:pPr>
            <w:r w:rsidRPr="00124E01">
              <w:rPr>
                <w:rFonts w:hAnsi="Times New Roman" w:cs="Times New Roman"/>
                <w:b/>
                <w:bCs/>
                <w:sz w:val="22"/>
                <w:szCs w:val="22"/>
              </w:rPr>
              <w:t>Eil. Nr.</w:t>
            </w:r>
          </w:p>
        </w:tc>
        <w:tc>
          <w:tcPr>
            <w:tcW w:w="1005" w:type="pct"/>
            <w:vAlign w:val="center"/>
          </w:tcPr>
          <w:p w14:paraId="3DB0E2F8" w14:textId="77777777" w:rsidR="00553966" w:rsidRPr="00124E01" w:rsidRDefault="00553966">
            <w:pPr>
              <w:ind w:firstLine="0"/>
              <w:jc w:val="center"/>
              <w:rPr>
                <w:rFonts w:hAnsi="Times New Roman" w:cs="Times New Roman"/>
                <w:b/>
                <w:bCs/>
                <w:sz w:val="22"/>
                <w:szCs w:val="22"/>
              </w:rPr>
            </w:pPr>
            <w:r w:rsidRPr="00124E01">
              <w:rPr>
                <w:rFonts w:hAnsi="Times New Roman" w:cs="Times New Roman"/>
                <w:b/>
                <w:bCs/>
                <w:sz w:val="22"/>
                <w:szCs w:val="22"/>
              </w:rPr>
              <w:t>Specialisto vardas, pavardė</w:t>
            </w:r>
          </w:p>
        </w:tc>
        <w:tc>
          <w:tcPr>
            <w:tcW w:w="1176" w:type="pct"/>
            <w:vAlign w:val="center"/>
          </w:tcPr>
          <w:p w14:paraId="46002128" w14:textId="77777777" w:rsidR="00553966" w:rsidRPr="00124E01" w:rsidRDefault="00553966">
            <w:pPr>
              <w:ind w:firstLine="0"/>
              <w:jc w:val="center"/>
              <w:rPr>
                <w:rFonts w:hAnsi="Times New Roman" w:cs="Times New Roman"/>
                <w:b/>
                <w:bCs/>
                <w:iCs/>
                <w:sz w:val="22"/>
                <w:szCs w:val="22"/>
              </w:rPr>
            </w:pPr>
            <w:r w:rsidRPr="00124E01">
              <w:rPr>
                <w:rFonts w:hAnsi="Times New Roman" w:cs="Times New Roman"/>
                <w:b/>
                <w:bCs/>
                <w:iCs/>
                <w:sz w:val="22"/>
                <w:szCs w:val="22"/>
              </w:rPr>
              <w:t>Kvalifikaciją įrodantys dokumentai</w:t>
            </w:r>
          </w:p>
        </w:tc>
        <w:tc>
          <w:tcPr>
            <w:tcW w:w="2433" w:type="pct"/>
            <w:vAlign w:val="center"/>
          </w:tcPr>
          <w:p w14:paraId="0E04C5F0" w14:textId="77777777" w:rsidR="00553966" w:rsidRPr="00124E01" w:rsidRDefault="00553966">
            <w:pPr>
              <w:ind w:firstLine="0"/>
              <w:jc w:val="center"/>
              <w:rPr>
                <w:rFonts w:hAnsi="Times New Roman" w:cs="Times New Roman"/>
                <w:b/>
                <w:bCs/>
                <w:iCs/>
                <w:sz w:val="22"/>
                <w:szCs w:val="22"/>
              </w:rPr>
            </w:pPr>
            <w:r w:rsidRPr="00124E01">
              <w:rPr>
                <w:rFonts w:hAnsi="Times New Roman" w:cs="Times New Roman"/>
                <w:b/>
                <w:bCs/>
                <w:iCs/>
                <w:sz w:val="22"/>
                <w:szCs w:val="22"/>
              </w:rPr>
              <w:t>Ryšys su specialistu (yra įdarbintas tiekėjo, subtiekėjo ar jungtinės veiklos partnerio įmonėje, planuojamas įdarbinti laimėjus konkursą ar yra pasitelkiamas kaip subtiekėjas)</w:t>
            </w:r>
          </w:p>
        </w:tc>
      </w:tr>
      <w:tr w:rsidR="00553966" w:rsidRPr="00124E01" w14:paraId="72126C3E" w14:textId="77777777" w:rsidTr="00190B26">
        <w:trPr>
          <w:trHeight w:val="238"/>
          <w:jc w:val="center"/>
        </w:trPr>
        <w:tc>
          <w:tcPr>
            <w:tcW w:w="5000" w:type="pct"/>
            <w:gridSpan w:val="4"/>
          </w:tcPr>
          <w:p w14:paraId="2E169587" w14:textId="77777777" w:rsidR="007E5DFB" w:rsidRDefault="00F32E3C" w:rsidP="00F32E3C">
            <w:pPr>
              <w:spacing w:line="240" w:lineRule="auto"/>
              <w:ind w:firstLine="0"/>
              <w:rPr>
                <w:rFonts w:hAnsi="Times New Roman" w:cs="Times New Roman"/>
                <w:b/>
                <w:bCs/>
                <w:i/>
                <w:iCs/>
                <w:sz w:val="24"/>
                <w:szCs w:val="24"/>
              </w:rPr>
            </w:pPr>
            <w:r w:rsidRPr="00F32E3C">
              <w:rPr>
                <w:rFonts w:hAnsi="Times New Roman" w:cs="Times New Roman"/>
                <w:i/>
                <w:iCs/>
                <w:sz w:val="24"/>
                <w:szCs w:val="24"/>
              </w:rPr>
              <w:t xml:space="preserve">Tiekėjas pirkimo sutarties vykdymui turi paskirti ne mažiau kaip 1 (vieną) specialistą, kuris turi teisę eiti </w:t>
            </w:r>
            <w:r w:rsidRPr="00F32E3C">
              <w:rPr>
                <w:rFonts w:hAnsi="Times New Roman" w:cs="Times New Roman"/>
                <w:b/>
                <w:bCs/>
                <w:i/>
                <w:iCs/>
                <w:sz w:val="24"/>
                <w:szCs w:val="24"/>
              </w:rPr>
              <w:t xml:space="preserve">ypatingo statinio statybos vadovo pareigas. </w:t>
            </w:r>
            <w:r w:rsidR="007E5DFB">
              <w:rPr>
                <w:rFonts w:hAnsi="Times New Roman" w:cs="Times New Roman"/>
                <w:b/>
                <w:bCs/>
                <w:i/>
                <w:iCs/>
                <w:sz w:val="24"/>
                <w:szCs w:val="24"/>
              </w:rPr>
              <w:t xml:space="preserve"> </w:t>
            </w:r>
          </w:p>
          <w:p w14:paraId="1CDB1601" w14:textId="6E5781AC" w:rsidR="00F32E3C" w:rsidRDefault="00F32E3C" w:rsidP="00F32E3C">
            <w:pPr>
              <w:spacing w:line="240" w:lineRule="auto"/>
              <w:ind w:firstLine="0"/>
              <w:rPr>
                <w:rFonts w:hAnsi="Times New Roman" w:cs="Times New Roman"/>
                <w:b/>
                <w:bCs/>
                <w:i/>
                <w:iCs/>
                <w:sz w:val="24"/>
                <w:szCs w:val="24"/>
              </w:rPr>
            </w:pPr>
            <w:r w:rsidRPr="00F32E3C">
              <w:rPr>
                <w:rFonts w:hAnsi="Times New Roman" w:cs="Times New Roman"/>
                <w:b/>
                <w:bCs/>
                <w:i/>
                <w:iCs/>
                <w:sz w:val="24"/>
                <w:szCs w:val="24"/>
              </w:rPr>
              <w:t xml:space="preserve">Statinių grupė- negyvenamieji pastatai. </w:t>
            </w:r>
          </w:p>
          <w:p w14:paraId="0CDC14B0" w14:textId="0280A8DF" w:rsidR="00746072" w:rsidRPr="00F32E3C" w:rsidRDefault="00F32E3C" w:rsidP="00F32E3C">
            <w:pPr>
              <w:spacing w:line="240" w:lineRule="auto"/>
              <w:ind w:firstLine="0"/>
              <w:rPr>
                <w:rFonts w:hAnsi="Times New Roman" w:cs="Times New Roman"/>
                <w:i/>
                <w:iCs/>
                <w:sz w:val="24"/>
                <w:szCs w:val="24"/>
              </w:rPr>
            </w:pPr>
            <w:r w:rsidRPr="00F32E3C">
              <w:rPr>
                <w:rFonts w:hAnsi="Times New Roman" w:cs="Times New Roman"/>
                <w:b/>
                <w:bCs/>
                <w:i/>
                <w:iCs/>
                <w:sz w:val="24"/>
                <w:szCs w:val="24"/>
              </w:rPr>
              <w:t>Pogrupis- sporto paskirties pastatai.</w:t>
            </w:r>
          </w:p>
        </w:tc>
      </w:tr>
      <w:tr w:rsidR="00553966" w:rsidRPr="00124E01" w14:paraId="63A721F1" w14:textId="77777777" w:rsidTr="00B50A0A">
        <w:trPr>
          <w:trHeight w:val="238"/>
          <w:jc w:val="center"/>
        </w:trPr>
        <w:tc>
          <w:tcPr>
            <w:tcW w:w="386" w:type="pct"/>
          </w:tcPr>
          <w:p w14:paraId="47CF6B3A" w14:textId="77777777" w:rsidR="00553966" w:rsidRPr="00124E01" w:rsidRDefault="00553966">
            <w:pPr>
              <w:rPr>
                <w:b/>
                <w:bCs/>
                <w:sz w:val="22"/>
                <w:szCs w:val="22"/>
              </w:rPr>
            </w:pPr>
          </w:p>
        </w:tc>
        <w:tc>
          <w:tcPr>
            <w:tcW w:w="1005" w:type="pct"/>
          </w:tcPr>
          <w:p w14:paraId="7B516EB4" w14:textId="77777777" w:rsidR="00553966" w:rsidRPr="00124E01" w:rsidRDefault="00553966">
            <w:pPr>
              <w:rPr>
                <w:b/>
                <w:bCs/>
                <w:sz w:val="22"/>
                <w:szCs w:val="22"/>
              </w:rPr>
            </w:pPr>
          </w:p>
        </w:tc>
        <w:tc>
          <w:tcPr>
            <w:tcW w:w="1176" w:type="pct"/>
          </w:tcPr>
          <w:p w14:paraId="7E10D909" w14:textId="77777777" w:rsidR="00553966" w:rsidRPr="00124E01" w:rsidRDefault="00553966">
            <w:pPr>
              <w:rPr>
                <w:b/>
                <w:bCs/>
                <w:sz w:val="22"/>
                <w:szCs w:val="22"/>
              </w:rPr>
            </w:pPr>
          </w:p>
        </w:tc>
        <w:tc>
          <w:tcPr>
            <w:tcW w:w="2433" w:type="pct"/>
          </w:tcPr>
          <w:p w14:paraId="676332F7" w14:textId="77777777" w:rsidR="00553966" w:rsidRPr="00124E01" w:rsidRDefault="00553966">
            <w:pPr>
              <w:rPr>
                <w:b/>
                <w:bCs/>
                <w:sz w:val="22"/>
                <w:szCs w:val="22"/>
              </w:rPr>
            </w:pPr>
          </w:p>
        </w:tc>
      </w:tr>
      <w:tr w:rsidR="00553966" w:rsidRPr="00124E01" w14:paraId="0C652E3D" w14:textId="77777777" w:rsidTr="00B50A0A">
        <w:trPr>
          <w:trHeight w:val="238"/>
          <w:jc w:val="center"/>
        </w:trPr>
        <w:tc>
          <w:tcPr>
            <w:tcW w:w="386" w:type="pct"/>
          </w:tcPr>
          <w:p w14:paraId="1DCE1031" w14:textId="77777777" w:rsidR="00553966" w:rsidRPr="00124E01" w:rsidRDefault="00553966">
            <w:pPr>
              <w:rPr>
                <w:b/>
                <w:bCs/>
                <w:sz w:val="22"/>
                <w:szCs w:val="22"/>
              </w:rPr>
            </w:pPr>
          </w:p>
        </w:tc>
        <w:tc>
          <w:tcPr>
            <w:tcW w:w="1005" w:type="pct"/>
          </w:tcPr>
          <w:p w14:paraId="054FE206" w14:textId="77777777" w:rsidR="00553966" w:rsidRPr="00124E01" w:rsidRDefault="00553966">
            <w:pPr>
              <w:rPr>
                <w:b/>
                <w:bCs/>
                <w:sz w:val="22"/>
                <w:szCs w:val="22"/>
              </w:rPr>
            </w:pPr>
          </w:p>
        </w:tc>
        <w:tc>
          <w:tcPr>
            <w:tcW w:w="1176" w:type="pct"/>
          </w:tcPr>
          <w:p w14:paraId="649EB8D3" w14:textId="77777777" w:rsidR="00553966" w:rsidRPr="00124E01" w:rsidRDefault="00553966">
            <w:pPr>
              <w:rPr>
                <w:b/>
                <w:bCs/>
                <w:sz w:val="22"/>
                <w:szCs w:val="22"/>
              </w:rPr>
            </w:pPr>
          </w:p>
        </w:tc>
        <w:tc>
          <w:tcPr>
            <w:tcW w:w="2433" w:type="pct"/>
          </w:tcPr>
          <w:p w14:paraId="38255CC8" w14:textId="77777777" w:rsidR="00553966" w:rsidRPr="00124E01" w:rsidRDefault="00553966">
            <w:pPr>
              <w:rPr>
                <w:b/>
                <w:bCs/>
                <w:sz w:val="22"/>
                <w:szCs w:val="22"/>
              </w:rPr>
            </w:pPr>
          </w:p>
        </w:tc>
      </w:tr>
      <w:tr w:rsidR="00190B26" w:rsidRPr="00124E01" w14:paraId="3EEA9B3E" w14:textId="77777777" w:rsidTr="00B50A0A">
        <w:trPr>
          <w:trHeight w:val="238"/>
          <w:jc w:val="center"/>
        </w:trPr>
        <w:tc>
          <w:tcPr>
            <w:tcW w:w="386" w:type="pct"/>
          </w:tcPr>
          <w:p w14:paraId="7EFCBA9D" w14:textId="77777777" w:rsidR="00190B26" w:rsidRPr="00124E01" w:rsidRDefault="00190B26">
            <w:pPr>
              <w:rPr>
                <w:b/>
                <w:bCs/>
                <w:sz w:val="22"/>
                <w:szCs w:val="22"/>
              </w:rPr>
            </w:pPr>
          </w:p>
        </w:tc>
        <w:tc>
          <w:tcPr>
            <w:tcW w:w="1005" w:type="pct"/>
          </w:tcPr>
          <w:p w14:paraId="40901EEF" w14:textId="77777777" w:rsidR="00190B26" w:rsidRPr="00124E01" w:rsidRDefault="00190B26">
            <w:pPr>
              <w:rPr>
                <w:b/>
                <w:bCs/>
                <w:sz w:val="22"/>
                <w:szCs w:val="22"/>
              </w:rPr>
            </w:pPr>
          </w:p>
        </w:tc>
        <w:tc>
          <w:tcPr>
            <w:tcW w:w="1176" w:type="pct"/>
          </w:tcPr>
          <w:p w14:paraId="73FF8113" w14:textId="77777777" w:rsidR="00190B26" w:rsidRPr="00124E01" w:rsidRDefault="00190B26">
            <w:pPr>
              <w:rPr>
                <w:b/>
                <w:bCs/>
                <w:sz w:val="22"/>
                <w:szCs w:val="22"/>
              </w:rPr>
            </w:pPr>
          </w:p>
        </w:tc>
        <w:tc>
          <w:tcPr>
            <w:tcW w:w="2433" w:type="pct"/>
          </w:tcPr>
          <w:p w14:paraId="2C07B655" w14:textId="77777777" w:rsidR="00190B26" w:rsidRPr="00124E01" w:rsidRDefault="00190B26">
            <w:pPr>
              <w:rPr>
                <w:b/>
                <w:bCs/>
                <w:sz w:val="22"/>
                <w:szCs w:val="22"/>
              </w:rPr>
            </w:pPr>
          </w:p>
        </w:tc>
      </w:tr>
      <w:tr w:rsidR="001E6104" w:rsidRPr="00124E01" w14:paraId="2FF4A22A" w14:textId="77777777" w:rsidTr="001E6104">
        <w:trPr>
          <w:trHeight w:val="238"/>
          <w:jc w:val="center"/>
        </w:trPr>
        <w:tc>
          <w:tcPr>
            <w:tcW w:w="5000" w:type="pct"/>
            <w:gridSpan w:val="4"/>
          </w:tcPr>
          <w:p w14:paraId="16ACD5CB"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i/>
                <w:iCs/>
              </w:rPr>
              <w:t>Tiekėjas pirkimo sutarties vykdymui turi paskirti ne mažiau kaip 1 (vieną) specialistą, kuris turi teisę eiti</w:t>
            </w:r>
            <w:r w:rsidRPr="001E6104">
              <w:rPr>
                <w:rFonts w:hAnsi="Times New Roman" w:cs="Times New Roman"/>
                <w:i/>
                <w:iCs/>
                <w:sz w:val="22"/>
                <w:szCs w:val="22"/>
              </w:rPr>
              <w:t xml:space="preserve"> </w:t>
            </w:r>
            <w:r w:rsidRPr="001E6104">
              <w:rPr>
                <w:rFonts w:hAnsi="Times New Roman" w:cs="Times New Roman"/>
                <w:b/>
                <w:bCs/>
                <w:i/>
                <w:iCs/>
                <w:sz w:val="22"/>
                <w:szCs w:val="22"/>
              </w:rPr>
              <w:t>ypatingojo statinio specialiųjų statybos darbų vadovo</w:t>
            </w:r>
            <w:r w:rsidRPr="001E6104">
              <w:rPr>
                <w:rFonts w:hAnsi="Times New Roman" w:cs="Times New Roman"/>
                <w:i/>
                <w:iCs/>
                <w:sz w:val="22"/>
                <w:szCs w:val="22"/>
              </w:rPr>
              <w:t xml:space="preserve"> pareigas.</w:t>
            </w:r>
          </w:p>
          <w:p w14:paraId="7F928191"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b/>
                <w:bCs/>
                <w:i/>
                <w:iCs/>
                <w:sz w:val="22"/>
                <w:szCs w:val="22"/>
              </w:rPr>
              <w:t>Statinių grupė</w:t>
            </w:r>
            <w:r w:rsidRPr="001E6104">
              <w:rPr>
                <w:rFonts w:hAnsi="Times New Roman" w:cs="Times New Roman"/>
                <w:i/>
                <w:iCs/>
                <w:sz w:val="22"/>
                <w:szCs w:val="22"/>
              </w:rPr>
              <w:t xml:space="preserve"> - negyvenamieji statiniai.</w:t>
            </w:r>
          </w:p>
          <w:p w14:paraId="32819A0D"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b/>
                <w:bCs/>
                <w:i/>
                <w:iCs/>
                <w:sz w:val="22"/>
                <w:szCs w:val="22"/>
              </w:rPr>
              <w:t>Pogrupis</w:t>
            </w:r>
            <w:r w:rsidRPr="001E6104">
              <w:rPr>
                <w:rFonts w:hAnsi="Times New Roman" w:cs="Times New Roman"/>
                <w:i/>
                <w:iCs/>
                <w:sz w:val="22"/>
                <w:szCs w:val="22"/>
              </w:rPr>
              <w:t xml:space="preserve"> – sporto paskirties pastatai.  </w:t>
            </w:r>
          </w:p>
          <w:p w14:paraId="30FFC0A9"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b/>
                <w:bCs/>
                <w:i/>
                <w:iCs/>
                <w:sz w:val="22"/>
                <w:szCs w:val="22"/>
              </w:rPr>
              <w:t>Darbų sritis</w:t>
            </w:r>
            <w:r w:rsidRPr="001E6104">
              <w:rPr>
                <w:rFonts w:hAnsi="Times New Roman" w:cs="Times New Roman"/>
                <w:i/>
                <w:iCs/>
                <w:sz w:val="22"/>
                <w:szCs w:val="22"/>
              </w:rPr>
              <w:t>:</w:t>
            </w:r>
          </w:p>
          <w:p w14:paraId="5E8EE85D"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i/>
                <w:iCs/>
                <w:sz w:val="22"/>
                <w:szCs w:val="22"/>
              </w:rPr>
              <w:t>- nuotekų šalinimo inžinerinių sistemų įrengimas;</w:t>
            </w:r>
          </w:p>
          <w:p w14:paraId="2B7510E0"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i/>
                <w:iCs/>
                <w:sz w:val="22"/>
                <w:szCs w:val="22"/>
              </w:rPr>
              <w:t>- statinio elektros inžinerinių sistemų įrengimas;</w:t>
            </w:r>
          </w:p>
          <w:p w14:paraId="45153A17" w14:textId="77777777" w:rsidR="001E6104" w:rsidRPr="001E6104" w:rsidRDefault="001E6104" w:rsidP="001E6104">
            <w:pPr>
              <w:spacing w:line="240" w:lineRule="auto"/>
              <w:ind w:firstLine="0"/>
              <w:rPr>
                <w:rFonts w:hAnsi="Times New Roman" w:cs="Times New Roman"/>
                <w:i/>
                <w:iCs/>
                <w:sz w:val="22"/>
                <w:szCs w:val="22"/>
              </w:rPr>
            </w:pPr>
            <w:r w:rsidRPr="001E6104">
              <w:rPr>
                <w:rFonts w:hAnsi="Times New Roman" w:cs="Times New Roman"/>
                <w:i/>
                <w:iCs/>
                <w:sz w:val="22"/>
                <w:szCs w:val="22"/>
              </w:rPr>
              <w:t>-gaisrinės saugos (signalizacijos) inžinerinių sistemų įrengimas;</w:t>
            </w:r>
          </w:p>
          <w:p w14:paraId="263DE7DC" w14:textId="58702910" w:rsidR="001E6104" w:rsidRPr="001E6104" w:rsidRDefault="001E6104" w:rsidP="001E6104">
            <w:pPr>
              <w:spacing w:line="240" w:lineRule="auto"/>
              <w:ind w:firstLine="0"/>
              <w:rPr>
                <w:rFonts w:hAnsi="Times New Roman" w:cs="Times New Roman"/>
                <w:sz w:val="22"/>
                <w:szCs w:val="22"/>
              </w:rPr>
            </w:pPr>
            <w:r w:rsidRPr="001E6104">
              <w:rPr>
                <w:rFonts w:hAnsi="Times New Roman" w:cs="Times New Roman"/>
                <w:i/>
                <w:iCs/>
                <w:sz w:val="22"/>
                <w:szCs w:val="22"/>
              </w:rPr>
              <w:t>- statinio šildymo, vėdinimo, oro kondicionavimo inžinerinių sistemų  įrengimas.</w:t>
            </w:r>
          </w:p>
        </w:tc>
      </w:tr>
      <w:tr w:rsidR="001E6104" w:rsidRPr="00124E01" w14:paraId="48899AFE" w14:textId="77777777" w:rsidTr="00B50A0A">
        <w:trPr>
          <w:trHeight w:val="238"/>
          <w:jc w:val="center"/>
        </w:trPr>
        <w:tc>
          <w:tcPr>
            <w:tcW w:w="386" w:type="pct"/>
          </w:tcPr>
          <w:p w14:paraId="674921BE" w14:textId="77777777" w:rsidR="001E6104" w:rsidRPr="00124E01" w:rsidRDefault="001E6104">
            <w:pPr>
              <w:rPr>
                <w:b/>
                <w:bCs/>
                <w:sz w:val="22"/>
                <w:szCs w:val="22"/>
              </w:rPr>
            </w:pPr>
          </w:p>
        </w:tc>
        <w:tc>
          <w:tcPr>
            <w:tcW w:w="1005" w:type="pct"/>
          </w:tcPr>
          <w:p w14:paraId="7BA07074" w14:textId="77777777" w:rsidR="001E6104" w:rsidRPr="00124E01" w:rsidRDefault="001E6104">
            <w:pPr>
              <w:rPr>
                <w:b/>
                <w:bCs/>
                <w:sz w:val="22"/>
                <w:szCs w:val="22"/>
              </w:rPr>
            </w:pPr>
          </w:p>
        </w:tc>
        <w:tc>
          <w:tcPr>
            <w:tcW w:w="1176" w:type="pct"/>
          </w:tcPr>
          <w:p w14:paraId="55070AB3" w14:textId="77777777" w:rsidR="001E6104" w:rsidRPr="00124E01" w:rsidRDefault="001E6104">
            <w:pPr>
              <w:rPr>
                <w:b/>
                <w:bCs/>
                <w:sz w:val="22"/>
                <w:szCs w:val="22"/>
              </w:rPr>
            </w:pPr>
          </w:p>
        </w:tc>
        <w:tc>
          <w:tcPr>
            <w:tcW w:w="2433" w:type="pct"/>
          </w:tcPr>
          <w:p w14:paraId="0A3258E9" w14:textId="77777777" w:rsidR="001E6104" w:rsidRPr="00124E01" w:rsidRDefault="001E6104">
            <w:pPr>
              <w:rPr>
                <w:b/>
                <w:bCs/>
                <w:sz w:val="22"/>
                <w:szCs w:val="22"/>
              </w:rPr>
            </w:pPr>
          </w:p>
        </w:tc>
      </w:tr>
      <w:tr w:rsidR="001E6104" w:rsidRPr="00124E01" w14:paraId="1F3EF75D" w14:textId="77777777" w:rsidTr="00B50A0A">
        <w:trPr>
          <w:trHeight w:val="238"/>
          <w:jc w:val="center"/>
        </w:trPr>
        <w:tc>
          <w:tcPr>
            <w:tcW w:w="386" w:type="pct"/>
          </w:tcPr>
          <w:p w14:paraId="5906907E" w14:textId="77777777" w:rsidR="001E6104" w:rsidRPr="00124E01" w:rsidRDefault="001E6104">
            <w:pPr>
              <w:rPr>
                <w:b/>
                <w:bCs/>
                <w:sz w:val="22"/>
                <w:szCs w:val="22"/>
              </w:rPr>
            </w:pPr>
          </w:p>
        </w:tc>
        <w:tc>
          <w:tcPr>
            <w:tcW w:w="1005" w:type="pct"/>
          </w:tcPr>
          <w:p w14:paraId="6BE21533" w14:textId="77777777" w:rsidR="001E6104" w:rsidRPr="00124E01" w:rsidRDefault="001E6104">
            <w:pPr>
              <w:rPr>
                <w:b/>
                <w:bCs/>
                <w:sz w:val="22"/>
                <w:szCs w:val="22"/>
              </w:rPr>
            </w:pPr>
          </w:p>
        </w:tc>
        <w:tc>
          <w:tcPr>
            <w:tcW w:w="1176" w:type="pct"/>
          </w:tcPr>
          <w:p w14:paraId="5B544727" w14:textId="77777777" w:rsidR="001E6104" w:rsidRPr="00124E01" w:rsidRDefault="001E6104">
            <w:pPr>
              <w:rPr>
                <w:b/>
                <w:bCs/>
                <w:sz w:val="22"/>
                <w:szCs w:val="22"/>
              </w:rPr>
            </w:pPr>
          </w:p>
        </w:tc>
        <w:tc>
          <w:tcPr>
            <w:tcW w:w="2433" w:type="pct"/>
          </w:tcPr>
          <w:p w14:paraId="4B3A864C" w14:textId="77777777" w:rsidR="001E6104" w:rsidRPr="00124E01" w:rsidRDefault="001E6104">
            <w:pPr>
              <w:rPr>
                <w:b/>
                <w:bCs/>
                <w:sz w:val="22"/>
                <w:szCs w:val="22"/>
              </w:rPr>
            </w:pPr>
          </w:p>
        </w:tc>
      </w:tr>
      <w:tr w:rsidR="001E6104" w:rsidRPr="00124E01" w14:paraId="55B1497A" w14:textId="77777777" w:rsidTr="00B50A0A">
        <w:trPr>
          <w:trHeight w:val="238"/>
          <w:jc w:val="center"/>
        </w:trPr>
        <w:tc>
          <w:tcPr>
            <w:tcW w:w="386" w:type="pct"/>
          </w:tcPr>
          <w:p w14:paraId="1E60EB67" w14:textId="77777777" w:rsidR="001E6104" w:rsidRPr="00124E01" w:rsidRDefault="001E6104">
            <w:pPr>
              <w:rPr>
                <w:b/>
                <w:bCs/>
                <w:sz w:val="22"/>
                <w:szCs w:val="22"/>
              </w:rPr>
            </w:pPr>
          </w:p>
        </w:tc>
        <w:tc>
          <w:tcPr>
            <w:tcW w:w="1005" w:type="pct"/>
          </w:tcPr>
          <w:p w14:paraId="0733924F" w14:textId="77777777" w:rsidR="001E6104" w:rsidRPr="00124E01" w:rsidRDefault="001E6104">
            <w:pPr>
              <w:rPr>
                <w:b/>
                <w:bCs/>
                <w:sz w:val="22"/>
                <w:szCs w:val="22"/>
              </w:rPr>
            </w:pPr>
          </w:p>
        </w:tc>
        <w:tc>
          <w:tcPr>
            <w:tcW w:w="1176" w:type="pct"/>
          </w:tcPr>
          <w:p w14:paraId="6080838A" w14:textId="77777777" w:rsidR="001E6104" w:rsidRPr="00124E01" w:rsidRDefault="001E6104">
            <w:pPr>
              <w:rPr>
                <w:b/>
                <w:bCs/>
                <w:sz w:val="22"/>
                <w:szCs w:val="22"/>
              </w:rPr>
            </w:pPr>
          </w:p>
        </w:tc>
        <w:tc>
          <w:tcPr>
            <w:tcW w:w="2433" w:type="pct"/>
          </w:tcPr>
          <w:p w14:paraId="3D4330BB" w14:textId="77777777" w:rsidR="001E6104" w:rsidRPr="00124E01" w:rsidRDefault="001E6104">
            <w:pPr>
              <w:rPr>
                <w:b/>
                <w:bCs/>
                <w:sz w:val="22"/>
                <w:szCs w:val="22"/>
              </w:rPr>
            </w:pPr>
          </w:p>
        </w:tc>
      </w:tr>
    </w:tbl>
    <w:p w14:paraId="20AB9BE0" w14:textId="77777777" w:rsidR="00553966" w:rsidRDefault="00553966" w:rsidP="00553966">
      <w:pPr>
        <w:rPr>
          <w:rFonts w:ascii="Times New Roman" w:hAnsi="Times New Roman" w:cs="Times New Roman"/>
        </w:rPr>
      </w:pPr>
    </w:p>
    <w:p w14:paraId="5B1B3151" w14:textId="77777777" w:rsidR="00174449" w:rsidRDefault="00174449" w:rsidP="00553966"/>
    <w:p w14:paraId="79B17712" w14:textId="1ADFAD5D" w:rsidR="00190B26" w:rsidRPr="00190B26" w:rsidRDefault="00190B26" w:rsidP="00190B26">
      <w:pPr>
        <w:spacing w:line="240" w:lineRule="auto"/>
        <w:rPr>
          <w:rFonts w:ascii="Times New Roman" w:hAnsi="Times New Roman" w:cs="Times New Roman"/>
        </w:rPr>
      </w:pPr>
      <w:r w:rsidRPr="00190B26">
        <w:rPr>
          <w:rFonts w:ascii="Times New Roman" w:hAnsi="Times New Roman" w:cs="Times New Roman"/>
        </w:rPr>
        <w:t>*</w:t>
      </w:r>
      <w:r w:rsidRPr="00190B26">
        <w:rPr>
          <w:rFonts w:ascii="Times New Roman" w:eastAsia="Calibri" w:hAnsi="Times New Roman" w:cs="Times New Roman"/>
          <w:sz w:val="20"/>
          <w:szCs w:val="20"/>
          <w:lang w:eastAsia="en-US"/>
        </w:rPr>
        <w:t xml:space="preserve"> </w:t>
      </w:r>
      <w:r w:rsidRPr="00190B26">
        <w:rPr>
          <w:rFonts w:ascii="Times New Roman" w:hAnsi="Times New Roman" w:cs="Times New Roman"/>
        </w:rPr>
        <w:t>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p w14:paraId="145553F8" w14:textId="2831D5B1" w:rsidR="00190B26" w:rsidRPr="00553966" w:rsidRDefault="00190B26" w:rsidP="00553966"/>
    <w:sectPr w:rsidR="00190B26" w:rsidRPr="00553966" w:rsidSect="00FC2A12">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7891" w14:textId="77777777" w:rsidR="001D7205" w:rsidRDefault="001D7205">
      <w:pPr>
        <w:spacing w:line="240" w:lineRule="auto"/>
      </w:pPr>
      <w:r>
        <w:separator/>
      </w:r>
    </w:p>
  </w:endnote>
  <w:endnote w:type="continuationSeparator" w:id="0">
    <w:p w14:paraId="2C5549EE" w14:textId="77777777" w:rsidR="001D7205" w:rsidRDefault="001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9B1" w14:textId="77777777" w:rsidR="009541B0" w:rsidRDefault="009541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416EF" w14:paraId="1BB7E16E" w14:textId="77777777">
      <w:tc>
        <w:tcPr>
          <w:tcW w:w="3600" w:type="dxa"/>
        </w:tcPr>
        <w:p w14:paraId="2E22AD5B" w14:textId="77777777" w:rsidR="0050776B" w:rsidRDefault="0050776B">
          <w:pPr>
            <w:pStyle w:val="Antrats"/>
            <w:ind w:left="-115"/>
            <w:jc w:val="left"/>
          </w:pPr>
        </w:p>
      </w:tc>
      <w:tc>
        <w:tcPr>
          <w:tcW w:w="3600" w:type="dxa"/>
        </w:tcPr>
        <w:p w14:paraId="03614FC2" w14:textId="77777777" w:rsidR="0050776B" w:rsidRDefault="0050776B">
          <w:pPr>
            <w:pStyle w:val="Antrats"/>
            <w:jc w:val="center"/>
          </w:pPr>
        </w:p>
      </w:tc>
      <w:tc>
        <w:tcPr>
          <w:tcW w:w="3600" w:type="dxa"/>
        </w:tcPr>
        <w:p w14:paraId="473D74D5" w14:textId="77777777" w:rsidR="0050776B" w:rsidRDefault="0050776B">
          <w:pPr>
            <w:pStyle w:val="Antrats"/>
            <w:ind w:right="-115"/>
            <w:jc w:val="right"/>
          </w:pPr>
        </w:p>
      </w:tc>
    </w:tr>
  </w:tbl>
  <w:p w14:paraId="784FE876" w14:textId="77777777" w:rsidR="0050776B" w:rsidRDefault="005077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416EF" w14:paraId="489C9893" w14:textId="77777777">
      <w:tc>
        <w:tcPr>
          <w:tcW w:w="3600" w:type="dxa"/>
        </w:tcPr>
        <w:p w14:paraId="56AF3978" w14:textId="77777777" w:rsidR="0050776B" w:rsidRDefault="0050776B">
          <w:pPr>
            <w:pStyle w:val="Antrats"/>
            <w:ind w:left="-115"/>
            <w:jc w:val="left"/>
          </w:pPr>
        </w:p>
      </w:tc>
      <w:tc>
        <w:tcPr>
          <w:tcW w:w="3600" w:type="dxa"/>
        </w:tcPr>
        <w:p w14:paraId="1B3C8EDB" w14:textId="77777777" w:rsidR="0050776B" w:rsidRDefault="0050776B">
          <w:pPr>
            <w:pStyle w:val="Antrats"/>
            <w:jc w:val="center"/>
          </w:pPr>
        </w:p>
      </w:tc>
      <w:tc>
        <w:tcPr>
          <w:tcW w:w="3600" w:type="dxa"/>
        </w:tcPr>
        <w:p w14:paraId="7D412E5D" w14:textId="77777777" w:rsidR="0050776B" w:rsidRDefault="0050776B">
          <w:pPr>
            <w:pStyle w:val="Antrats"/>
            <w:ind w:right="-115"/>
            <w:jc w:val="right"/>
          </w:pPr>
        </w:p>
      </w:tc>
    </w:tr>
  </w:tbl>
  <w:p w14:paraId="3A9623BB" w14:textId="77777777" w:rsidR="0050776B" w:rsidRDefault="005077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7EFF" w14:textId="77777777" w:rsidR="001D7205" w:rsidRDefault="001D7205">
      <w:pPr>
        <w:spacing w:line="240" w:lineRule="auto"/>
      </w:pPr>
      <w:r>
        <w:separator/>
      </w:r>
    </w:p>
  </w:footnote>
  <w:footnote w:type="continuationSeparator" w:id="0">
    <w:p w14:paraId="679677BC" w14:textId="77777777" w:rsidR="001D7205" w:rsidRDefault="001D7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FDB6" w14:textId="77777777" w:rsidR="009541B0" w:rsidRDefault="009541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0C014DB" w14:textId="77777777" w:rsidR="0050776B" w:rsidRDefault="00465495">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4468" w14:textId="77777777" w:rsidR="009541B0" w:rsidRPr="009541B0" w:rsidRDefault="009541B0" w:rsidP="009541B0">
    <w:pPr>
      <w:keepNext/>
      <w:keepLines/>
      <w:spacing w:line="240" w:lineRule="auto"/>
      <w:ind w:left="4820" w:firstLine="0"/>
      <w:jc w:val="right"/>
      <w:outlineLvl w:val="1"/>
      <w:rPr>
        <w:rFonts w:ascii="Times New Roman" w:eastAsia="Calibri" w:hAnsi="Times New Roman" w:cs="Times New Roman"/>
        <w:i/>
        <w:iCs/>
        <w:color w:val="0070C0"/>
        <w:sz w:val="24"/>
        <w:szCs w:val="24"/>
      </w:rPr>
    </w:pPr>
    <w:bookmarkStart w:id="0" w:name="_Hlk169516779"/>
    <w:bookmarkStart w:id="1" w:name="_Hlk169516780"/>
    <w:r w:rsidRPr="009541B0">
      <w:rPr>
        <w:rFonts w:ascii="Times New Roman" w:hAnsi="Times New Roman" w:cs="Times New Roman"/>
        <w:i/>
        <w:iCs/>
        <w:color w:val="0070C0"/>
        <w:sz w:val="24"/>
        <w:szCs w:val="24"/>
      </w:rPr>
      <w:t>Specialiųjų</w:t>
    </w:r>
    <w:r w:rsidR="00465495" w:rsidRPr="009541B0">
      <w:rPr>
        <w:rFonts w:ascii="Times New Roman" w:hAnsi="Times New Roman" w:cs="Times New Roman"/>
        <w:i/>
        <w:iCs/>
        <w:color w:val="0070C0"/>
        <w:sz w:val="24"/>
        <w:szCs w:val="24"/>
      </w:rPr>
      <w:t xml:space="preserve"> </w:t>
    </w:r>
    <w:r w:rsidR="00746072" w:rsidRPr="009541B0">
      <w:rPr>
        <w:rFonts w:ascii="Times New Roman" w:eastAsia="Calibri" w:hAnsi="Times New Roman" w:cs="Times New Roman"/>
        <w:i/>
        <w:iCs/>
        <w:color w:val="0070C0"/>
        <w:sz w:val="24"/>
        <w:szCs w:val="24"/>
      </w:rPr>
      <w:t xml:space="preserve">Pirkimo sąlygų </w:t>
    </w:r>
    <w:r w:rsidRPr="009541B0">
      <w:rPr>
        <w:rFonts w:ascii="Times New Roman" w:eastAsia="Calibri" w:hAnsi="Times New Roman" w:cs="Times New Roman"/>
        <w:i/>
        <w:iCs/>
        <w:color w:val="0070C0"/>
        <w:sz w:val="24"/>
        <w:szCs w:val="24"/>
      </w:rPr>
      <w:t>9</w:t>
    </w:r>
    <w:r w:rsidR="00746072" w:rsidRPr="009541B0">
      <w:rPr>
        <w:rFonts w:ascii="Times New Roman" w:eastAsia="Calibri" w:hAnsi="Times New Roman" w:cs="Times New Roman"/>
        <w:i/>
        <w:iCs/>
        <w:color w:val="0070C0"/>
        <w:sz w:val="24"/>
        <w:szCs w:val="24"/>
      </w:rPr>
      <w:t xml:space="preserve"> priedas </w:t>
    </w:r>
  </w:p>
  <w:p w14:paraId="45093502" w14:textId="200F78C1" w:rsidR="00746072" w:rsidRPr="009541B0" w:rsidRDefault="00746072" w:rsidP="009541B0">
    <w:pPr>
      <w:keepNext/>
      <w:keepLines/>
      <w:spacing w:line="240" w:lineRule="auto"/>
      <w:ind w:left="4820" w:firstLine="0"/>
      <w:jc w:val="right"/>
      <w:outlineLvl w:val="1"/>
      <w:rPr>
        <w:rFonts w:ascii="Times New Roman" w:eastAsia="Calibri" w:hAnsi="Times New Roman" w:cs="Times New Roman"/>
        <w:i/>
        <w:iCs/>
        <w:color w:val="0070C0"/>
        <w:sz w:val="24"/>
        <w:szCs w:val="24"/>
      </w:rPr>
    </w:pPr>
    <w:r w:rsidRPr="009541B0">
      <w:rPr>
        <w:rFonts w:ascii="Times New Roman" w:eastAsia="Calibri" w:hAnsi="Times New Roman" w:cs="Times New Roman"/>
        <w:i/>
        <w:iCs/>
        <w:color w:val="0070C0"/>
        <w:sz w:val="24"/>
        <w:szCs w:val="24"/>
      </w:rPr>
      <w:t>„Specialistų sąrašas“</w:t>
    </w:r>
  </w:p>
  <w:bookmarkEnd w:id="0"/>
  <w:bookmarkEnd w:id="1"/>
  <w:p w14:paraId="111FF4AF" w14:textId="0D43574F" w:rsidR="0050776B" w:rsidRDefault="005077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5074D"/>
    <w:rsid w:val="00090E69"/>
    <w:rsid w:val="000A2348"/>
    <w:rsid w:val="000C536E"/>
    <w:rsid w:val="000E21C7"/>
    <w:rsid w:val="00174449"/>
    <w:rsid w:val="00190B26"/>
    <w:rsid w:val="001B7AEE"/>
    <w:rsid w:val="001D7205"/>
    <w:rsid w:val="001E6104"/>
    <w:rsid w:val="0027406D"/>
    <w:rsid w:val="00317B15"/>
    <w:rsid w:val="003F56B4"/>
    <w:rsid w:val="00465495"/>
    <w:rsid w:val="004D2E96"/>
    <w:rsid w:val="0050776B"/>
    <w:rsid w:val="00525341"/>
    <w:rsid w:val="00553966"/>
    <w:rsid w:val="00565FD8"/>
    <w:rsid w:val="005A4FC5"/>
    <w:rsid w:val="00641568"/>
    <w:rsid w:val="006416EF"/>
    <w:rsid w:val="00690815"/>
    <w:rsid w:val="00721B01"/>
    <w:rsid w:val="00732AD9"/>
    <w:rsid w:val="00746072"/>
    <w:rsid w:val="00755DD7"/>
    <w:rsid w:val="007B1174"/>
    <w:rsid w:val="007E5DFB"/>
    <w:rsid w:val="00860E93"/>
    <w:rsid w:val="009541B0"/>
    <w:rsid w:val="009A6374"/>
    <w:rsid w:val="00A0743D"/>
    <w:rsid w:val="00A354EC"/>
    <w:rsid w:val="00A56159"/>
    <w:rsid w:val="00AA630B"/>
    <w:rsid w:val="00B24A7B"/>
    <w:rsid w:val="00B50A0A"/>
    <w:rsid w:val="00B91456"/>
    <w:rsid w:val="00C0738A"/>
    <w:rsid w:val="00C22ACB"/>
    <w:rsid w:val="00C878E8"/>
    <w:rsid w:val="00C92A7A"/>
    <w:rsid w:val="00CA0C89"/>
    <w:rsid w:val="00CC4334"/>
    <w:rsid w:val="00DA424C"/>
    <w:rsid w:val="00DD1DE1"/>
    <w:rsid w:val="00DE6B19"/>
    <w:rsid w:val="00E80DF2"/>
    <w:rsid w:val="00F32E3C"/>
    <w:rsid w:val="00FC2A12"/>
    <w:rsid w:val="00FF7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docId w15:val="{E4F4C7FC-DB9C-4920-AE11-3220F30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3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746072"/>
    <w:pPr>
      <w:spacing w:line="240" w:lineRule="auto"/>
      <w:ind w:firstLine="0"/>
      <w:jc w:val="left"/>
    </w:pPr>
    <w:rPr>
      <w:rFonts w:ascii="Calibri" w:eastAsia="Calibri" w:hAnsi="Calibri"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6072"/>
    <w:rPr>
      <w:rFonts w:ascii="Calibri" w:eastAsia="Calibri" w:hAnsi="Calibri" w:cs="Times New Roman"/>
      <w:kern w:val="0"/>
      <w:sz w:val="20"/>
      <w:szCs w:val="20"/>
      <w14:ligatures w14:val="none"/>
    </w:rPr>
  </w:style>
  <w:style w:type="character" w:styleId="Puslapioinaosnuoroda">
    <w:name w:val="footnote reference"/>
    <w:basedOn w:val="Numatytasispastraiposriftas"/>
    <w:uiPriority w:val="99"/>
    <w:semiHidden/>
    <w:unhideWhenUsed/>
    <w:rsid w:val="00746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3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873</Words>
  <Characters>499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6</cp:revision>
  <dcterms:created xsi:type="dcterms:W3CDTF">2025-01-30T14:18:00Z</dcterms:created>
  <dcterms:modified xsi:type="dcterms:W3CDTF">2025-05-05T08:12:00Z</dcterms:modified>
</cp:coreProperties>
</file>