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1E54" w14:textId="22BEBEDB" w:rsidR="00C013B5" w:rsidRDefault="00C013B5" w:rsidP="00C013B5">
      <w:pPr>
        <w:jc w:val="center"/>
        <w:rPr>
          <w:b/>
          <w:bCs/>
          <w:sz w:val="24"/>
          <w:szCs w:val="24"/>
        </w:rPr>
      </w:pPr>
      <w:r w:rsidRPr="009C7DFC">
        <w:rPr>
          <w:b/>
          <w:bCs/>
          <w:sz w:val="24"/>
          <w:szCs w:val="24"/>
        </w:rPr>
        <w:t xml:space="preserve">VšĮ </w:t>
      </w:r>
      <w:r>
        <w:rPr>
          <w:b/>
          <w:bCs/>
          <w:sz w:val="24"/>
          <w:szCs w:val="24"/>
        </w:rPr>
        <w:t>Karoliniškių poliklinikos planuojamo pirkimo „</w:t>
      </w:r>
      <w:r w:rsidRPr="009B4B37">
        <w:rPr>
          <w:b/>
          <w:sz w:val="24"/>
          <w:szCs w:val="24"/>
        </w:rPr>
        <w:t>KP-3502</w:t>
      </w:r>
      <w:r>
        <w:rPr>
          <w:b/>
          <w:sz w:val="24"/>
          <w:szCs w:val="24"/>
        </w:rPr>
        <w:t xml:space="preserve"> </w:t>
      </w:r>
      <w:r w:rsidRPr="00C013B5">
        <w:rPr>
          <w:b/>
          <w:bCs/>
          <w:i/>
          <w:iCs/>
          <w:sz w:val="24"/>
          <w:szCs w:val="24"/>
        </w:rPr>
        <w:t>Reagent</w:t>
      </w:r>
      <w:r>
        <w:rPr>
          <w:b/>
          <w:bCs/>
          <w:i/>
          <w:iCs/>
          <w:sz w:val="24"/>
          <w:szCs w:val="24"/>
        </w:rPr>
        <w:t>ai</w:t>
      </w:r>
      <w:r w:rsidRPr="00C013B5">
        <w:rPr>
          <w:b/>
          <w:bCs/>
          <w:i/>
          <w:iCs/>
          <w:sz w:val="24"/>
          <w:szCs w:val="24"/>
        </w:rPr>
        <w:t xml:space="preserve"> ir papildom</w:t>
      </w:r>
      <w:r>
        <w:rPr>
          <w:b/>
          <w:bCs/>
          <w:i/>
          <w:iCs/>
          <w:sz w:val="24"/>
          <w:szCs w:val="24"/>
        </w:rPr>
        <w:t xml:space="preserve">os </w:t>
      </w:r>
      <w:r w:rsidRPr="00C013B5">
        <w:rPr>
          <w:b/>
          <w:bCs/>
          <w:i/>
          <w:iCs/>
          <w:sz w:val="24"/>
          <w:szCs w:val="24"/>
        </w:rPr>
        <w:t>priemon</w:t>
      </w:r>
      <w:r>
        <w:rPr>
          <w:b/>
          <w:bCs/>
          <w:i/>
          <w:iCs/>
          <w:sz w:val="24"/>
          <w:szCs w:val="24"/>
        </w:rPr>
        <w:t>ės</w:t>
      </w:r>
      <w:r w:rsidRPr="00C013B5">
        <w:rPr>
          <w:b/>
          <w:bCs/>
          <w:i/>
          <w:iCs/>
          <w:sz w:val="24"/>
          <w:szCs w:val="24"/>
        </w:rPr>
        <w:t xml:space="preserve"> bendro hematologinio kraujo ir CRB nustatymo tyrimams atlikti su įrangos įsigijimu panaudos būdu</w:t>
      </w:r>
      <w:r w:rsidRPr="007A179C">
        <w:rPr>
          <w:b/>
          <w:bCs/>
          <w:sz w:val="24"/>
          <w:szCs w:val="24"/>
        </w:rPr>
        <w:t>“</w:t>
      </w:r>
      <w:r>
        <w:rPr>
          <w:b/>
          <w:bCs/>
          <w:sz w:val="24"/>
          <w:szCs w:val="24"/>
        </w:rPr>
        <w:t xml:space="preserve"> techninės specifikacijos projekt</w:t>
      </w:r>
      <w:r>
        <w:rPr>
          <w:b/>
          <w:bCs/>
          <w:sz w:val="24"/>
          <w:szCs w:val="24"/>
        </w:rPr>
        <w:t>as</w:t>
      </w:r>
      <w:r>
        <w:rPr>
          <w:b/>
          <w:bCs/>
          <w:sz w:val="24"/>
          <w:szCs w:val="24"/>
        </w:rPr>
        <w:t xml:space="preserve"> (</w:t>
      </w:r>
      <w:r w:rsidRPr="007A179C">
        <w:rPr>
          <w:b/>
          <w:bCs/>
          <w:sz w:val="24"/>
          <w:szCs w:val="24"/>
        </w:rPr>
        <w:t>743812</w:t>
      </w:r>
      <w:r>
        <w:rPr>
          <w:b/>
          <w:bCs/>
          <w:sz w:val="24"/>
          <w:szCs w:val="24"/>
        </w:rPr>
        <w:t>)</w:t>
      </w:r>
    </w:p>
    <w:p w14:paraId="3F1665B7" w14:textId="77777777" w:rsidR="00C013B5" w:rsidRDefault="00C013B5" w:rsidP="00C013B5">
      <w:pPr>
        <w:jc w:val="center"/>
        <w:rPr>
          <w:b/>
          <w:bCs/>
          <w:sz w:val="24"/>
          <w:szCs w:val="24"/>
        </w:rPr>
      </w:pPr>
    </w:p>
    <w:p w14:paraId="5948F838" w14:textId="77777777" w:rsidR="00C013B5" w:rsidRPr="00E6425F" w:rsidRDefault="00C013B5" w:rsidP="00C013B5">
      <w:pPr>
        <w:ind w:firstLine="426"/>
        <w:jc w:val="both"/>
        <w:rPr>
          <w:sz w:val="24"/>
          <w:szCs w:val="24"/>
        </w:rPr>
      </w:pPr>
      <w:r w:rsidRPr="00E6425F">
        <w:rPr>
          <w:sz w:val="24"/>
          <w:szCs w:val="24"/>
        </w:rPr>
        <w:t>Gauti tiekėjų pasiūlymai / klausimai / pastabos dėl planuojamo pirkimo techninės specifikacijos projekto.</w:t>
      </w:r>
    </w:p>
    <w:p w14:paraId="5F6754E8" w14:textId="77777777" w:rsidR="00C013B5" w:rsidRDefault="00C013B5" w:rsidP="00C013B5">
      <w:pPr>
        <w:jc w:val="center"/>
        <w:rPr>
          <w:b/>
          <w:bCs/>
          <w:sz w:val="24"/>
          <w:szCs w:val="24"/>
        </w:rPr>
      </w:pPr>
    </w:p>
    <w:p w14:paraId="1A313CF2" w14:textId="436ABDC2" w:rsidR="00C013B5" w:rsidRDefault="00C013B5" w:rsidP="00C013B5">
      <w:pPr>
        <w:ind w:firstLine="426"/>
      </w:pPr>
      <w:r w:rsidRPr="00D75C18">
        <w:rPr>
          <w:sz w:val="24"/>
          <w:szCs w:val="24"/>
        </w:rPr>
        <w:t xml:space="preserve">Teikiame atsakymus </w:t>
      </w:r>
      <w:r w:rsidRPr="008C317B">
        <w:rPr>
          <w:b/>
          <w:bCs/>
          <w:sz w:val="24"/>
          <w:szCs w:val="24"/>
        </w:rPr>
        <w:t xml:space="preserve">dėl </w:t>
      </w:r>
      <w:r w:rsidR="00982E40" w:rsidRPr="008C317B">
        <w:rPr>
          <w:b/>
          <w:bCs/>
          <w:sz w:val="24"/>
          <w:szCs w:val="24"/>
        </w:rPr>
        <w:t>techninių</w:t>
      </w:r>
      <w:r w:rsidRPr="008C317B">
        <w:rPr>
          <w:b/>
          <w:bCs/>
          <w:sz w:val="24"/>
          <w:szCs w:val="24"/>
        </w:rPr>
        <w:t xml:space="preserve"> reikalavimų</w:t>
      </w:r>
      <w:r w:rsidRPr="00D75C18">
        <w:rPr>
          <w:sz w:val="24"/>
          <w:szCs w:val="24"/>
        </w:rPr>
        <w:t>:</w:t>
      </w:r>
    </w:p>
    <w:p w14:paraId="03CCF9C1" w14:textId="77777777" w:rsidR="00C013B5" w:rsidRDefault="00C013B5" w:rsidP="003A72D4">
      <w:pPr>
        <w:jc w:val="center"/>
        <w:rPr>
          <w:b/>
          <w:sz w:val="28"/>
          <w:szCs w:val="24"/>
        </w:rPr>
      </w:pPr>
    </w:p>
    <w:tbl>
      <w:tblPr>
        <w:tblStyle w:val="Lentelstinklelis"/>
        <w:tblW w:w="0" w:type="auto"/>
        <w:tblLook w:val="04A0" w:firstRow="1" w:lastRow="0" w:firstColumn="1" w:lastColumn="0" w:noHBand="0" w:noVBand="1"/>
      </w:tblPr>
      <w:tblGrid>
        <w:gridCol w:w="2972"/>
        <w:gridCol w:w="3827"/>
        <w:gridCol w:w="3828"/>
      </w:tblGrid>
      <w:tr w:rsidR="00C013B5" w:rsidRPr="009B4B37" w14:paraId="43BC18FA" w14:textId="77777777" w:rsidTr="00982E40">
        <w:trPr>
          <w:trHeight w:val="281"/>
        </w:trPr>
        <w:tc>
          <w:tcPr>
            <w:tcW w:w="2972" w:type="dxa"/>
          </w:tcPr>
          <w:p w14:paraId="391A4752" w14:textId="2FE7C3BB" w:rsidR="00C013B5" w:rsidRPr="009B4B37" w:rsidRDefault="00982E40" w:rsidP="003A72D4">
            <w:pPr>
              <w:jc w:val="both"/>
              <w:rPr>
                <w:b/>
                <w:color w:val="0070C0"/>
                <w:sz w:val="24"/>
                <w:szCs w:val="24"/>
              </w:rPr>
            </w:pPr>
            <w:r>
              <w:rPr>
                <w:b/>
                <w:color w:val="000000" w:themeColor="text1"/>
                <w:sz w:val="24"/>
                <w:szCs w:val="24"/>
              </w:rPr>
              <w:t>Techninių reikalavimų punktas</w:t>
            </w:r>
          </w:p>
        </w:tc>
        <w:tc>
          <w:tcPr>
            <w:tcW w:w="3827" w:type="dxa"/>
          </w:tcPr>
          <w:p w14:paraId="402ED83A" w14:textId="4541C827" w:rsidR="00C013B5" w:rsidRPr="009B4B37" w:rsidRDefault="00982E40" w:rsidP="003A72D4">
            <w:pPr>
              <w:jc w:val="both"/>
              <w:rPr>
                <w:b/>
                <w:color w:val="000000" w:themeColor="text1"/>
                <w:sz w:val="24"/>
                <w:szCs w:val="24"/>
              </w:rPr>
            </w:pPr>
            <w:r>
              <w:rPr>
                <w:b/>
                <w:color w:val="000000" w:themeColor="text1"/>
                <w:sz w:val="24"/>
                <w:szCs w:val="24"/>
              </w:rPr>
              <w:t>Tiekėjo k</w:t>
            </w:r>
            <w:r w:rsidR="00C013B5" w:rsidRPr="009B4B37">
              <w:rPr>
                <w:b/>
                <w:color w:val="000000" w:themeColor="text1"/>
                <w:sz w:val="24"/>
                <w:szCs w:val="24"/>
              </w:rPr>
              <w:t>lausimas / siūlymas</w:t>
            </w:r>
          </w:p>
        </w:tc>
        <w:tc>
          <w:tcPr>
            <w:tcW w:w="3828" w:type="dxa"/>
          </w:tcPr>
          <w:p w14:paraId="6029EED4" w14:textId="00ED44F2" w:rsidR="00C013B5" w:rsidRPr="009B4B37" w:rsidRDefault="00982E40" w:rsidP="003A72D4">
            <w:pPr>
              <w:jc w:val="both"/>
              <w:rPr>
                <w:b/>
                <w:color w:val="000000" w:themeColor="text1"/>
                <w:sz w:val="24"/>
                <w:szCs w:val="24"/>
              </w:rPr>
            </w:pPr>
            <w:r>
              <w:rPr>
                <w:b/>
                <w:color w:val="000000" w:themeColor="text1"/>
                <w:sz w:val="24"/>
                <w:szCs w:val="24"/>
              </w:rPr>
              <w:t>Perkančiosios organizacijos a</w:t>
            </w:r>
            <w:r w:rsidR="00C013B5" w:rsidRPr="009B4B37">
              <w:rPr>
                <w:b/>
                <w:color w:val="000000" w:themeColor="text1"/>
                <w:sz w:val="24"/>
                <w:szCs w:val="24"/>
              </w:rPr>
              <w:t>tsakymas</w:t>
            </w:r>
          </w:p>
        </w:tc>
      </w:tr>
      <w:tr w:rsidR="00C013B5" w:rsidRPr="009B4B37" w14:paraId="39EF845A" w14:textId="77777777" w:rsidTr="00982E40">
        <w:tc>
          <w:tcPr>
            <w:tcW w:w="2972" w:type="dxa"/>
          </w:tcPr>
          <w:p w14:paraId="229DAD97" w14:textId="6D3E35FD" w:rsidR="00C013B5" w:rsidRPr="009B4B37" w:rsidRDefault="00C013B5" w:rsidP="003A72D4">
            <w:pPr>
              <w:jc w:val="both"/>
              <w:rPr>
                <w:sz w:val="24"/>
                <w:szCs w:val="24"/>
              </w:rPr>
            </w:pPr>
            <w:r w:rsidRPr="009B4B37">
              <w:rPr>
                <w:sz w:val="24"/>
                <w:szCs w:val="24"/>
              </w:rPr>
              <w:t>2 p.: „Matuojami ne mažiau kaip šie parametr</w:t>
            </w:r>
            <w:r>
              <w:rPr>
                <w:sz w:val="24"/>
                <w:szCs w:val="24"/>
              </w:rPr>
              <w:t>ai</w:t>
            </w:r>
            <w:r w:rsidRPr="009B4B37">
              <w:rPr>
                <w:sz w:val="24"/>
                <w:szCs w:val="24"/>
              </w:rPr>
              <w:t>: WBC, RBC, HGB,  HCT, MCV, MCH, MCHC, PLT, RDW,  PDW,  MPV, PCT, monocitai (#, %), limfocitai (#, %), granuliocitai (#, %) arba eozinofilai (#, %), neutrofilai (#, %), bazofilai (#, %) ir CRB (mg/L).”</w:t>
            </w:r>
          </w:p>
        </w:tc>
        <w:tc>
          <w:tcPr>
            <w:tcW w:w="3827" w:type="dxa"/>
          </w:tcPr>
          <w:p w14:paraId="569B4593" w14:textId="32A31A85" w:rsidR="00C013B5" w:rsidRPr="009B4B37" w:rsidRDefault="00982E40" w:rsidP="009B4B37">
            <w:pPr>
              <w:jc w:val="both"/>
              <w:rPr>
                <w:sz w:val="24"/>
                <w:szCs w:val="24"/>
              </w:rPr>
            </w:pPr>
            <w:r>
              <w:rPr>
                <w:sz w:val="24"/>
                <w:szCs w:val="24"/>
              </w:rPr>
              <w:t xml:space="preserve">Tiekėjas prašo </w:t>
            </w:r>
            <w:r w:rsidR="00C013B5" w:rsidRPr="009B4B37">
              <w:rPr>
                <w:sz w:val="24"/>
                <w:szCs w:val="24"/>
              </w:rPr>
              <w:t>punktą nr. 2, keisti sekančiai:</w:t>
            </w:r>
          </w:p>
          <w:p w14:paraId="5ED8C874" w14:textId="1FCA6DE3" w:rsidR="00C013B5" w:rsidRPr="009B4B37" w:rsidRDefault="00C013B5" w:rsidP="009B4B37">
            <w:pPr>
              <w:jc w:val="both"/>
              <w:rPr>
                <w:i/>
                <w:sz w:val="24"/>
                <w:szCs w:val="24"/>
              </w:rPr>
            </w:pPr>
            <w:r w:rsidRPr="009B4B37">
              <w:rPr>
                <w:i/>
                <w:sz w:val="24"/>
                <w:szCs w:val="24"/>
              </w:rPr>
              <w:t xml:space="preserve">          “Matuojami ne mažiau kaip šie parametrai: WBC, RBC, HGB,  HCT, MCV, MCH, MCHC, PLT,</w:t>
            </w:r>
            <w:r w:rsidRPr="009B4B37">
              <w:rPr>
                <w:i/>
                <w:sz w:val="24"/>
                <w:szCs w:val="24"/>
                <w:u w:val="single"/>
              </w:rPr>
              <w:t xml:space="preserve"> </w:t>
            </w:r>
            <w:r w:rsidRPr="009B4B37">
              <w:rPr>
                <w:b/>
                <w:i/>
                <w:sz w:val="24"/>
                <w:szCs w:val="24"/>
                <w:u w:val="single"/>
              </w:rPr>
              <w:t>RDW arba RDW-SD, RDW-CV</w:t>
            </w:r>
            <w:r w:rsidRPr="009B4B37">
              <w:rPr>
                <w:i/>
                <w:sz w:val="24"/>
                <w:szCs w:val="24"/>
              </w:rPr>
              <w:t>,  PDW,  MPV, PCT, monocitai (#, %), limfocitai (#, %), granuliocitai (#, %) arba eozinofilai (#, %), neutrofilai (#, %), bazofilai (#, %) ir CRB (mg/L). “</w:t>
            </w:r>
          </w:p>
        </w:tc>
        <w:tc>
          <w:tcPr>
            <w:tcW w:w="3828" w:type="dxa"/>
          </w:tcPr>
          <w:p w14:paraId="712CDBDB" w14:textId="7934DE7D" w:rsidR="00C013B5" w:rsidRPr="009B4B37" w:rsidRDefault="00982E40" w:rsidP="00B64F83">
            <w:pPr>
              <w:jc w:val="both"/>
              <w:rPr>
                <w:sz w:val="24"/>
                <w:szCs w:val="24"/>
              </w:rPr>
            </w:pPr>
            <w:r>
              <w:rPr>
                <w:sz w:val="24"/>
                <w:szCs w:val="24"/>
              </w:rPr>
              <w:t xml:space="preserve">Atsižvelgiant į tiekėjo prašymą, </w:t>
            </w:r>
            <w:r w:rsidR="00C013B5" w:rsidRPr="009B4B37">
              <w:rPr>
                <w:sz w:val="24"/>
                <w:szCs w:val="24"/>
              </w:rPr>
              <w:t>koreguo</w:t>
            </w:r>
            <w:r>
              <w:rPr>
                <w:sz w:val="24"/>
                <w:szCs w:val="24"/>
              </w:rPr>
              <w:t>jamas</w:t>
            </w:r>
            <w:r w:rsidR="00C013B5" w:rsidRPr="009B4B37">
              <w:rPr>
                <w:sz w:val="24"/>
                <w:szCs w:val="24"/>
              </w:rPr>
              <w:t xml:space="preserve"> </w:t>
            </w:r>
            <w:r>
              <w:rPr>
                <w:sz w:val="24"/>
                <w:szCs w:val="24"/>
              </w:rPr>
              <w:t>techninių reikalavimų</w:t>
            </w:r>
            <w:r w:rsidR="00C013B5" w:rsidRPr="009B4B37">
              <w:rPr>
                <w:sz w:val="24"/>
                <w:szCs w:val="24"/>
              </w:rPr>
              <w:t xml:space="preserve"> 2 p</w:t>
            </w:r>
            <w:r>
              <w:rPr>
                <w:sz w:val="24"/>
                <w:szCs w:val="24"/>
              </w:rPr>
              <w:t>unktas</w:t>
            </w:r>
            <w:r w:rsidR="00C013B5" w:rsidRPr="009B4B37">
              <w:rPr>
                <w:sz w:val="24"/>
                <w:szCs w:val="24"/>
              </w:rPr>
              <w:t xml:space="preserve"> ir išdėstom</w:t>
            </w:r>
            <w:r>
              <w:rPr>
                <w:sz w:val="24"/>
                <w:szCs w:val="24"/>
              </w:rPr>
              <w:t>as</w:t>
            </w:r>
            <w:r w:rsidR="00C013B5" w:rsidRPr="009B4B37">
              <w:rPr>
                <w:sz w:val="24"/>
                <w:szCs w:val="24"/>
              </w:rPr>
              <w:t xml:space="preserve"> tai</w:t>
            </w:r>
            <w:r>
              <w:rPr>
                <w:sz w:val="24"/>
                <w:szCs w:val="24"/>
              </w:rPr>
              <w:t>p</w:t>
            </w:r>
            <w:r w:rsidR="00C013B5" w:rsidRPr="009B4B37">
              <w:rPr>
                <w:sz w:val="24"/>
                <w:szCs w:val="24"/>
              </w:rPr>
              <w:t xml:space="preserve">: </w:t>
            </w:r>
          </w:p>
          <w:p w14:paraId="6AD9A082" w14:textId="60FB5C30" w:rsidR="00C013B5" w:rsidRPr="009B4B37" w:rsidRDefault="00C013B5" w:rsidP="00B64F83">
            <w:pPr>
              <w:jc w:val="both"/>
              <w:rPr>
                <w:sz w:val="24"/>
                <w:szCs w:val="24"/>
              </w:rPr>
            </w:pPr>
            <w:r w:rsidRPr="009B4B37">
              <w:rPr>
                <w:sz w:val="24"/>
                <w:szCs w:val="24"/>
              </w:rPr>
              <w:t>“Matuojami ne mažiau kaip šie parametrai: WBC, RBC, HGB,  HCT, MCV, MCH, MCHC, PLT</w:t>
            </w:r>
            <w:r w:rsidRPr="009B4B37">
              <w:rPr>
                <w:color w:val="00B050"/>
                <w:sz w:val="24"/>
                <w:szCs w:val="24"/>
              </w:rPr>
              <w:t xml:space="preserve">, </w:t>
            </w:r>
            <w:r w:rsidRPr="009B4B37">
              <w:rPr>
                <w:bCs/>
                <w:color w:val="00B050"/>
                <w:sz w:val="24"/>
                <w:szCs w:val="24"/>
              </w:rPr>
              <w:t>RDW arba RDW-SD, RDW-CV</w:t>
            </w:r>
            <w:r w:rsidRPr="009B4B37">
              <w:rPr>
                <w:sz w:val="24"/>
                <w:szCs w:val="24"/>
              </w:rPr>
              <w:t>,  PDW,  MPV, PCT, monocitai (#, %), limfocitai (#, %), granuliocitai (#, %) arba eozinofilai (#, %), neutrofilai (#, %), bazofilai (#, %) ir CRB (mg/L). “</w:t>
            </w:r>
          </w:p>
        </w:tc>
      </w:tr>
      <w:tr w:rsidR="00982E40" w:rsidRPr="009B4B37" w14:paraId="5D272F3F" w14:textId="77777777" w:rsidTr="007375D6">
        <w:tc>
          <w:tcPr>
            <w:tcW w:w="2972" w:type="dxa"/>
          </w:tcPr>
          <w:p w14:paraId="5BC93CB3" w14:textId="77777777" w:rsidR="00982E40" w:rsidRDefault="00982E40" w:rsidP="007375D6">
            <w:pPr>
              <w:jc w:val="both"/>
              <w:rPr>
                <w:sz w:val="24"/>
                <w:szCs w:val="24"/>
              </w:rPr>
            </w:pPr>
            <w:r>
              <w:rPr>
                <w:sz w:val="24"/>
                <w:szCs w:val="24"/>
              </w:rPr>
              <w:t xml:space="preserve">3 p.: „Atrankiniai parametrai kraujo tepinėliams: </w:t>
            </w:r>
            <w:r w:rsidRPr="00034F23">
              <w:rPr>
                <w:sz w:val="24"/>
                <w:szCs w:val="24"/>
              </w:rPr>
              <w:t>Matuojami atipiniai limfocitai, didelės nesubrendusios ląstelės/nesubrendę granuliocitai, blastai arba lygiaverčiai parametrai, arba lygiaverčiai įspėjamieji signalai (flags).</w:t>
            </w:r>
            <w:r>
              <w:rPr>
                <w:sz w:val="24"/>
                <w:szCs w:val="24"/>
              </w:rPr>
              <w:t>“</w:t>
            </w:r>
          </w:p>
        </w:tc>
        <w:tc>
          <w:tcPr>
            <w:tcW w:w="3827" w:type="dxa"/>
          </w:tcPr>
          <w:p w14:paraId="522A8527" w14:textId="6BDFDE29" w:rsidR="00982E40" w:rsidRPr="00034F23" w:rsidRDefault="00982E40" w:rsidP="00982E40">
            <w:pPr>
              <w:pStyle w:val="Default"/>
              <w:jc w:val="both"/>
              <w:rPr>
                <w:b/>
              </w:rPr>
            </w:pPr>
            <w:r w:rsidRPr="00982E40">
              <w:rPr>
                <w:lang w:val="lt-LT"/>
              </w:rPr>
              <w:t>Tiekėjas prašo</w:t>
            </w:r>
            <w:r w:rsidRPr="00982E40">
              <w:rPr>
                <w:lang w:val="lt-LT"/>
              </w:rPr>
              <w:t xml:space="preserve"> patikslinti </w:t>
            </w:r>
            <w:r w:rsidRPr="00982E40">
              <w:rPr>
                <w:b/>
                <w:i/>
                <w:iCs/>
                <w:lang w:val="lt-LT"/>
              </w:rPr>
              <w:t>Technini</w:t>
            </w:r>
            <w:r w:rsidRPr="00982E40">
              <w:rPr>
                <w:b/>
                <w:i/>
                <w:iCs/>
                <w:lang w:val="lt-LT"/>
              </w:rPr>
              <w:t>ų</w:t>
            </w:r>
            <w:r w:rsidRPr="00982E40">
              <w:rPr>
                <w:b/>
                <w:i/>
                <w:iCs/>
                <w:lang w:val="lt-LT"/>
              </w:rPr>
              <w:t xml:space="preserve"> reikalavim</w:t>
            </w:r>
            <w:r w:rsidRPr="00982E40">
              <w:rPr>
                <w:b/>
                <w:i/>
                <w:iCs/>
                <w:lang w:val="lt-LT"/>
              </w:rPr>
              <w:t>ų punktą</w:t>
            </w:r>
            <w:r w:rsidRPr="00982E40">
              <w:rPr>
                <w:b/>
                <w:i/>
                <w:iCs/>
                <w:lang w:val="lt-LT"/>
              </w:rPr>
              <w:t xml:space="preserve"> Nr. 3. </w:t>
            </w:r>
            <w:r w:rsidRPr="00982E40">
              <w:rPr>
                <w:i/>
                <w:iCs/>
                <w:lang w:val="lt-LT"/>
              </w:rPr>
              <w:t xml:space="preserve">Matuojami atipiniai limfocitai, didelės nesubrendusios ląstelės/nesubrendę </w:t>
            </w:r>
            <w:proofErr w:type="spellStart"/>
            <w:r w:rsidRPr="00982E40">
              <w:rPr>
                <w:i/>
                <w:iCs/>
                <w:lang w:val="lt-LT"/>
              </w:rPr>
              <w:t>granuliocitai</w:t>
            </w:r>
            <w:proofErr w:type="spellEnd"/>
            <w:r w:rsidRPr="00982E40">
              <w:rPr>
                <w:i/>
                <w:iCs/>
                <w:lang w:val="lt-LT"/>
              </w:rPr>
              <w:t xml:space="preserve">, </w:t>
            </w:r>
            <w:proofErr w:type="spellStart"/>
            <w:r w:rsidRPr="00982E40">
              <w:rPr>
                <w:i/>
                <w:iCs/>
                <w:lang w:val="lt-LT"/>
              </w:rPr>
              <w:t>blastai</w:t>
            </w:r>
            <w:proofErr w:type="spellEnd"/>
            <w:r w:rsidRPr="00982E40">
              <w:rPr>
                <w:i/>
                <w:iCs/>
                <w:lang w:val="lt-LT"/>
              </w:rPr>
              <w:t xml:space="preserve"> arba lygiaverčiai parametrai, arba lygiaverčiai įspėjamieji signalai (</w:t>
            </w:r>
            <w:proofErr w:type="spellStart"/>
            <w:r w:rsidRPr="00982E40">
              <w:rPr>
                <w:i/>
                <w:iCs/>
                <w:lang w:val="lt-LT"/>
              </w:rPr>
              <w:t>flags</w:t>
            </w:r>
            <w:proofErr w:type="spellEnd"/>
            <w:r w:rsidRPr="00982E40">
              <w:rPr>
                <w:i/>
                <w:iCs/>
                <w:lang w:val="lt-LT"/>
              </w:rPr>
              <w:t xml:space="preserve">), </w:t>
            </w:r>
            <w:r w:rsidRPr="00982E40">
              <w:rPr>
                <w:lang w:val="lt-LT"/>
              </w:rPr>
              <w:t>kokie parametrai bus laikomi lygiaverčiais.</w:t>
            </w:r>
          </w:p>
        </w:tc>
        <w:tc>
          <w:tcPr>
            <w:tcW w:w="3828" w:type="dxa"/>
          </w:tcPr>
          <w:p w14:paraId="4443191C" w14:textId="43AAC143" w:rsidR="00982E40" w:rsidRDefault="00982E40" w:rsidP="007375D6">
            <w:pPr>
              <w:jc w:val="both"/>
              <w:rPr>
                <w:sz w:val="24"/>
                <w:szCs w:val="24"/>
              </w:rPr>
            </w:pPr>
            <w:r>
              <w:rPr>
                <w:sz w:val="24"/>
                <w:szCs w:val="24"/>
              </w:rPr>
              <w:t xml:space="preserve">Perkančioji organizacija </w:t>
            </w:r>
            <w:r w:rsidRPr="00982E40">
              <w:rPr>
                <w:color w:val="00B050"/>
                <w:sz w:val="24"/>
                <w:szCs w:val="24"/>
              </w:rPr>
              <w:t xml:space="preserve">nusprendė naikinti techninių reikalavimų </w:t>
            </w:r>
            <w:r w:rsidRPr="00982E40">
              <w:rPr>
                <w:color w:val="00B050"/>
                <w:sz w:val="24"/>
                <w:szCs w:val="24"/>
              </w:rPr>
              <w:t>3 p</w:t>
            </w:r>
            <w:r w:rsidRPr="00982E40">
              <w:rPr>
                <w:color w:val="00B050"/>
                <w:sz w:val="24"/>
                <w:szCs w:val="24"/>
              </w:rPr>
              <w:t>unktą.</w:t>
            </w:r>
          </w:p>
        </w:tc>
      </w:tr>
      <w:tr w:rsidR="00C013B5" w:rsidRPr="009B4B37" w14:paraId="0E4CC647" w14:textId="77777777" w:rsidTr="00982E40">
        <w:tc>
          <w:tcPr>
            <w:tcW w:w="2972" w:type="dxa"/>
          </w:tcPr>
          <w:p w14:paraId="0CC7936C" w14:textId="54DD6F4A" w:rsidR="00C013B5" w:rsidRPr="009B4B37" w:rsidRDefault="00C013B5" w:rsidP="00BC3711">
            <w:pPr>
              <w:jc w:val="both"/>
              <w:rPr>
                <w:sz w:val="24"/>
                <w:szCs w:val="24"/>
              </w:rPr>
            </w:pPr>
            <w:r>
              <w:rPr>
                <w:sz w:val="24"/>
                <w:szCs w:val="24"/>
              </w:rPr>
              <w:t>8 p.: „</w:t>
            </w:r>
            <w:r w:rsidRPr="00B81C52">
              <w:rPr>
                <w:sz w:val="24"/>
                <w:szCs w:val="24"/>
              </w:rPr>
              <w:t>Mėginių identifikavimas</w:t>
            </w:r>
            <w:r>
              <w:rPr>
                <w:sz w:val="24"/>
                <w:szCs w:val="24"/>
              </w:rPr>
              <w:t xml:space="preserve">: Mėginių ir kontrolinio kraujo mėgintuvėlių </w:t>
            </w:r>
            <w:r w:rsidRPr="005676F9">
              <w:rPr>
                <w:sz w:val="24"/>
                <w:szCs w:val="24"/>
              </w:rPr>
              <w:t>identifikavimas atliekamas nuskaitant brūkšninį kodą</w:t>
            </w:r>
            <w:r>
              <w:rPr>
                <w:sz w:val="24"/>
                <w:szCs w:val="24"/>
              </w:rPr>
              <w:t>.“</w:t>
            </w:r>
          </w:p>
        </w:tc>
        <w:tc>
          <w:tcPr>
            <w:tcW w:w="3827" w:type="dxa"/>
          </w:tcPr>
          <w:p w14:paraId="5F6F4789" w14:textId="355F5DEA" w:rsidR="00C013B5" w:rsidRPr="00EC562F" w:rsidRDefault="00EC562F" w:rsidP="00EC562F">
            <w:pPr>
              <w:pStyle w:val="Default"/>
              <w:jc w:val="both"/>
              <w:rPr>
                <w:noProof/>
                <w:color w:val="auto"/>
                <w:lang w:val="lt-LT"/>
              </w:rPr>
            </w:pPr>
            <w:r>
              <w:rPr>
                <w:noProof/>
                <w:color w:val="auto"/>
                <w:lang w:val="lt-LT"/>
              </w:rPr>
              <w:t>Tiekėjas prašo</w:t>
            </w:r>
            <w:r w:rsidR="00C013B5" w:rsidRPr="00065F1B">
              <w:rPr>
                <w:noProof/>
                <w:color w:val="auto"/>
                <w:lang w:val="lt-LT"/>
              </w:rPr>
              <w:t xml:space="preserve"> patikslinti </w:t>
            </w:r>
            <w:r>
              <w:rPr>
                <w:noProof/>
                <w:color w:val="auto"/>
                <w:lang w:val="lt-LT"/>
              </w:rPr>
              <w:t>techninių reikalavimų 8</w:t>
            </w:r>
            <w:r w:rsidR="00C013B5" w:rsidRPr="00065F1B">
              <w:rPr>
                <w:noProof/>
                <w:color w:val="auto"/>
                <w:lang w:val="lt-LT"/>
              </w:rPr>
              <w:t xml:space="preserve"> punktą, nes dauguma tiekėjų ir gamintojų supranta skirtingai, prašome konkrečiai detalizuoti. Jūsų ekspertai VMSA, pirkimo numeris 635129 nurodo,kad kokybės kontrolės mėginių identifikavimas atliekamas naudojant brūkšninių kodų skaitytyvą ir nuskaitant QR kodą. Jie laiko, kad QR kodas yra pažangesnė brūkšninio kodo versija, bet tai reikalauja atlikti papildomas funkcija analizatoriaus nustatymuose. </w:t>
            </w:r>
          </w:p>
        </w:tc>
        <w:tc>
          <w:tcPr>
            <w:tcW w:w="3828" w:type="dxa"/>
          </w:tcPr>
          <w:p w14:paraId="529CA35C" w14:textId="7D299B50" w:rsidR="00C013B5" w:rsidRDefault="00EC562F" w:rsidP="00831F82">
            <w:pPr>
              <w:jc w:val="both"/>
              <w:rPr>
                <w:sz w:val="24"/>
                <w:szCs w:val="24"/>
              </w:rPr>
            </w:pPr>
            <w:r>
              <w:rPr>
                <w:sz w:val="24"/>
                <w:szCs w:val="24"/>
              </w:rPr>
              <w:t xml:space="preserve">Perkančioji organizacija detalizuoja techninių reikalavimų </w:t>
            </w:r>
            <w:r w:rsidR="00C013B5">
              <w:rPr>
                <w:sz w:val="24"/>
                <w:szCs w:val="24"/>
              </w:rPr>
              <w:t>8 p</w:t>
            </w:r>
            <w:r>
              <w:rPr>
                <w:sz w:val="24"/>
                <w:szCs w:val="24"/>
              </w:rPr>
              <w:t>unktą</w:t>
            </w:r>
            <w:r w:rsidR="00C013B5">
              <w:rPr>
                <w:sz w:val="24"/>
                <w:szCs w:val="24"/>
              </w:rPr>
              <w:t xml:space="preserve"> ir išdėsto</w:t>
            </w:r>
            <w:r>
              <w:rPr>
                <w:sz w:val="24"/>
                <w:szCs w:val="24"/>
              </w:rPr>
              <w:t xml:space="preserve"> jį</w:t>
            </w:r>
            <w:r w:rsidR="00C013B5">
              <w:rPr>
                <w:sz w:val="24"/>
                <w:szCs w:val="24"/>
              </w:rPr>
              <w:t xml:space="preserve"> taip:</w:t>
            </w:r>
          </w:p>
          <w:p w14:paraId="7E274344" w14:textId="77777777" w:rsidR="00C013B5" w:rsidRDefault="00C013B5" w:rsidP="00831F82">
            <w:pPr>
              <w:jc w:val="both"/>
              <w:rPr>
                <w:sz w:val="24"/>
                <w:szCs w:val="24"/>
              </w:rPr>
            </w:pPr>
            <w:r>
              <w:rPr>
                <w:sz w:val="24"/>
                <w:szCs w:val="24"/>
              </w:rPr>
              <w:t>„</w:t>
            </w:r>
            <w:r w:rsidRPr="00B81C52">
              <w:rPr>
                <w:sz w:val="24"/>
                <w:szCs w:val="24"/>
              </w:rPr>
              <w:t>Mėginių identifikavimas</w:t>
            </w:r>
            <w:r>
              <w:rPr>
                <w:sz w:val="24"/>
                <w:szCs w:val="24"/>
              </w:rPr>
              <w:t xml:space="preserve">: </w:t>
            </w:r>
          </w:p>
          <w:p w14:paraId="19A95626" w14:textId="1ED71ADC" w:rsidR="00C013B5" w:rsidRPr="00831F82" w:rsidRDefault="00C013B5" w:rsidP="00831F82">
            <w:pPr>
              <w:pStyle w:val="Sraopastraipa"/>
              <w:numPr>
                <w:ilvl w:val="0"/>
                <w:numId w:val="2"/>
              </w:numPr>
              <w:ind w:left="0" w:firstLine="0"/>
              <w:jc w:val="both"/>
              <w:rPr>
                <w:sz w:val="24"/>
                <w:szCs w:val="24"/>
              </w:rPr>
            </w:pPr>
            <w:r w:rsidRPr="00831F82">
              <w:rPr>
                <w:sz w:val="24"/>
                <w:szCs w:val="24"/>
              </w:rPr>
              <w:t>mėginių identifikavimas atliekamas nuskaitant brūkšninį kodą;</w:t>
            </w:r>
          </w:p>
          <w:p w14:paraId="7C70CBF1" w14:textId="6704EF2D" w:rsidR="00C013B5" w:rsidRPr="00831F82" w:rsidRDefault="00C013B5" w:rsidP="00831F82">
            <w:pPr>
              <w:pStyle w:val="Sraopastraipa"/>
              <w:numPr>
                <w:ilvl w:val="0"/>
                <w:numId w:val="2"/>
              </w:numPr>
              <w:ind w:left="0" w:firstLine="0"/>
              <w:jc w:val="both"/>
              <w:rPr>
                <w:sz w:val="24"/>
                <w:szCs w:val="24"/>
              </w:rPr>
            </w:pPr>
            <w:r w:rsidRPr="00EC562F">
              <w:rPr>
                <w:color w:val="00B050"/>
                <w:sz w:val="24"/>
                <w:szCs w:val="24"/>
              </w:rPr>
              <w:t>kontrolinio kraujo mėgintuvėlių identifikavimas atliekamas nuskaitant brūkšninį kodą arba QR kodą arba atpažinimas integruotu radijo dažnio skaitytuvu (RFID).</w:t>
            </w:r>
            <w:r w:rsidRPr="00065F1B">
              <w:rPr>
                <w:sz w:val="24"/>
                <w:szCs w:val="24"/>
              </w:rPr>
              <w:t>“</w:t>
            </w:r>
          </w:p>
        </w:tc>
      </w:tr>
    </w:tbl>
    <w:p w14:paraId="520BB69C" w14:textId="77777777" w:rsidR="003A72D4" w:rsidRDefault="003A72D4" w:rsidP="003A72D4">
      <w:pPr>
        <w:jc w:val="both"/>
        <w:rPr>
          <w:sz w:val="24"/>
          <w:szCs w:val="24"/>
        </w:rPr>
      </w:pPr>
    </w:p>
    <w:p w14:paraId="60A0128E" w14:textId="57D297E2" w:rsidR="00982E40" w:rsidRDefault="00982E40" w:rsidP="003A72D4">
      <w:pPr>
        <w:jc w:val="both"/>
        <w:rPr>
          <w:sz w:val="24"/>
          <w:szCs w:val="24"/>
        </w:rPr>
      </w:pPr>
      <w:r>
        <w:rPr>
          <w:sz w:val="24"/>
          <w:szCs w:val="24"/>
        </w:rPr>
        <w:t xml:space="preserve">Teikiame atsakymus </w:t>
      </w:r>
      <w:r w:rsidRPr="008C317B">
        <w:rPr>
          <w:b/>
          <w:bCs/>
          <w:sz w:val="24"/>
          <w:szCs w:val="24"/>
        </w:rPr>
        <w:t>dėl kiekybės kriterijų</w:t>
      </w:r>
    </w:p>
    <w:p w14:paraId="7FA8D12D" w14:textId="77777777" w:rsidR="00982E40" w:rsidRDefault="00982E40" w:rsidP="003A72D4">
      <w:pPr>
        <w:jc w:val="both"/>
        <w:rPr>
          <w:sz w:val="24"/>
          <w:szCs w:val="24"/>
        </w:rPr>
      </w:pPr>
    </w:p>
    <w:tbl>
      <w:tblPr>
        <w:tblStyle w:val="Lentelstinklelis"/>
        <w:tblW w:w="0" w:type="auto"/>
        <w:tblLook w:val="04A0" w:firstRow="1" w:lastRow="0" w:firstColumn="1" w:lastColumn="0" w:noHBand="0" w:noVBand="1"/>
      </w:tblPr>
      <w:tblGrid>
        <w:gridCol w:w="2972"/>
        <w:gridCol w:w="3827"/>
        <w:gridCol w:w="3828"/>
      </w:tblGrid>
      <w:tr w:rsidR="00982E40" w:rsidRPr="00982E40" w14:paraId="0538AAFA" w14:textId="77777777" w:rsidTr="007375D6">
        <w:tc>
          <w:tcPr>
            <w:tcW w:w="2972" w:type="dxa"/>
          </w:tcPr>
          <w:p w14:paraId="4D8A7D28" w14:textId="77777777" w:rsidR="00982E40" w:rsidRPr="00982E40" w:rsidRDefault="00982E40" w:rsidP="00982E40">
            <w:pPr>
              <w:jc w:val="both"/>
              <w:rPr>
                <w:sz w:val="24"/>
                <w:szCs w:val="24"/>
              </w:rPr>
            </w:pPr>
          </w:p>
        </w:tc>
        <w:tc>
          <w:tcPr>
            <w:tcW w:w="3827" w:type="dxa"/>
          </w:tcPr>
          <w:p w14:paraId="54F05227" w14:textId="4EF1B5BC" w:rsidR="00982E40" w:rsidRPr="00982E40" w:rsidRDefault="00982E40" w:rsidP="00982E40">
            <w:pPr>
              <w:pStyle w:val="Default"/>
              <w:rPr>
                <w:lang w:val="lt-LT"/>
              </w:rPr>
            </w:pPr>
            <w:r w:rsidRPr="00982E40">
              <w:rPr>
                <w:b/>
                <w:color w:val="000000" w:themeColor="text1"/>
                <w:lang w:val="lt-LT"/>
              </w:rPr>
              <w:t>Tiekėjo klausimas / siūlymas</w:t>
            </w:r>
          </w:p>
        </w:tc>
        <w:tc>
          <w:tcPr>
            <w:tcW w:w="3828" w:type="dxa"/>
          </w:tcPr>
          <w:p w14:paraId="228C8E37" w14:textId="29D5D6A6" w:rsidR="00982E40" w:rsidRPr="00982E40" w:rsidRDefault="00982E40" w:rsidP="00982E40">
            <w:pPr>
              <w:jc w:val="both"/>
              <w:rPr>
                <w:sz w:val="24"/>
                <w:szCs w:val="24"/>
              </w:rPr>
            </w:pPr>
            <w:r w:rsidRPr="00982E40">
              <w:rPr>
                <w:b/>
                <w:color w:val="000000" w:themeColor="text1"/>
                <w:sz w:val="24"/>
                <w:szCs w:val="24"/>
              </w:rPr>
              <w:t>Perkančiosios organizacijos atsakymas</w:t>
            </w:r>
          </w:p>
        </w:tc>
      </w:tr>
      <w:tr w:rsidR="00982E40" w:rsidRPr="009B4B37" w14:paraId="25C00FC1" w14:textId="77777777" w:rsidTr="007375D6">
        <w:tc>
          <w:tcPr>
            <w:tcW w:w="2972" w:type="dxa"/>
          </w:tcPr>
          <w:p w14:paraId="5E3D425E" w14:textId="77777777" w:rsidR="00982E40" w:rsidRDefault="00982E40" w:rsidP="007375D6">
            <w:pPr>
              <w:jc w:val="both"/>
              <w:rPr>
                <w:sz w:val="24"/>
                <w:szCs w:val="24"/>
              </w:rPr>
            </w:pPr>
            <w:r>
              <w:rPr>
                <w:sz w:val="24"/>
                <w:szCs w:val="24"/>
              </w:rPr>
              <w:t>Kiekybės kriterijai</w:t>
            </w:r>
          </w:p>
        </w:tc>
        <w:tc>
          <w:tcPr>
            <w:tcW w:w="3827" w:type="dxa"/>
          </w:tcPr>
          <w:p w14:paraId="6F28069C" w14:textId="49C00183" w:rsidR="00982E40" w:rsidRPr="00034F23" w:rsidRDefault="00982E40" w:rsidP="00982E40">
            <w:pPr>
              <w:pStyle w:val="Default"/>
              <w:jc w:val="both"/>
              <w:rPr>
                <w:lang w:val="lt-LT"/>
              </w:rPr>
            </w:pPr>
            <w:r>
              <w:rPr>
                <w:lang w:val="lt-LT"/>
              </w:rPr>
              <w:t>Tiekėjas s</w:t>
            </w:r>
            <w:r w:rsidRPr="00034F23">
              <w:rPr>
                <w:lang w:val="lt-LT"/>
              </w:rPr>
              <w:t xml:space="preserve">iūlo skirti naudingumo taškų už pridėtinę analitinę vertę, kai analizatorius matuoja CRB daugiau kaip 300mg/l, siekiant stebėti gydymo atsaką stiprių infekcijų metu. Jei analizatoriaus maksimali CRB matavimo  riba yra tik 200mg/l, gydytojai negali tiksliai vertinti ir sekti stiprių infekcijų (sepsio) tendencijų ir atsaką į gydymą, todėl siūlome pridėti naudingumo taškų už pridėtinę analitinę naudą tiems tiekėjams, kurie gali pasiūlyti geresnę </w:t>
            </w:r>
            <w:r w:rsidRPr="00034F23">
              <w:rPr>
                <w:lang w:val="lt-LT"/>
              </w:rPr>
              <w:t>įrangą</w:t>
            </w:r>
            <w:r w:rsidRPr="00034F23">
              <w:rPr>
                <w:lang w:val="lt-LT"/>
              </w:rPr>
              <w:t xml:space="preserve"> su platesnėmis matavimo ribomis. </w:t>
            </w:r>
          </w:p>
        </w:tc>
        <w:tc>
          <w:tcPr>
            <w:tcW w:w="3828" w:type="dxa"/>
          </w:tcPr>
          <w:p w14:paraId="6D926F2D" w14:textId="6F600EB5" w:rsidR="00982E40" w:rsidRDefault="00982E40" w:rsidP="007375D6">
            <w:pPr>
              <w:jc w:val="both"/>
              <w:rPr>
                <w:sz w:val="24"/>
                <w:szCs w:val="24"/>
              </w:rPr>
            </w:pPr>
            <w:r>
              <w:rPr>
                <w:sz w:val="24"/>
                <w:szCs w:val="24"/>
              </w:rPr>
              <w:t>Atsižvelgiant į tai, kad Karoliniškių poliklinika yra pirminio lygio ASPĮ, ne stacionaras, toks kiekybės kriterijus nėra numatomas šiame pirkime.</w:t>
            </w:r>
            <w:r>
              <w:rPr>
                <w:sz w:val="24"/>
                <w:szCs w:val="24"/>
              </w:rPr>
              <w:t xml:space="preserve"> </w:t>
            </w:r>
            <w:r w:rsidRPr="008C317B">
              <w:rPr>
                <w:color w:val="FF0000"/>
                <w:sz w:val="24"/>
                <w:szCs w:val="24"/>
              </w:rPr>
              <w:t xml:space="preserve">Į tiekėjo </w:t>
            </w:r>
            <w:r w:rsidR="008C317B" w:rsidRPr="008C317B">
              <w:rPr>
                <w:color w:val="FF0000"/>
                <w:sz w:val="24"/>
                <w:szCs w:val="24"/>
              </w:rPr>
              <w:t>siūlymą atsižvelgta nebus.</w:t>
            </w:r>
          </w:p>
        </w:tc>
      </w:tr>
    </w:tbl>
    <w:p w14:paraId="2CA8AE8E" w14:textId="77777777" w:rsidR="00982E40" w:rsidRDefault="00982E40" w:rsidP="003A72D4">
      <w:pPr>
        <w:jc w:val="both"/>
        <w:rPr>
          <w:sz w:val="24"/>
          <w:szCs w:val="24"/>
        </w:rPr>
      </w:pPr>
    </w:p>
    <w:p w14:paraId="7B7CC30E" w14:textId="77777777" w:rsidR="00EC562F" w:rsidRDefault="00EC562F" w:rsidP="003A72D4">
      <w:pPr>
        <w:jc w:val="both"/>
        <w:rPr>
          <w:sz w:val="24"/>
          <w:szCs w:val="24"/>
        </w:rPr>
      </w:pPr>
    </w:p>
    <w:p w14:paraId="2F7C075A" w14:textId="77777777" w:rsidR="00EC562F" w:rsidRPr="001B7BE3" w:rsidRDefault="00EC562F" w:rsidP="00EC562F">
      <w:pPr>
        <w:ind w:firstLine="567"/>
        <w:jc w:val="both"/>
        <w:rPr>
          <w:sz w:val="24"/>
          <w:szCs w:val="24"/>
        </w:rPr>
      </w:pPr>
      <w:r>
        <w:rPr>
          <w:sz w:val="24"/>
          <w:szCs w:val="24"/>
        </w:rPr>
        <w:t>Dėkojame už aktyvų dalyvavimą teikiant pastabas.</w:t>
      </w:r>
    </w:p>
    <w:p w14:paraId="4432D219" w14:textId="77777777" w:rsidR="00EC562F" w:rsidRPr="006C3066" w:rsidRDefault="00EC562F" w:rsidP="00EC562F">
      <w:pPr>
        <w:autoSpaceDE w:val="0"/>
        <w:autoSpaceDN w:val="0"/>
        <w:adjustRightInd w:val="0"/>
        <w:spacing w:line="276" w:lineRule="auto"/>
        <w:ind w:firstLine="567"/>
        <w:jc w:val="both"/>
        <w:rPr>
          <w:sz w:val="24"/>
          <w:szCs w:val="24"/>
        </w:rPr>
      </w:pPr>
      <w:r w:rsidRPr="00B80B4F">
        <w:rPr>
          <w:sz w:val="24"/>
          <w:szCs w:val="24"/>
        </w:rPr>
        <w:t>Atkreipiame dėmesį, kad</w:t>
      </w:r>
      <w:r>
        <w:rPr>
          <w:sz w:val="24"/>
          <w:szCs w:val="24"/>
        </w:rPr>
        <w:t xml:space="preserve">, jei dalyvausite planuojamame vykdyti pirkime, kartu su pasiūlymu pateikiamame </w:t>
      </w:r>
      <w:r w:rsidRPr="00BC56D7">
        <w:rPr>
          <w:sz w:val="24"/>
          <w:szCs w:val="24"/>
        </w:rPr>
        <w:t>Europos bendr</w:t>
      </w:r>
      <w:r>
        <w:rPr>
          <w:sz w:val="24"/>
          <w:szCs w:val="24"/>
        </w:rPr>
        <w:t>ojo</w:t>
      </w:r>
      <w:r w:rsidRPr="00BC56D7">
        <w:rPr>
          <w:sz w:val="24"/>
          <w:szCs w:val="24"/>
        </w:rPr>
        <w:t xml:space="preserve"> viešųjų pirkimų dokument</w:t>
      </w:r>
      <w:r>
        <w:rPr>
          <w:sz w:val="24"/>
          <w:szCs w:val="24"/>
        </w:rPr>
        <w:t>o</w:t>
      </w:r>
      <w:r w:rsidRPr="00BC56D7">
        <w:rPr>
          <w:sz w:val="24"/>
          <w:szCs w:val="24"/>
        </w:rPr>
        <w:t xml:space="preserve"> (</w:t>
      </w:r>
      <w:r>
        <w:rPr>
          <w:sz w:val="24"/>
          <w:szCs w:val="24"/>
        </w:rPr>
        <w:t xml:space="preserve">toliau - </w:t>
      </w:r>
      <w:r w:rsidRPr="00BC56D7">
        <w:rPr>
          <w:sz w:val="24"/>
          <w:szCs w:val="24"/>
        </w:rPr>
        <w:t>EBVPD)</w:t>
      </w:r>
      <w:r>
        <w:rPr>
          <w:sz w:val="24"/>
          <w:szCs w:val="24"/>
        </w:rPr>
        <w:t xml:space="preserve"> III dalies „Pašalinimo pagrindai“ C13 skiltyje į klausimą „</w:t>
      </w:r>
      <w:r w:rsidRPr="006C3066">
        <w:rPr>
          <w:i/>
          <w:iCs/>
          <w:sz w:val="24"/>
          <w:szCs w:val="24"/>
          <w:u w:val="single"/>
        </w:rPr>
        <w:t>Tiesioginis arba netiesioginis dalyvavimas rengiant šią procedūrą (VPĮ 46 str. 4 d. 3 p.)</w:t>
      </w:r>
      <w:r>
        <w:rPr>
          <w:i/>
          <w:iCs/>
          <w:sz w:val="24"/>
          <w:szCs w:val="24"/>
          <w:u w:val="single"/>
        </w:rPr>
        <w:t xml:space="preserve">“ atsakytumėte „Taip“. </w:t>
      </w:r>
      <w:r w:rsidRPr="00BC56D7">
        <w:rPr>
          <w:sz w:val="24"/>
          <w:szCs w:val="24"/>
        </w:rPr>
        <w:t xml:space="preserve"> </w:t>
      </w:r>
      <w:r w:rsidRPr="006C3066">
        <w:rPr>
          <w:sz w:val="24"/>
          <w:szCs w:val="24"/>
        </w:rPr>
        <w:t>Viešųjų pirkimų tarnyba teigia: „</w:t>
      </w:r>
      <w:r w:rsidRPr="006C3066">
        <w:rPr>
          <w:i/>
          <w:iCs/>
          <w:sz w:val="24"/>
          <w:szCs w:val="24"/>
          <w:u w:val="single"/>
        </w:rPr>
        <w:t>Jei tiekėjas tiesiogiai ar netiesiogiai suteikė pirkimo vykdytojui konsultaciją</w:t>
      </w:r>
      <w:r w:rsidRPr="006C3066">
        <w:rPr>
          <w:i/>
          <w:iCs/>
          <w:sz w:val="24"/>
          <w:szCs w:val="24"/>
        </w:rPr>
        <w:t xml:space="preserve"> (nesvarbu, ar rinkos tyrimo (jeigu apie atliekamą rinkos tyrimą buvo informuotas raštu), ar </w:t>
      </w:r>
      <w:r w:rsidRPr="006C3066">
        <w:rPr>
          <w:i/>
          <w:iCs/>
          <w:sz w:val="24"/>
          <w:szCs w:val="24"/>
          <w:u w:val="single"/>
        </w:rPr>
        <w:t>rinkos konsultacijos metu</w:t>
      </w:r>
      <w:r w:rsidRPr="006C3066">
        <w:rPr>
          <w:i/>
          <w:iCs/>
          <w:sz w:val="24"/>
          <w:szCs w:val="24"/>
        </w:rPr>
        <w:t xml:space="preserve">, ar teikdamas pagalbinę viešųjų pirkimų veiklą ir pan.) arba kitaip dalyvavo rengiant pirkimo procedūrą (pavyzdžiui, parengė techninį (darbo) projektą, techninę specifikaciją ir pan.), </w:t>
      </w:r>
      <w:r w:rsidRPr="006C3066">
        <w:rPr>
          <w:i/>
          <w:iCs/>
          <w:sz w:val="24"/>
          <w:szCs w:val="24"/>
          <w:u w:val="single"/>
        </w:rPr>
        <w:t>jis, pildydamas EBVPD III dalies “Pašalinimo pagrindai C13 skiltį, į klausimą „Tiesioginis arba netiesioginis dalyvavimas rengiant šią procedūrą (VPĮ 46 str. 4 d. 3 p.)” turėtų atsakyti „Taip”</w:t>
      </w:r>
      <w:r w:rsidRPr="006C3066">
        <w:rPr>
          <w:sz w:val="24"/>
          <w:szCs w:val="24"/>
        </w:rPr>
        <w:t>.</w:t>
      </w:r>
    </w:p>
    <w:p w14:paraId="3B38F86D" w14:textId="77777777" w:rsidR="00EC562F" w:rsidRDefault="00EC562F" w:rsidP="003A72D4">
      <w:pPr>
        <w:jc w:val="both"/>
        <w:rPr>
          <w:sz w:val="24"/>
          <w:szCs w:val="24"/>
        </w:rPr>
      </w:pPr>
    </w:p>
    <w:sectPr w:rsidR="00EC562F" w:rsidSect="00EB438D">
      <w:pgSz w:w="12240" w:h="15840"/>
      <w:pgMar w:top="1134" w:right="72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D3C31"/>
    <w:multiLevelType w:val="hybridMultilevel"/>
    <w:tmpl w:val="A56CCF9E"/>
    <w:lvl w:ilvl="0" w:tplc="C08AFA6C">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14BBC"/>
    <w:multiLevelType w:val="hybridMultilevel"/>
    <w:tmpl w:val="BC1C1226"/>
    <w:lvl w:ilvl="0" w:tplc="E310A0A8">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DD47536"/>
    <w:multiLevelType w:val="hybridMultilevel"/>
    <w:tmpl w:val="E57EA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872419">
    <w:abstractNumId w:val="2"/>
  </w:num>
  <w:num w:numId="2" w16cid:durableId="1892771091">
    <w:abstractNumId w:val="0"/>
  </w:num>
  <w:num w:numId="3" w16cid:durableId="825977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D4"/>
    <w:rsid w:val="00034F23"/>
    <w:rsid w:val="00065F1B"/>
    <w:rsid w:val="001C52EC"/>
    <w:rsid w:val="002B06CC"/>
    <w:rsid w:val="002C372D"/>
    <w:rsid w:val="00384E16"/>
    <w:rsid w:val="003A05E4"/>
    <w:rsid w:val="003A72D4"/>
    <w:rsid w:val="0043243D"/>
    <w:rsid w:val="00434551"/>
    <w:rsid w:val="00601474"/>
    <w:rsid w:val="00652508"/>
    <w:rsid w:val="00765771"/>
    <w:rsid w:val="00831F82"/>
    <w:rsid w:val="00833256"/>
    <w:rsid w:val="008634CA"/>
    <w:rsid w:val="008C317B"/>
    <w:rsid w:val="0097071C"/>
    <w:rsid w:val="00982E40"/>
    <w:rsid w:val="009B4B37"/>
    <w:rsid w:val="009E4C55"/>
    <w:rsid w:val="00B64F83"/>
    <w:rsid w:val="00B94A8C"/>
    <w:rsid w:val="00BB51A0"/>
    <w:rsid w:val="00BC3711"/>
    <w:rsid w:val="00C013B5"/>
    <w:rsid w:val="00C035E8"/>
    <w:rsid w:val="00CC4FE3"/>
    <w:rsid w:val="00D40D97"/>
    <w:rsid w:val="00D6026D"/>
    <w:rsid w:val="00DB5654"/>
    <w:rsid w:val="00E1553F"/>
    <w:rsid w:val="00EB438D"/>
    <w:rsid w:val="00EC562F"/>
    <w:rsid w:val="00F2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F387"/>
  <w15:chartTrackingRefBased/>
  <w15:docId w15:val="{FC177B5E-4638-4B50-B7E4-EA5921F0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551"/>
    <w:pPr>
      <w:spacing w:after="0" w:line="240" w:lineRule="auto"/>
    </w:pPr>
    <w:rPr>
      <w:rFonts w:ascii="Times New Roman" w:eastAsia="Times New Roman" w:hAnsi="Times New Roman" w:cs="Times New Roman"/>
      <w:noProo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72D4"/>
    <w:pPr>
      <w:ind w:left="720"/>
      <w:contextualSpacing/>
    </w:pPr>
  </w:style>
  <w:style w:type="table" w:styleId="Lentelstinklelis">
    <w:name w:val="Table Grid"/>
    <w:basedOn w:val="prastojilentel"/>
    <w:uiPriority w:val="39"/>
    <w:rsid w:val="0043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B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724">
      <w:bodyDiv w:val="1"/>
      <w:marLeft w:val="0"/>
      <w:marRight w:val="0"/>
      <w:marTop w:val="0"/>
      <w:marBottom w:val="0"/>
      <w:divBdr>
        <w:top w:val="none" w:sz="0" w:space="0" w:color="auto"/>
        <w:left w:val="none" w:sz="0" w:space="0" w:color="auto"/>
        <w:bottom w:val="none" w:sz="0" w:space="0" w:color="auto"/>
        <w:right w:val="none" w:sz="0" w:space="0" w:color="auto"/>
      </w:divBdr>
    </w:div>
    <w:div w:id="139659996">
      <w:bodyDiv w:val="1"/>
      <w:marLeft w:val="0"/>
      <w:marRight w:val="0"/>
      <w:marTop w:val="0"/>
      <w:marBottom w:val="0"/>
      <w:divBdr>
        <w:top w:val="none" w:sz="0" w:space="0" w:color="auto"/>
        <w:left w:val="none" w:sz="0" w:space="0" w:color="auto"/>
        <w:bottom w:val="none" w:sz="0" w:space="0" w:color="auto"/>
        <w:right w:val="none" w:sz="0" w:space="0" w:color="auto"/>
      </w:divBdr>
    </w:div>
    <w:div w:id="311834860">
      <w:bodyDiv w:val="1"/>
      <w:marLeft w:val="0"/>
      <w:marRight w:val="0"/>
      <w:marTop w:val="0"/>
      <w:marBottom w:val="0"/>
      <w:divBdr>
        <w:top w:val="none" w:sz="0" w:space="0" w:color="auto"/>
        <w:left w:val="none" w:sz="0" w:space="0" w:color="auto"/>
        <w:bottom w:val="none" w:sz="0" w:space="0" w:color="auto"/>
        <w:right w:val="none" w:sz="0" w:space="0" w:color="auto"/>
      </w:divBdr>
    </w:div>
    <w:div w:id="388304826">
      <w:bodyDiv w:val="1"/>
      <w:marLeft w:val="0"/>
      <w:marRight w:val="0"/>
      <w:marTop w:val="0"/>
      <w:marBottom w:val="0"/>
      <w:divBdr>
        <w:top w:val="none" w:sz="0" w:space="0" w:color="auto"/>
        <w:left w:val="none" w:sz="0" w:space="0" w:color="auto"/>
        <w:bottom w:val="none" w:sz="0" w:space="0" w:color="auto"/>
        <w:right w:val="none" w:sz="0" w:space="0" w:color="auto"/>
      </w:divBdr>
    </w:div>
    <w:div w:id="698433366">
      <w:bodyDiv w:val="1"/>
      <w:marLeft w:val="0"/>
      <w:marRight w:val="0"/>
      <w:marTop w:val="0"/>
      <w:marBottom w:val="0"/>
      <w:divBdr>
        <w:top w:val="none" w:sz="0" w:space="0" w:color="auto"/>
        <w:left w:val="none" w:sz="0" w:space="0" w:color="auto"/>
        <w:bottom w:val="none" w:sz="0" w:space="0" w:color="auto"/>
        <w:right w:val="none" w:sz="0" w:space="0" w:color="auto"/>
      </w:divBdr>
    </w:div>
    <w:div w:id="789131053">
      <w:bodyDiv w:val="1"/>
      <w:marLeft w:val="0"/>
      <w:marRight w:val="0"/>
      <w:marTop w:val="0"/>
      <w:marBottom w:val="0"/>
      <w:divBdr>
        <w:top w:val="none" w:sz="0" w:space="0" w:color="auto"/>
        <w:left w:val="none" w:sz="0" w:space="0" w:color="auto"/>
        <w:bottom w:val="none" w:sz="0" w:space="0" w:color="auto"/>
        <w:right w:val="none" w:sz="0" w:space="0" w:color="auto"/>
      </w:divBdr>
    </w:div>
    <w:div w:id="870531549">
      <w:bodyDiv w:val="1"/>
      <w:marLeft w:val="0"/>
      <w:marRight w:val="0"/>
      <w:marTop w:val="0"/>
      <w:marBottom w:val="0"/>
      <w:divBdr>
        <w:top w:val="none" w:sz="0" w:space="0" w:color="auto"/>
        <w:left w:val="none" w:sz="0" w:space="0" w:color="auto"/>
        <w:bottom w:val="none" w:sz="0" w:space="0" w:color="auto"/>
        <w:right w:val="none" w:sz="0" w:space="0" w:color="auto"/>
      </w:divBdr>
    </w:div>
    <w:div w:id="1048724274">
      <w:bodyDiv w:val="1"/>
      <w:marLeft w:val="0"/>
      <w:marRight w:val="0"/>
      <w:marTop w:val="0"/>
      <w:marBottom w:val="0"/>
      <w:divBdr>
        <w:top w:val="none" w:sz="0" w:space="0" w:color="auto"/>
        <w:left w:val="none" w:sz="0" w:space="0" w:color="auto"/>
        <w:bottom w:val="none" w:sz="0" w:space="0" w:color="auto"/>
        <w:right w:val="none" w:sz="0" w:space="0" w:color="auto"/>
      </w:divBdr>
    </w:div>
    <w:div w:id="1163164701">
      <w:bodyDiv w:val="1"/>
      <w:marLeft w:val="0"/>
      <w:marRight w:val="0"/>
      <w:marTop w:val="0"/>
      <w:marBottom w:val="0"/>
      <w:divBdr>
        <w:top w:val="none" w:sz="0" w:space="0" w:color="auto"/>
        <w:left w:val="none" w:sz="0" w:space="0" w:color="auto"/>
        <w:bottom w:val="none" w:sz="0" w:space="0" w:color="auto"/>
        <w:right w:val="none" w:sz="0" w:space="0" w:color="auto"/>
      </w:divBdr>
    </w:div>
    <w:div w:id="1344625611">
      <w:bodyDiv w:val="1"/>
      <w:marLeft w:val="0"/>
      <w:marRight w:val="0"/>
      <w:marTop w:val="0"/>
      <w:marBottom w:val="0"/>
      <w:divBdr>
        <w:top w:val="none" w:sz="0" w:space="0" w:color="auto"/>
        <w:left w:val="none" w:sz="0" w:space="0" w:color="auto"/>
        <w:bottom w:val="none" w:sz="0" w:space="0" w:color="auto"/>
        <w:right w:val="none" w:sz="0" w:space="0" w:color="auto"/>
      </w:divBdr>
    </w:div>
    <w:div w:id="1465345253">
      <w:bodyDiv w:val="1"/>
      <w:marLeft w:val="0"/>
      <w:marRight w:val="0"/>
      <w:marTop w:val="0"/>
      <w:marBottom w:val="0"/>
      <w:divBdr>
        <w:top w:val="none" w:sz="0" w:space="0" w:color="auto"/>
        <w:left w:val="none" w:sz="0" w:space="0" w:color="auto"/>
        <w:bottom w:val="none" w:sz="0" w:space="0" w:color="auto"/>
        <w:right w:val="none" w:sz="0" w:space="0" w:color="auto"/>
      </w:divBdr>
    </w:div>
    <w:div w:id="1616667587">
      <w:bodyDiv w:val="1"/>
      <w:marLeft w:val="0"/>
      <w:marRight w:val="0"/>
      <w:marTop w:val="0"/>
      <w:marBottom w:val="0"/>
      <w:divBdr>
        <w:top w:val="none" w:sz="0" w:space="0" w:color="auto"/>
        <w:left w:val="none" w:sz="0" w:space="0" w:color="auto"/>
        <w:bottom w:val="none" w:sz="0" w:space="0" w:color="auto"/>
        <w:right w:val="none" w:sz="0" w:space="0" w:color="auto"/>
      </w:divBdr>
    </w:div>
    <w:div w:id="1638561369">
      <w:bodyDiv w:val="1"/>
      <w:marLeft w:val="0"/>
      <w:marRight w:val="0"/>
      <w:marTop w:val="0"/>
      <w:marBottom w:val="0"/>
      <w:divBdr>
        <w:top w:val="none" w:sz="0" w:space="0" w:color="auto"/>
        <w:left w:val="none" w:sz="0" w:space="0" w:color="auto"/>
        <w:bottom w:val="none" w:sz="0" w:space="0" w:color="auto"/>
        <w:right w:val="none" w:sz="0" w:space="0" w:color="auto"/>
      </w:divBdr>
    </w:div>
    <w:div w:id="1720084047">
      <w:bodyDiv w:val="1"/>
      <w:marLeft w:val="0"/>
      <w:marRight w:val="0"/>
      <w:marTop w:val="0"/>
      <w:marBottom w:val="0"/>
      <w:divBdr>
        <w:top w:val="none" w:sz="0" w:space="0" w:color="auto"/>
        <w:left w:val="none" w:sz="0" w:space="0" w:color="auto"/>
        <w:bottom w:val="none" w:sz="0" w:space="0" w:color="auto"/>
        <w:right w:val="none" w:sz="0" w:space="0" w:color="auto"/>
      </w:divBdr>
    </w:div>
    <w:div w:id="19141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3018</Words>
  <Characters>1721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Aušra Sidaraitė-Markevičienė</cp:lastModifiedBy>
  <cp:revision>2</cp:revision>
  <dcterms:created xsi:type="dcterms:W3CDTF">2025-05-05T09:29:00Z</dcterms:created>
  <dcterms:modified xsi:type="dcterms:W3CDTF">2025-05-05T09:29:00Z</dcterms:modified>
</cp:coreProperties>
</file>