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34682E10"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1424D">
            <w:rPr>
              <w:rFonts w:ascii="Times New Roman" w:hAnsi="Times New Roman" w:cs="Times New Roman"/>
              <w:b/>
              <w:bCs/>
              <w:sz w:val="28"/>
              <w:szCs w:val="28"/>
            </w:rPr>
            <w:t>VIEŠOJO PIRKIMO „</w:t>
          </w:r>
          <w:r w:rsidR="0061424D" w:rsidRPr="0061424D">
            <w:rPr>
              <w:rFonts w:ascii="Times New Roman" w:eastAsia="Calibri" w:hAnsi="Times New Roman" w:cs="Times New Roman"/>
              <w:b/>
              <w:bCs/>
              <w:caps/>
              <w:sz w:val="28"/>
              <w:szCs w:val="28"/>
            </w:rPr>
            <w:t xml:space="preserve">PRIVAŽIUOJAMOJO KELIO PRIE KAPINIŲ </w:t>
          </w:r>
          <w:proofErr w:type="spellStart"/>
          <w:r w:rsidR="0061424D" w:rsidRPr="0061424D">
            <w:rPr>
              <w:rFonts w:ascii="Times New Roman" w:eastAsia="Calibri" w:hAnsi="Times New Roman" w:cs="Times New Roman"/>
              <w:b/>
              <w:bCs/>
              <w:caps/>
              <w:sz w:val="28"/>
              <w:szCs w:val="28"/>
            </w:rPr>
            <w:t>AL7717</w:t>
          </w:r>
          <w:proofErr w:type="spellEnd"/>
          <w:r w:rsidR="0061424D" w:rsidRPr="0061424D">
            <w:rPr>
              <w:rFonts w:ascii="Times New Roman" w:eastAsia="Calibri" w:hAnsi="Times New Roman" w:cs="Times New Roman"/>
              <w:b/>
              <w:bCs/>
              <w:caps/>
              <w:sz w:val="28"/>
              <w:szCs w:val="28"/>
            </w:rPr>
            <w:t xml:space="preserve"> SU AUTOMOBILIŲ STOVĖJIMO AIKŠTELE PRIE KAPINIŲ DAUGŲ K., DAUGŲ SEN., aLYTAUS R. SAV., PROJEKTO PARENGIMO IR PROJEKTO VYKDYMO PASLAUGŲ</w:t>
          </w:r>
          <w:r w:rsidR="00D526C8" w:rsidRPr="0061424D">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17138C" w:rsidRDefault="002730AC" w:rsidP="007334EA">
          <w:pPr>
            <w:spacing w:after="120"/>
            <w:ind w:left="567" w:firstLine="0"/>
            <w:contextualSpacing/>
            <w:rPr>
              <w:rFonts w:ascii="Times New Roman" w:hAnsi="Times New Roman" w:cs="Times New Roman"/>
              <w:b/>
              <w:bCs/>
              <w:sz w:val="24"/>
              <w:szCs w:val="24"/>
            </w:rPr>
          </w:pPr>
          <w:r w:rsidRPr="0017138C">
            <w:rPr>
              <w:rFonts w:ascii="Times New Roman" w:hAnsi="Times New Roman" w:cs="Times New Roman"/>
              <w:b/>
              <w:bCs/>
              <w:sz w:val="24"/>
              <w:szCs w:val="24"/>
            </w:rPr>
            <w:t>Priedai:</w:t>
          </w:r>
        </w:p>
        <w:p w14:paraId="65AA86EA" w14:textId="6D1B514C" w:rsidR="00AC6BCF" w:rsidRPr="0017138C" w:rsidRDefault="00AC6BCF"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1 priedas „Tiekėjų pašalinimo pagrindai“;</w:t>
          </w:r>
        </w:p>
        <w:p w14:paraId="186C9C9D" w14:textId="50D306AD" w:rsidR="00AC6BCF" w:rsidRPr="0017138C" w:rsidRDefault="00AC6BCF"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17138C" w:rsidRDefault="00AC6BCF"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3 priedas „</w:t>
          </w:r>
          <w:proofErr w:type="spellStart"/>
          <w:r w:rsidRPr="0017138C">
            <w:rPr>
              <w:rFonts w:ascii="Times New Roman" w:hAnsi="Times New Roman" w:cs="Times New Roman"/>
              <w:sz w:val="24"/>
              <w:szCs w:val="24"/>
            </w:rPr>
            <w:t>EBVPD</w:t>
          </w:r>
          <w:proofErr w:type="spellEnd"/>
          <w:r w:rsidRPr="0017138C">
            <w:rPr>
              <w:rFonts w:ascii="Times New Roman" w:hAnsi="Times New Roman" w:cs="Times New Roman"/>
              <w:sz w:val="24"/>
              <w:szCs w:val="24"/>
            </w:rPr>
            <w:t>“</w:t>
          </w:r>
          <w:r w:rsidR="008553A7" w:rsidRPr="0017138C">
            <w:rPr>
              <w:rFonts w:ascii="Times New Roman" w:hAnsi="Times New Roman" w:cs="Times New Roman"/>
              <w:sz w:val="24"/>
              <w:szCs w:val="24"/>
            </w:rPr>
            <w:t>;</w:t>
          </w:r>
        </w:p>
        <w:p w14:paraId="49B056B5" w14:textId="6AACBB76" w:rsidR="00AC6BCF" w:rsidRPr="0017138C" w:rsidRDefault="00AC6BCF"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 xml:space="preserve">4 priedas </w:t>
          </w:r>
          <w:r w:rsidR="0017138C" w:rsidRPr="0017138C">
            <w:rPr>
              <w:rFonts w:ascii="Times New Roman" w:hAnsi="Times New Roman" w:cs="Times New Roman"/>
              <w:sz w:val="24"/>
              <w:szCs w:val="24"/>
            </w:rPr>
            <w:t xml:space="preserve">„NT registrų išrašas </w:t>
          </w:r>
          <w:proofErr w:type="spellStart"/>
          <w:r w:rsidR="0017138C" w:rsidRPr="0017138C">
            <w:rPr>
              <w:rFonts w:ascii="Times New Roman" w:hAnsi="Times New Roman" w:cs="Times New Roman"/>
              <w:sz w:val="24"/>
              <w:szCs w:val="24"/>
            </w:rPr>
            <w:t>staitniui</w:t>
          </w:r>
          <w:proofErr w:type="spellEnd"/>
          <w:r w:rsidR="0017138C" w:rsidRPr="0017138C">
            <w:rPr>
              <w:rFonts w:ascii="Times New Roman" w:hAnsi="Times New Roman" w:cs="Times New Roman"/>
              <w:sz w:val="24"/>
              <w:szCs w:val="24"/>
            </w:rPr>
            <w:t>“, „NT registrų išrašas sklypui“, „Tako planas“, „Kelio planas“, „Aikštės planas“  ir „Techninė užduotis“</w:t>
          </w:r>
        </w:p>
        <w:p w14:paraId="474D3644" w14:textId="7AA6D4AC" w:rsidR="00AC6BCF" w:rsidRPr="0017138C" w:rsidRDefault="005D29E1"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5</w:t>
          </w:r>
          <w:r w:rsidR="00AC6BCF" w:rsidRPr="0017138C">
            <w:rPr>
              <w:rFonts w:ascii="Times New Roman" w:hAnsi="Times New Roman" w:cs="Times New Roman"/>
              <w:sz w:val="24"/>
              <w:szCs w:val="24"/>
            </w:rPr>
            <w:t xml:space="preserve"> priedas „Sutarties projektas“;</w:t>
          </w:r>
        </w:p>
        <w:p w14:paraId="655D8550" w14:textId="61384207" w:rsidR="00AC6BCF" w:rsidRPr="0017138C" w:rsidRDefault="005D29E1"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6</w:t>
          </w:r>
          <w:r w:rsidR="00AC6BCF" w:rsidRPr="0017138C">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7</w:t>
          </w:r>
          <w:r w:rsidR="00AC6BCF" w:rsidRPr="0017138C">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58CFCD0C"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perkamos paslaugos kataloge nėra siūlomos (modulis laikinai sustabdytas).</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37DC2B36"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specialistė Indrė Mocevičienė</w:t>
      </w:r>
      <w:r w:rsidR="00684D55" w:rsidRPr="00684D55">
        <w:rPr>
          <w:rFonts w:ascii="Times New Roman" w:hAnsi="Times New Roman" w:cs="Times New Roman"/>
          <w:sz w:val="24"/>
          <w:szCs w:val="24"/>
        </w:rPr>
        <w:t xml:space="preserve">,  el. p. </w:t>
      </w:r>
      <w:proofErr w:type="spellStart"/>
      <w:r w:rsidR="008553A7">
        <w:rPr>
          <w:rFonts w:ascii="Times New Roman" w:hAnsi="Times New Roman" w:cs="Times New Roman"/>
          <w:sz w:val="24"/>
          <w:szCs w:val="24"/>
        </w:rPr>
        <w:t>indre.moceviciene</w:t>
      </w:r>
      <w:r w:rsidR="00684D55" w:rsidRPr="00684D55">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+ 370 680 </w:t>
      </w:r>
      <w:r w:rsidR="008553A7">
        <w:rPr>
          <w:rFonts w:ascii="Times New Roman" w:hAnsi="Times New Roman" w:cs="Times New Roman"/>
          <w:sz w:val="24"/>
          <w:szCs w:val="24"/>
        </w:rPr>
        <w:t>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35191C50" w:rsidR="00FB3C75" w:rsidRPr="0061424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1424D">
        <w:rPr>
          <w:rFonts w:ascii="Times New Roman" w:hAnsi="Times New Roman" w:cs="Times New Roman"/>
          <w:sz w:val="24"/>
          <w:szCs w:val="24"/>
        </w:rPr>
        <w:t xml:space="preserve">Pirkimo objektas yra </w:t>
      </w:r>
      <w:r w:rsidR="0061424D" w:rsidRPr="0061424D">
        <w:rPr>
          <w:rFonts w:ascii="Times New Roman" w:hAnsi="Times New Roman" w:cs="Times New Roman"/>
          <w:bCs/>
          <w:sz w:val="24"/>
          <w:szCs w:val="24"/>
        </w:rPr>
        <w:t>p</w:t>
      </w:r>
      <w:r w:rsidR="0061424D" w:rsidRPr="0061424D">
        <w:rPr>
          <w:rFonts w:ascii="Times New Roman" w:hAnsi="Times New Roman" w:cs="Times New Roman"/>
          <w:bCs/>
          <w:sz w:val="24"/>
          <w:szCs w:val="24"/>
        </w:rPr>
        <w:t xml:space="preserve">rivažiuojamojo kelio prie kapinių </w:t>
      </w:r>
      <w:proofErr w:type="spellStart"/>
      <w:r w:rsidR="0061424D" w:rsidRPr="0061424D">
        <w:rPr>
          <w:rFonts w:ascii="Times New Roman" w:hAnsi="Times New Roman" w:cs="Times New Roman"/>
          <w:bCs/>
          <w:sz w:val="24"/>
          <w:szCs w:val="24"/>
        </w:rPr>
        <w:t>AL7717</w:t>
      </w:r>
      <w:proofErr w:type="spellEnd"/>
      <w:r w:rsidR="0061424D" w:rsidRPr="0061424D">
        <w:rPr>
          <w:rFonts w:ascii="Times New Roman" w:hAnsi="Times New Roman" w:cs="Times New Roman"/>
          <w:bCs/>
          <w:sz w:val="24"/>
          <w:szCs w:val="24"/>
        </w:rPr>
        <w:t xml:space="preserve"> su automobilių stovėjimo aikštele prie kapinių ir taku Daugų m., Daugų sen., Alytaus r. sav.  projekto parengimo ir projekto vykdymo priežiūros paslaugos</w:t>
      </w:r>
      <w:r w:rsidR="003C35E4" w:rsidRPr="0061424D">
        <w:rPr>
          <w:rFonts w:ascii="Times New Roman" w:hAnsi="Times New Roman" w:cs="Times New Roman"/>
          <w:sz w:val="24"/>
          <w:szCs w:val="24"/>
        </w:rPr>
        <w:t xml:space="preserve"> </w:t>
      </w:r>
      <w:r w:rsidRPr="0061424D">
        <w:rPr>
          <w:rFonts w:ascii="Times New Roman" w:hAnsi="Times New Roman" w:cs="Times New Roman"/>
          <w:sz w:val="24"/>
          <w:szCs w:val="24"/>
        </w:rPr>
        <w:t xml:space="preserve">(toliau – </w:t>
      </w:r>
      <w:r w:rsidR="003F748B" w:rsidRPr="0061424D">
        <w:rPr>
          <w:rFonts w:ascii="Times New Roman" w:hAnsi="Times New Roman" w:cs="Times New Roman"/>
          <w:sz w:val="24"/>
          <w:szCs w:val="24"/>
        </w:rPr>
        <w:t>p</w:t>
      </w:r>
      <w:r w:rsidR="008553A7" w:rsidRPr="0061424D">
        <w:rPr>
          <w:rFonts w:ascii="Times New Roman" w:hAnsi="Times New Roman" w:cs="Times New Roman"/>
          <w:sz w:val="24"/>
          <w:szCs w:val="24"/>
        </w:rPr>
        <w:t>aslaugos</w:t>
      </w:r>
      <w:r w:rsidRPr="0061424D">
        <w:rPr>
          <w:rFonts w:ascii="Times New Roman" w:hAnsi="Times New Roman" w:cs="Times New Roman"/>
          <w:sz w:val="24"/>
          <w:szCs w:val="24"/>
        </w:rPr>
        <w:t>)</w:t>
      </w:r>
      <w:r w:rsidR="00FB3C75" w:rsidRPr="0061424D">
        <w:rPr>
          <w:rFonts w:ascii="Times New Roman" w:eastAsia="Calibri" w:hAnsi="Times New Roman" w:cs="Times New Roman"/>
          <w:sz w:val="24"/>
          <w:szCs w:val="24"/>
        </w:rPr>
        <w:t>.</w:t>
      </w:r>
      <w:r w:rsidR="00CE1685" w:rsidRPr="0061424D">
        <w:rPr>
          <w:rFonts w:ascii="Times New Roman" w:hAnsi="Times New Roman" w:cs="Times New Roman"/>
          <w:color w:val="000000" w:themeColor="text1"/>
          <w:sz w:val="24"/>
          <w:szCs w:val="24"/>
        </w:rPr>
        <w:t xml:space="preserve"> </w:t>
      </w:r>
      <w:r w:rsidR="00FB3C75" w:rsidRPr="0061424D">
        <w:rPr>
          <w:rFonts w:ascii="Times New Roman" w:hAnsi="Times New Roman" w:cs="Times New Roman"/>
          <w:sz w:val="24"/>
          <w:szCs w:val="24"/>
        </w:rPr>
        <w:t xml:space="preserve">Reikalavimai </w:t>
      </w:r>
      <w:r w:rsidR="00966703" w:rsidRPr="0061424D">
        <w:rPr>
          <w:rFonts w:ascii="Times New Roman" w:hAnsi="Times New Roman" w:cs="Times New Roman"/>
          <w:sz w:val="24"/>
          <w:szCs w:val="24"/>
        </w:rPr>
        <w:t>p</w:t>
      </w:r>
      <w:r w:rsidR="00FB3C75" w:rsidRPr="0061424D">
        <w:rPr>
          <w:rFonts w:ascii="Times New Roman" w:hAnsi="Times New Roman" w:cs="Times New Roman"/>
          <w:sz w:val="24"/>
          <w:szCs w:val="24"/>
        </w:rPr>
        <w:t>irkimo objekt</w:t>
      </w:r>
      <w:r w:rsidR="007F2034" w:rsidRPr="0061424D">
        <w:rPr>
          <w:rFonts w:ascii="Times New Roman" w:hAnsi="Times New Roman" w:cs="Times New Roman"/>
          <w:sz w:val="24"/>
          <w:szCs w:val="24"/>
        </w:rPr>
        <w:t>ui</w:t>
      </w:r>
      <w:r w:rsidR="00FB3C75" w:rsidRPr="0061424D">
        <w:rPr>
          <w:rFonts w:ascii="Times New Roman" w:hAnsi="Times New Roman" w:cs="Times New Roman"/>
          <w:sz w:val="24"/>
          <w:szCs w:val="24"/>
        </w:rPr>
        <w:t xml:space="preserve"> nustatyti</w:t>
      </w:r>
      <w:r w:rsidR="00AE2AEF" w:rsidRPr="0061424D">
        <w:rPr>
          <w:rFonts w:ascii="Times New Roman" w:hAnsi="Times New Roman" w:cs="Times New Roman"/>
          <w:sz w:val="24"/>
          <w:szCs w:val="24"/>
        </w:rPr>
        <w:t xml:space="preserve"> </w:t>
      </w:r>
      <w:r w:rsidR="00966703" w:rsidRPr="0061424D">
        <w:rPr>
          <w:rFonts w:ascii="Times New Roman" w:hAnsi="Times New Roman" w:cs="Times New Roman"/>
          <w:sz w:val="24"/>
          <w:szCs w:val="24"/>
        </w:rPr>
        <w:t>s</w:t>
      </w:r>
      <w:r w:rsidR="00044836" w:rsidRPr="0061424D">
        <w:rPr>
          <w:rFonts w:ascii="Times New Roman" w:hAnsi="Times New Roman" w:cs="Times New Roman"/>
          <w:sz w:val="24"/>
          <w:szCs w:val="24"/>
        </w:rPr>
        <w:t>pecialiųjų p</w:t>
      </w:r>
      <w:r w:rsidR="00AE2AEF" w:rsidRPr="0061424D">
        <w:rPr>
          <w:rFonts w:ascii="Times New Roman" w:hAnsi="Times New Roman" w:cs="Times New Roman"/>
          <w:sz w:val="24"/>
          <w:szCs w:val="24"/>
        </w:rPr>
        <w:t xml:space="preserve">irkimo sąlygų </w:t>
      </w:r>
      <w:r w:rsidR="00D75C1C" w:rsidRPr="0061424D">
        <w:rPr>
          <w:rFonts w:ascii="Times New Roman" w:hAnsi="Times New Roman" w:cs="Times New Roman"/>
          <w:sz w:val="24"/>
          <w:szCs w:val="24"/>
        </w:rPr>
        <w:t>4</w:t>
      </w:r>
      <w:r w:rsidR="00CE3788" w:rsidRPr="0061424D">
        <w:rPr>
          <w:rFonts w:ascii="Times New Roman" w:hAnsi="Times New Roman" w:cs="Times New Roman"/>
          <w:sz w:val="24"/>
          <w:szCs w:val="24"/>
        </w:rPr>
        <w:t xml:space="preserve"> ir</w:t>
      </w:r>
      <w:r w:rsidR="0029324F" w:rsidRPr="0061424D">
        <w:rPr>
          <w:rFonts w:ascii="Times New Roman" w:hAnsi="Times New Roman" w:cs="Times New Roman"/>
          <w:sz w:val="24"/>
          <w:szCs w:val="24"/>
        </w:rPr>
        <w:t xml:space="preserve"> 5</w:t>
      </w:r>
      <w:r w:rsidR="00F41760" w:rsidRPr="0061424D">
        <w:rPr>
          <w:rFonts w:ascii="Times New Roman" w:hAnsi="Times New Roman" w:cs="Times New Roman"/>
          <w:sz w:val="24"/>
          <w:szCs w:val="24"/>
        </w:rPr>
        <w:t xml:space="preserve"> pried</w:t>
      </w:r>
      <w:r w:rsidR="0029324F" w:rsidRPr="0061424D">
        <w:rPr>
          <w:rFonts w:ascii="Times New Roman" w:hAnsi="Times New Roman" w:cs="Times New Roman"/>
          <w:sz w:val="24"/>
          <w:szCs w:val="24"/>
        </w:rPr>
        <w:t>uose</w:t>
      </w:r>
      <w:r w:rsidR="00AE2AEF" w:rsidRPr="0061424D">
        <w:rPr>
          <w:rFonts w:ascii="Times New Roman" w:hAnsi="Times New Roman" w:cs="Times New Roman"/>
          <w:sz w:val="24"/>
          <w:szCs w:val="24"/>
        </w:rPr>
        <w:t>.</w:t>
      </w:r>
      <w:r w:rsidR="00BB511C" w:rsidRPr="0061424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61424D">
        <w:rPr>
          <w:rFonts w:ascii="Times New Roman" w:hAnsi="Times New Roman" w:cs="Times New Roman"/>
          <w:sz w:val="24"/>
          <w:szCs w:val="24"/>
        </w:rPr>
        <w:t>2.2.</w:t>
      </w:r>
      <w:r w:rsidR="00ED1C85" w:rsidRPr="0061424D">
        <w:rPr>
          <w:rFonts w:ascii="Times New Roman" w:hAnsi="Times New Roman" w:cs="Times New Roman"/>
          <w:sz w:val="24"/>
          <w:szCs w:val="24"/>
        </w:rPr>
        <w:t xml:space="preserve"> </w:t>
      </w:r>
      <w:r w:rsidR="004A714B" w:rsidRPr="0061424D">
        <w:rPr>
          <w:rFonts w:ascii="Times New Roman" w:hAnsi="Times New Roman" w:cs="Times New Roman"/>
          <w:sz w:val="24"/>
          <w:szCs w:val="24"/>
        </w:rPr>
        <w:tab/>
      </w:r>
      <w:r w:rsidR="00FB3C75" w:rsidRPr="0061424D">
        <w:rPr>
          <w:rFonts w:ascii="Times New Roman" w:hAnsi="Times New Roman" w:cs="Times New Roman"/>
          <w:sz w:val="24"/>
          <w:szCs w:val="24"/>
        </w:rPr>
        <w:t xml:space="preserve">Pirkimo objektas </w:t>
      </w:r>
      <w:r w:rsidR="00D25BF3" w:rsidRPr="0061424D">
        <w:rPr>
          <w:rFonts w:ascii="Times New Roman" w:hAnsi="Times New Roman" w:cs="Times New Roman"/>
          <w:sz w:val="24"/>
          <w:szCs w:val="24"/>
        </w:rPr>
        <w:t>į pirkimo dalis</w:t>
      </w:r>
      <w:r w:rsidR="007F2034" w:rsidRPr="0061424D">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17138C"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w:t>
      </w:r>
      <w:r w:rsidRPr="0017138C">
        <w:rPr>
          <w:rFonts w:ascii="Times New Roman" w:hAnsi="Times New Roman" w:cs="Times New Roman"/>
          <w:sz w:val="24"/>
          <w:szCs w:val="24"/>
        </w:rPr>
        <w:t xml:space="preserve">tiekėjas remiasi, pašalinimo pagrindų nebuvimo bei jų nebuvimą patvirtinantys dokumentai nurodyti specialiųjų pirkimo sąlygų </w:t>
      </w:r>
      <w:r w:rsidR="004D4A81" w:rsidRPr="0017138C">
        <w:rPr>
          <w:rFonts w:ascii="Times New Roman" w:hAnsi="Times New Roman" w:cs="Times New Roman"/>
          <w:sz w:val="24"/>
          <w:szCs w:val="24"/>
        </w:rPr>
        <w:t>1</w:t>
      </w:r>
      <w:r w:rsidRPr="0017138C">
        <w:rPr>
          <w:rFonts w:ascii="Times New Roman" w:hAnsi="Times New Roman" w:cs="Times New Roman"/>
          <w:sz w:val="24"/>
          <w:szCs w:val="24"/>
        </w:rPr>
        <w:t xml:space="preserve"> priede.</w:t>
      </w:r>
    </w:p>
    <w:p w14:paraId="33BECC68" w14:textId="62EEF308" w:rsidR="0017138C" w:rsidRPr="0017138C" w:rsidRDefault="0017138C" w:rsidP="0017138C">
      <w:pPr>
        <w:spacing w:line="240" w:lineRule="auto"/>
        <w:rPr>
          <w:rFonts w:ascii="Times New Roman" w:hAnsi="Times New Roman" w:cs="Times New Roman"/>
          <w:sz w:val="24"/>
          <w:szCs w:val="24"/>
        </w:rPr>
      </w:pPr>
      <w:r w:rsidRPr="0017138C">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17138C">
        <w:rPr>
          <w:rFonts w:ascii="Times New Roman" w:hAnsi="Times New Roman" w:cs="Times New Roman"/>
          <w:sz w:val="24"/>
          <w:szCs w:val="24"/>
        </w:rPr>
        <w:t>2</w:t>
      </w:r>
      <w:r w:rsidRPr="0017138C">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17138C"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17138C">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C3D349F"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1. Tiekėjo kvalifikacija turi atitikti šiame priede nustatytus reikalavimus kvalifikacijai.</w:t>
      </w:r>
    </w:p>
    <w:p w14:paraId="3318998B"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51C744E8"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3. Perkančioji organizacija nereikalauja, kad tiekėjai laikytųsi kokybės vadybos sistemos ir (arba) aplinkos apsaugos vadybos sistemos standartų.</w:t>
      </w:r>
    </w:p>
    <w:p w14:paraId="64AB6932"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17138C" w:rsidRPr="0017138C" w14:paraId="731FF0A7" w14:textId="77777777" w:rsidTr="0061424D">
        <w:trPr>
          <w:trHeight w:val="555"/>
        </w:trPr>
        <w:tc>
          <w:tcPr>
            <w:tcW w:w="709" w:type="dxa"/>
            <w:tcBorders>
              <w:top w:val="single" w:sz="4" w:space="0" w:color="auto"/>
              <w:left w:val="single" w:sz="4" w:space="0" w:color="auto"/>
              <w:bottom w:val="single" w:sz="4" w:space="0" w:color="auto"/>
              <w:right w:val="single" w:sz="4" w:space="0" w:color="auto"/>
            </w:tcBorders>
            <w:hideMark/>
          </w:tcPr>
          <w:p w14:paraId="1EEF991B"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Eil. Nr.</w:t>
            </w:r>
          </w:p>
        </w:tc>
        <w:tc>
          <w:tcPr>
            <w:tcW w:w="4552" w:type="dxa"/>
            <w:tcBorders>
              <w:top w:val="single" w:sz="4" w:space="0" w:color="auto"/>
              <w:left w:val="single" w:sz="4" w:space="0" w:color="auto"/>
              <w:bottom w:val="single" w:sz="4" w:space="0" w:color="auto"/>
              <w:right w:val="single" w:sz="4" w:space="0" w:color="auto"/>
            </w:tcBorders>
            <w:hideMark/>
          </w:tcPr>
          <w:p w14:paraId="68D15089"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Kvalifikacijos reikalavimų reikšmė</w:t>
            </w:r>
          </w:p>
        </w:tc>
        <w:tc>
          <w:tcPr>
            <w:tcW w:w="4662" w:type="dxa"/>
            <w:tcBorders>
              <w:top w:val="single" w:sz="4" w:space="0" w:color="auto"/>
              <w:left w:val="single" w:sz="4" w:space="0" w:color="auto"/>
              <w:bottom w:val="single" w:sz="4" w:space="0" w:color="auto"/>
              <w:right w:val="single" w:sz="4" w:space="0" w:color="auto"/>
            </w:tcBorders>
            <w:hideMark/>
          </w:tcPr>
          <w:p w14:paraId="410B8CA8"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Kvalifikacijos reikalavimus įrodantys dokumentai</w:t>
            </w:r>
          </w:p>
        </w:tc>
      </w:tr>
      <w:tr w:rsidR="0017138C" w:rsidRPr="0017138C" w14:paraId="3620EB51" w14:textId="77777777" w:rsidTr="0061424D">
        <w:trPr>
          <w:trHeight w:val="555"/>
        </w:trPr>
        <w:tc>
          <w:tcPr>
            <w:tcW w:w="709" w:type="dxa"/>
            <w:tcBorders>
              <w:top w:val="single" w:sz="4" w:space="0" w:color="auto"/>
              <w:left w:val="single" w:sz="4" w:space="0" w:color="auto"/>
              <w:bottom w:val="single" w:sz="4" w:space="0" w:color="auto"/>
              <w:right w:val="single" w:sz="4" w:space="0" w:color="auto"/>
            </w:tcBorders>
            <w:hideMark/>
          </w:tcPr>
          <w:p w14:paraId="2B603EE4"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1.1.</w:t>
            </w:r>
          </w:p>
        </w:tc>
        <w:tc>
          <w:tcPr>
            <w:tcW w:w="4552" w:type="dxa"/>
            <w:tcBorders>
              <w:top w:val="single" w:sz="4" w:space="0" w:color="auto"/>
              <w:left w:val="single" w:sz="4" w:space="0" w:color="auto"/>
              <w:bottom w:val="single" w:sz="4" w:space="0" w:color="auto"/>
              <w:right w:val="single" w:sz="4" w:space="0" w:color="auto"/>
            </w:tcBorders>
          </w:tcPr>
          <w:p w14:paraId="26596CFF"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bCs/>
                <w:sz w:val="24"/>
                <w:szCs w:val="24"/>
              </w:rPr>
            </w:pPr>
            <w:r w:rsidRPr="0061424D">
              <w:rPr>
                <w:rFonts w:ascii="Times New Roman" w:eastAsia="Arial" w:hAnsi="Times New Roman" w:cs="Times New Roman"/>
                <w:bCs/>
                <w:sz w:val="24"/>
                <w:szCs w:val="24"/>
              </w:rPr>
              <w:t xml:space="preserve">Tiekėjas privalo turėti teisę atlikti statinio projekto ekspertizę, kaip tai reglamentuota Lietuvos Respublikos statybos įstatymo 17 str. 1 d. </w:t>
            </w:r>
          </w:p>
          <w:p w14:paraId="4FB74701" w14:textId="77777777" w:rsidR="0061424D" w:rsidRPr="0061424D" w:rsidRDefault="0061424D" w:rsidP="0061424D">
            <w:pPr>
              <w:numPr>
                <w:ilvl w:val="1"/>
                <w:numId w:val="38"/>
              </w:numPr>
              <w:tabs>
                <w:tab w:val="left" w:pos="2108"/>
              </w:tabs>
              <w:spacing w:before="60" w:after="60" w:line="256" w:lineRule="auto"/>
              <w:rPr>
                <w:rFonts w:ascii="Times New Roman" w:eastAsia="Arial" w:hAnsi="Times New Roman" w:cs="Times New Roman"/>
                <w:bCs/>
                <w:sz w:val="24"/>
                <w:szCs w:val="24"/>
              </w:rPr>
            </w:pPr>
            <w:r w:rsidRPr="0061424D">
              <w:rPr>
                <w:rFonts w:ascii="Times New Roman" w:eastAsia="Arial" w:hAnsi="Times New Roman" w:cs="Times New Roman"/>
                <w:bCs/>
                <w:sz w:val="24"/>
                <w:szCs w:val="24"/>
              </w:rPr>
              <w:t xml:space="preserve">Statiniai pagal </w:t>
            </w:r>
            <w:proofErr w:type="spellStart"/>
            <w:r w:rsidRPr="0061424D">
              <w:rPr>
                <w:rFonts w:ascii="Times New Roman" w:eastAsia="Arial" w:hAnsi="Times New Roman" w:cs="Times New Roman"/>
                <w:bCs/>
                <w:sz w:val="24"/>
                <w:szCs w:val="24"/>
              </w:rPr>
              <w:t>STR</w:t>
            </w:r>
            <w:proofErr w:type="spellEnd"/>
            <w:r w:rsidRPr="0061424D">
              <w:rPr>
                <w:rFonts w:ascii="Times New Roman" w:eastAsia="Arial" w:hAnsi="Times New Roman" w:cs="Times New Roman"/>
                <w:bCs/>
                <w:sz w:val="24"/>
                <w:szCs w:val="24"/>
              </w:rPr>
              <w:t xml:space="preserve"> 1.02.01:2017:</w:t>
            </w:r>
          </w:p>
          <w:p w14:paraId="452BDF6F"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bCs/>
                <w:sz w:val="24"/>
                <w:szCs w:val="24"/>
              </w:rPr>
            </w:pPr>
            <w:r w:rsidRPr="0061424D">
              <w:rPr>
                <w:rFonts w:ascii="Times New Roman" w:eastAsia="Arial" w:hAnsi="Times New Roman" w:cs="Times New Roman"/>
                <w:b/>
                <w:bCs/>
                <w:sz w:val="24"/>
                <w:szCs w:val="24"/>
              </w:rPr>
              <w:t>Statinių kategorija</w:t>
            </w:r>
            <w:r w:rsidRPr="0061424D">
              <w:rPr>
                <w:rFonts w:ascii="Times New Roman" w:eastAsia="Arial" w:hAnsi="Times New Roman" w:cs="Times New Roman"/>
                <w:bCs/>
                <w:sz w:val="24"/>
                <w:szCs w:val="24"/>
              </w:rPr>
              <w:t xml:space="preserve"> </w:t>
            </w:r>
          </w:p>
          <w:p w14:paraId="3F2778A5" w14:textId="77777777" w:rsidR="0061424D" w:rsidRPr="0061424D" w:rsidRDefault="0061424D" w:rsidP="0061424D">
            <w:pPr>
              <w:numPr>
                <w:ilvl w:val="0"/>
                <w:numId w:val="39"/>
              </w:numPr>
              <w:tabs>
                <w:tab w:val="left" w:pos="2108"/>
              </w:tabs>
              <w:spacing w:before="60" w:after="60" w:line="256" w:lineRule="auto"/>
              <w:rPr>
                <w:rFonts w:ascii="Times New Roman" w:eastAsia="Arial" w:hAnsi="Times New Roman" w:cs="Times New Roman"/>
                <w:bCs/>
                <w:sz w:val="24"/>
                <w:szCs w:val="24"/>
              </w:rPr>
            </w:pPr>
            <w:r w:rsidRPr="0061424D">
              <w:rPr>
                <w:rFonts w:ascii="Times New Roman" w:eastAsia="Arial" w:hAnsi="Times New Roman" w:cs="Times New Roman"/>
                <w:bCs/>
                <w:sz w:val="24"/>
                <w:szCs w:val="24"/>
              </w:rPr>
              <w:t>nesudėtingi statiniai;</w:t>
            </w:r>
          </w:p>
          <w:p w14:paraId="684C2B2E"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bCs/>
                <w:sz w:val="24"/>
                <w:szCs w:val="24"/>
              </w:rPr>
            </w:pPr>
            <w:r w:rsidRPr="0061424D">
              <w:rPr>
                <w:rFonts w:ascii="Times New Roman" w:eastAsia="Arial" w:hAnsi="Times New Roman" w:cs="Times New Roman"/>
                <w:b/>
                <w:bCs/>
                <w:sz w:val="24"/>
                <w:szCs w:val="24"/>
              </w:rPr>
              <w:t>Statinių grupė</w:t>
            </w:r>
            <w:r w:rsidRPr="0061424D">
              <w:rPr>
                <w:rFonts w:ascii="Times New Roman" w:eastAsia="Arial" w:hAnsi="Times New Roman" w:cs="Times New Roman"/>
                <w:bCs/>
                <w:sz w:val="24"/>
                <w:szCs w:val="24"/>
              </w:rPr>
              <w:t xml:space="preserve"> </w:t>
            </w:r>
          </w:p>
          <w:p w14:paraId="4D216A5D" w14:textId="77777777" w:rsidR="0061424D" w:rsidRPr="0061424D" w:rsidRDefault="0061424D" w:rsidP="0061424D">
            <w:pPr>
              <w:numPr>
                <w:ilvl w:val="0"/>
                <w:numId w:val="39"/>
              </w:numPr>
              <w:tabs>
                <w:tab w:val="left" w:pos="2108"/>
              </w:tabs>
              <w:spacing w:before="60" w:after="60" w:line="256" w:lineRule="auto"/>
              <w:rPr>
                <w:rFonts w:ascii="Times New Roman" w:eastAsia="Arial" w:hAnsi="Times New Roman" w:cs="Times New Roman"/>
                <w:bCs/>
                <w:sz w:val="24"/>
                <w:szCs w:val="24"/>
              </w:rPr>
            </w:pPr>
            <w:r w:rsidRPr="0061424D">
              <w:rPr>
                <w:rFonts w:ascii="Times New Roman" w:eastAsia="Arial" w:hAnsi="Times New Roman" w:cs="Times New Roman"/>
                <w:bCs/>
                <w:sz w:val="24"/>
                <w:szCs w:val="24"/>
              </w:rPr>
              <w:t>kelių (susisiekimo komunikacijos)</w:t>
            </w:r>
          </w:p>
          <w:p w14:paraId="15FA45C8" w14:textId="77777777" w:rsidR="0061424D" w:rsidRPr="0061424D" w:rsidRDefault="0061424D" w:rsidP="0061424D">
            <w:pPr>
              <w:numPr>
                <w:ilvl w:val="1"/>
                <w:numId w:val="38"/>
              </w:numPr>
              <w:tabs>
                <w:tab w:val="left" w:pos="2108"/>
              </w:tabs>
              <w:spacing w:before="60" w:after="60" w:line="256" w:lineRule="auto"/>
              <w:rPr>
                <w:rFonts w:ascii="Times New Roman" w:eastAsia="Arial" w:hAnsi="Times New Roman" w:cs="Times New Roman"/>
                <w:bCs/>
                <w:sz w:val="24"/>
                <w:szCs w:val="24"/>
              </w:rPr>
            </w:pPr>
            <w:r w:rsidRPr="0061424D">
              <w:rPr>
                <w:rFonts w:ascii="Times New Roman" w:eastAsia="Arial" w:hAnsi="Times New Roman" w:cs="Times New Roman"/>
                <w:bCs/>
                <w:sz w:val="24"/>
                <w:szCs w:val="24"/>
              </w:rPr>
              <w:t>Taip pat 1.1. p. nurodyti statiniai, esantys kultūros paveldo objekto teritorijoje, jo apsaugos zonoje ar kultūros paveldo vietovėje.</w:t>
            </w:r>
          </w:p>
          <w:p w14:paraId="3D53D4E2"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bCs/>
                <w:sz w:val="24"/>
                <w:szCs w:val="24"/>
              </w:rPr>
            </w:pPr>
          </w:p>
          <w:p w14:paraId="541ACA07"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bCs/>
                <w:sz w:val="24"/>
                <w:szCs w:val="24"/>
              </w:rPr>
            </w:pPr>
            <w:r w:rsidRPr="0061424D">
              <w:rPr>
                <w:rFonts w:ascii="Times New Roman" w:eastAsia="Arial" w:hAnsi="Times New Roman" w:cs="Times New Roman"/>
                <w:bCs/>
                <w:sz w:val="24"/>
                <w:szCs w:val="24"/>
              </w:rPr>
              <w:t xml:space="preserve">Pastabos: </w:t>
            </w:r>
          </w:p>
          <w:p w14:paraId="22C545E9"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bCs/>
                <w:sz w:val="24"/>
                <w:szCs w:val="24"/>
              </w:rPr>
            </w:pPr>
            <w:r w:rsidRPr="0061424D">
              <w:rPr>
                <w:rFonts w:ascii="Times New Roman" w:eastAsia="Arial" w:hAnsi="Times New Roman" w:cs="Times New Roman"/>
                <w:bCs/>
                <w:sz w:val="24"/>
                <w:szCs w:val="24"/>
              </w:rPr>
              <w:t>1) jeigu pasiūlymą teikia ūkio subjektų grupė – reikalavimus turi atitikti ūkio subjektų grupės narys (-</w:t>
            </w:r>
            <w:proofErr w:type="spellStart"/>
            <w:r w:rsidRPr="0061424D">
              <w:rPr>
                <w:rFonts w:ascii="Times New Roman" w:eastAsia="Arial" w:hAnsi="Times New Roman" w:cs="Times New Roman"/>
                <w:bCs/>
                <w:sz w:val="24"/>
                <w:szCs w:val="24"/>
              </w:rPr>
              <w:t>iai</w:t>
            </w:r>
            <w:proofErr w:type="spellEnd"/>
            <w:r w:rsidRPr="0061424D">
              <w:rPr>
                <w:rFonts w:ascii="Times New Roman" w:eastAsia="Arial" w:hAnsi="Times New Roman" w:cs="Times New Roman"/>
                <w:bCs/>
                <w:sz w:val="24"/>
                <w:szCs w:val="24"/>
              </w:rPr>
              <w:t xml:space="preserve">), atsižvelgiant į jų prisiimamus įsipareigojimus pirkimo sutarčiai vykdyti; </w:t>
            </w:r>
          </w:p>
          <w:p w14:paraId="0517CD8C"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bCs/>
                <w:sz w:val="24"/>
                <w:szCs w:val="24"/>
              </w:rPr>
            </w:pPr>
            <w:r w:rsidRPr="0061424D">
              <w:rPr>
                <w:rFonts w:ascii="Times New Roman" w:eastAsia="Arial" w:hAnsi="Times New Roman" w:cs="Times New Roman"/>
                <w:bCs/>
                <w:sz w:val="24"/>
                <w:szCs w:val="24"/>
              </w:rPr>
              <w:lastRenderedPageBreak/>
              <w:t>2) tiekėjas gali remtis kitų ūkio subjektų pajėgumais atsižvelgiant į jų prisiimamus įsipareigojimus pirkimo sutarčiai vykdyti.</w:t>
            </w:r>
          </w:p>
        </w:tc>
        <w:tc>
          <w:tcPr>
            <w:tcW w:w="4662" w:type="dxa"/>
            <w:tcBorders>
              <w:top w:val="single" w:sz="4" w:space="0" w:color="auto"/>
              <w:left w:val="single" w:sz="4" w:space="0" w:color="auto"/>
              <w:bottom w:val="single" w:sz="4" w:space="0" w:color="auto"/>
              <w:right w:val="single" w:sz="4" w:space="0" w:color="auto"/>
            </w:tcBorders>
          </w:tcPr>
          <w:p w14:paraId="7D35156D"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lastRenderedPageBreak/>
              <w:t>PATEIKIAMA:</w:t>
            </w:r>
          </w:p>
          <w:p w14:paraId="7883DED2"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 xml:space="preserve">1. Jeigu Tiekėjas yra fizinis asmuo, registruotas Lietuvos Respublikoje, Perkantysis subjektas pats patikrins dokumentus, įrodančius teisę atlikti nesudėtingo statinio projekto ekspertizę Statybos sektoriaus vystymo agentūros (anksčiau - VšĮ Statybos sektoriaus vystymo agentūros) ir Lietuvos architektų rūmų interneto svetainėse (www.ssva.lt; www.laris.lt). </w:t>
            </w:r>
          </w:p>
          <w:p w14:paraId="7608119A"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 xml:space="preserve">2. Jeigu Tiekėjas yra juridinis asmuo, registruotas Lietuvos Respublikoje, papildomai tiekėjas turi pateikti su Tiekėju  darbo ar kitų sutartinių santykių pagrindu dirbančių fizinių asmenų, turinčių teisę būti 2.1 punkte nurodytų statinių projekto ekspertizės vadovais, vardus ir pavardes bei dokumentų, įrodančių jų teisę būti statinio projekto ekspertizės vadovais, kopiją**.  </w:t>
            </w:r>
          </w:p>
          <w:p w14:paraId="2E982FC4"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p>
          <w:p w14:paraId="1F6D3E8F"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lastRenderedPageBreak/>
              <w:t xml:space="preserve">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bei teisės pripažinimo pažymų skaitmenines kopijas. Jei pasiūlymą teikia šiame punkte nurodytas užsienio Tiekėjas, turintis atestatą (licenciją, leidimą ar kitą dokumentą), suteikiantį teisę teikti atitinkamas paslaugas ne Lietuvos Respublikoje, gali būti pateiktos patvirtinančių dokumentų, jog juridinis asmuo kreipėsi į Statybos produkcijos sertifikavimo centrą/VšĮ Statybos sektoriaus vystymo agentūrą dėl teisės pripažinimo dokumento išdavimo (kaip tai numatyta </w:t>
            </w:r>
            <w:proofErr w:type="spellStart"/>
            <w:r w:rsidRPr="0061424D">
              <w:rPr>
                <w:rFonts w:ascii="Times New Roman" w:eastAsia="Arial" w:hAnsi="Times New Roman" w:cs="Times New Roman"/>
                <w:sz w:val="24"/>
                <w:szCs w:val="24"/>
              </w:rPr>
              <w:t>STR</w:t>
            </w:r>
            <w:proofErr w:type="spellEnd"/>
            <w:r w:rsidRPr="0061424D">
              <w:rPr>
                <w:rFonts w:ascii="Times New Roman" w:eastAsia="Arial" w:hAnsi="Times New Roman" w:cs="Times New Roman"/>
                <w:sz w:val="24"/>
                <w:szCs w:val="24"/>
              </w:rPr>
              <w:t xml:space="preserve"> 1.02.01:2017 VIII ir IX skyriuose) skaitmeninės kopijos. Tokiu atveju, kai užsienio Tiekėjas įrodymui pateikia ne teisės pripažinimo dokumentą, o kitus dokumentus, teisės pripažinimo dokumentą jis privalės pateikti per Perkančiojo subjekto nustatytą protingą </w:t>
            </w:r>
            <w:proofErr w:type="spellStart"/>
            <w:r w:rsidRPr="0061424D">
              <w:rPr>
                <w:rFonts w:ascii="Times New Roman" w:eastAsia="Arial" w:hAnsi="Times New Roman" w:cs="Times New Roman"/>
                <w:sz w:val="24"/>
                <w:szCs w:val="24"/>
              </w:rPr>
              <w:t>terminą²</w:t>
            </w:r>
            <w:proofErr w:type="spellEnd"/>
            <w:r w:rsidRPr="0061424D">
              <w:rPr>
                <w:rFonts w:ascii="Times New Roman" w:eastAsia="Arial" w:hAnsi="Times New Roman" w:cs="Times New Roman"/>
                <w:sz w:val="24"/>
                <w:szCs w:val="24"/>
              </w:rPr>
              <w:t xml:space="preserve"> iki Sutarties pasirašymo.</w:t>
            </w:r>
          </w:p>
          <w:p w14:paraId="3D05AAF2"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p>
          <w:p w14:paraId="1D7BEC32"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**Pirkimo vykdytojas nereikalauja iš tiekėjo pateikti dokumentų, patvirtinančių jo atitiktį kvalifikacijos reikalavimams, jeigu jis gali susipažinti su šiais dokumentais ar informacija tiesiogiai ir neatlygintinai prisijungęs prie nacionalinės duomenų bazės bet kurioje valstybėje narėje arba naudodamasis CVP IS priemonėmis, arba šiuos dokumentus jau turi iš ankstesnių pirkimo procedūrų, jei šie dokumentai tebėra aktualūs ir galiojantys. Tokiu atveju tiekėjas pateikia atestato Nr.</w:t>
            </w:r>
          </w:p>
        </w:tc>
      </w:tr>
    </w:tbl>
    <w:p w14:paraId="7483B964" w14:textId="77777777" w:rsidR="0061424D" w:rsidRPr="0017138C" w:rsidRDefault="0061424D" w:rsidP="0061424D">
      <w:pPr>
        <w:tabs>
          <w:tab w:val="left" w:pos="2108"/>
        </w:tabs>
        <w:spacing w:before="60" w:after="60" w:line="256" w:lineRule="auto"/>
        <w:ind w:firstLine="0"/>
        <w:rPr>
          <w:rFonts w:ascii="Times New Roman" w:eastAsia="Arial" w:hAnsi="Times New Roman" w:cs="Times New Roman"/>
          <w:sz w:val="24"/>
          <w:szCs w:val="24"/>
          <w:highlight w:val="yellow"/>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7138C">
      <w:pPr>
        <w:spacing w:line="240" w:lineRule="auto"/>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6D87AA0"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B34D94">
        <w:rPr>
          <w:rFonts w:ascii="Times New Roman" w:hAnsi="Times New Roman" w:cs="Times New Roman"/>
          <w:sz w:val="24"/>
          <w:szCs w:val="24"/>
        </w:rPr>
        <w:t xml:space="preserve">NT registrų išrašas </w:t>
      </w:r>
      <w:proofErr w:type="spellStart"/>
      <w:r w:rsidR="00B34D94">
        <w:rPr>
          <w:rFonts w:ascii="Times New Roman" w:hAnsi="Times New Roman" w:cs="Times New Roman"/>
          <w:sz w:val="24"/>
          <w:szCs w:val="24"/>
        </w:rPr>
        <w:t>staitniui</w:t>
      </w:r>
      <w:proofErr w:type="spellEnd"/>
      <w:r w:rsidR="008553A7">
        <w:rPr>
          <w:rFonts w:ascii="Times New Roman" w:hAnsi="Times New Roman" w:cs="Times New Roman"/>
          <w:sz w:val="24"/>
          <w:szCs w:val="24"/>
        </w:rPr>
        <w:t>“</w:t>
      </w:r>
      <w:r w:rsidR="00B34D94">
        <w:rPr>
          <w:rFonts w:ascii="Times New Roman" w:hAnsi="Times New Roman" w:cs="Times New Roman"/>
          <w:sz w:val="24"/>
          <w:szCs w:val="24"/>
        </w:rPr>
        <w:t xml:space="preserve">, </w:t>
      </w:r>
      <w:r w:rsidR="00B34D94">
        <w:rPr>
          <w:rFonts w:ascii="Times New Roman" w:hAnsi="Times New Roman" w:cs="Times New Roman"/>
          <w:sz w:val="24"/>
          <w:szCs w:val="24"/>
        </w:rPr>
        <w:t>„NT registrų išrašas s</w:t>
      </w:r>
      <w:r w:rsidR="00B34D94">
        <w:rPr>
          <w:rFonts w:ascii="Times New Roman" w:hAnsi="Times New Roman" w:cs="Times New Roman"/>
          <w:sz w:val="24"/>
          <w:szCs w:val="24"/>
        </w:rPr>
        <w:t>klypui</w:t>
      </w:r>
      <w:r w:rsidR="00B34D94">
        <w:rPr>
          <w:rFonts w:ascii="Times New Roman" w:hAnsi="Times New Roman" w:cs="Times New Roman"/>
          <w:sz w:val="24"/>
          <w:szCs w:val="24"/>
        </w:rPr>
        <w:t>“</w:t>
      </w:r>
      <w:r w:rsidR="0061424D">
        <w:rPr>
          <w:rFonts w:ascii="Times New Roman" w:hAnsi="Times New Roman" w:cs="Times New Roman"/>
          <w:sz w:val="24"/>
          <w:szCs w:val="24"/>
        </w:rPr>
        <w:t>, „Tako planas“, „Kelio planas“, „Aikštės planas“</w:t>
      </w:r>
      <w:r w:rsidR="00B34D94">
        <w:rPr>
          <w:rFonts w:ascii="Times New Roman" w:hAnsi="Times New Roman" w:cs="Times New Roman"/>
          <w:sz w:val="24"/>
          <w:szCs w:val="24"/>
        </w:rPr>
        <w:t xml:space="preserve"> </w:t>
      </w:r>
      <w:r w:rsidR="008553A7">
        <w:rPr>
          <w:rFonts w:ascii="Times New Roman" w:hAnsi="Times New Roman" w:cs="Times New Roman"/>
          <w:sz w:val="24"/>
          <w:szCs w:val="24"/>
        </w:rPr>
        <w:t xml:space="preserve"> ir </w:t>
      </w:r>
      <w:r w:rsidRPr="00A53B55">
        <w:rPr>
          <w:rFonts w:ascii="Times New Roman" w:hAnsi="Times New Roman" w:cs="Times New Roman"/>
          <w:sz w:val="24"/>
          <w:szCs w:val="24"/>
        </w:rPr>
        <w:t>„</w:t>
      </w:r>
      <w:r w:rsidR="00665A15">
        <w:rPr>
          <w:rFonts w:ascii="Times New Roman" w:hAnsi="Times New Roman" w:cs="Times New Roman"/>
          <w:sz w:val="24"/>
          <w:szCs w:val="24"/>
        </w:rPr>
        <w:t xml:space="preserve">Techninė </w:t>
      </w:r>
      <w:r w:rsidR="008553A7">
        <w:rPr>
          <w:rFonts w:ascii="Times New Roman" w:hAnsi="Times New Roman" w:cs="Times New Roman"/>
          <w:sz w:val="24"/>
          <w:szCs w:val="24"/>
        </w:rPr>
        <w:t>užduotis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5C112771"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w:t>
      </w:r>
      <w:r w:rsidR="0061424D">
        <w:rPr>
          <w:rFonts w:ascii="Times New Roman" w:eastAsia="Calibri" w:hAnsi="Times New Roman" w:cs="Times New Roman"/>
          <w:bCs/>
          <w:sz w:val="24"/>
          <w:szCs w:val="24"/>
          <w:lang w:eastAsia="en-US"/>
        </w:rPr>
        <w:t xml:space="preserve">ais </w:t>
      </w:r>
      <w:r w:rsidRPr="00551B4E">
        <w:rPr>
          <w:rFonts w:ascii="Times New Roman" w:eastAsia="Calibri" w:hAnsi="Times New Roman" w:cs="Times New Roman"/>
          <w:bCs/>
          <w:sz w:val="24"/>
          <w:szCs w:val="24"/>
          <w:lang w:eastAsia="en-US"/>
        </w:rPr>
        <w:t>dokument</w:t>
      </w:r>
      <w:r w:rsidR="0061424D">
        <w:rPr>
          <w:rFonts w:ascii="Times New Roman" w:eastAsia="Calibri" w:hAnsi="Times New Roman" w:cs="Times New Roman"/>
          <w:bCs/>
          <w:sz w:val="24"/>
          <w:szCs w:val="24"/>
          <w:lang w:eastAsia="en-US"/>
        </w:rPr>
        <w:t>ais.</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55D6" w14:textId="77777777" w:rsidR="00C56C99" w:rsidRDefault="00C56C99" w:rsidP="00D05666">
      <w:r>
        <w:separator/>
      </w:r>
    </w:p>
  </w:endnote>
  <w:endnote w:type="continuationSeparator" w:id="0">
    <w:p w14:paraId="468AFD3D" w14:textId="77777777" w:rsidR="00C56C99" w:rsidRDefault="00C56C99" w:rsidP="00D05666">
      <w:r>
        <w:continuationSeparator/>
      </w:r>
    </w:p>
  </w:endnote>
  <w:endnote w:type="continuationNotice" w:id="1">
    <w:p w14:paraId="75FB9B73" w14:textId="77777777" w:rsidR="00C56C99" w:rsidRDefault="00C56C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2A24" w14:textId="77777777" w:rsidR="00C56C99" w:rsidRDefault="00C56C99" w:rsidP="00D05666">
      <w:r>
        <w:separator/>
      </w:r>
    </w:p>
  </w:footnote>
  <w:footnote w:type="continuationSeparator" w:id="0">
    <w:p w14:paraId="20D90EEC" w14:textId="77777777" w:rsidR="00C56C99" w:rsidRDefault="00C56C99" w:rsidP="00D05666">
      <w:r>
        <w:continuationSeparator/>
      </w:r>
    </w:p>
  </w:footnote>
  <w:footnote w:type="continuationNotice" w:id="1">
    <w:p w14:paraId="1E98BD54" w14:textId="77777777" w:rsidR="00C56C99" w:rsidRDefault="00C56C99">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2"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6"/>
  </w:num>
  <w:num w:numId="3" w16cid:durableId="869801266">
    <w:abstractNumId w:val="13"/>
  </w:num>
  <w:num w:numId="4" w16cid:durableId="810169850">
    <w:abstractNumId w:val="37"/>
  </w:num>
  <w:num w:numId="5" w16cid:durableId="2066105209">
    <w:abstractNumId w:val="6"/>
  </w:num>
  <w:num w:numId="6" w16cid:durableId="214121129">
    <w:abstractNumId w:val="3"/>
  </w:num>
  <w:num w:numId="7" w16cid:durableId="896160301">
    <w:abstractNumId w:val="14"/>
  </w:num>
  <w:num w:numId="8" w16cid:durableId="1067147350">
    <w:abstractNumId w:val="32"/>
  </w:num>
  <w:num w:numId="9" w16cid:durableId="1869441202">
    <w:abstractNumId w:val="30"/>
  </w:num>
  <w:num w:numId="10" w16cid:durableId="1830631760">
    <w:abstractNumId w:val="5"/>
  </w:num>
  <w:num w:numId="11" w16cid:durableId="1484152999">
    <w:abstractNumId w:val="34"/>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7"/>
  </w:num>
  <w:num w:numId="17" w16cid:durableId="1852449030">
    <w:abstractNumId w:val="0"/>
  </w:num>
  <w:num w:numId="18" w16cid:durableId="187957902">
    <w:abstractNumId w:val="10"/>
  </w:num>
  <w:num w:numId="19" w16cid:durableId="1598174664">
    <w:abstractNumId w:val="23"/>
  </w:num>
  <w:num w:numId="20" w16cid:durableId="642275709">
    <w:abstractNumId w:val="31"/>
  </w:num>
  <w:num w:numId="21" w16cid:durableId="194852591">
    <w:abstractNumId w:val="8"/>
  </w:num>
  <w:num w:numId="22" w16cid:durableId="590166092">
    <w:abstractNumId w:val="17"/>
  </w:num>
  <w:num w:numId="23" w16cid:durableId="1060514823">
    <w:abstractNumId w:val="11"/>
  </w:num>
  <w:num w:numId="24" w16cid:durableId="1265923749">
    <w:abstractNumId w:val="22"/>
  </w:num>
  <w:num w:numId="25" w16cid:durableId="263736200">
    <w:abstractNumId w:val="7"/>
  </w:num>
  <w:num w:numId="26" w16cid:durableId="1754162179">
    <w:abstractNumId w:val="24"/>
  </w:num>
  <w:num w:numId="27" w16cid:durableId="2000497873">
    <w:abstractNumId w:val="29"/>
  </w:num>
  <w:num w:numId="28" w16cid:durableId="2099784633">
    <w:abstractNumId w:val="36"/>
  </w:num>
  <w:num w:numId="29" w16cid:durableId="1505051528">
    <w:abstractNumId w:val="28"/>
  </w:num>
  <w:num w:numId="30" w16cid:durableId="1179154256">
    <w:abstractNumId w:val="1"/>
  </w:num>
  <w:num w:numId="31" w16cid:durableId="1835032054">
    <w:abstractNumId w:val="15"/>
  </w:num>
  <w:num w:numId="32" w16cid:durableId="557478283">
    <w:abstractNumId w:val="2"/>
  </w:num>
  <w:num w:numId="33" w16cid:durableId="2000309092">
    <w:abstractNumId w:val="33"/>
  </w:num>
  <w:num w:numId="34" w16cid:durableId="2100560925">
    <w:abstractNumId w:val="12"/>
  </w:num>
  <w:num w:numId="35" w16cid:durableId="613556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 w:numId="38" w16cid:durableId="250092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6728017">
    <w:abstractNumId w:val="35"/>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38C"/>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24D"/>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081"/>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D94"/>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6C99"/>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3A94"/>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92400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89808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3680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26</Pages>
  <Words>28116</Words>
  <Characters>16027</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490</cp:revision>
  <cp:lastPrinted>2023-09-08T12:30:00Z</cp:lastPrinted>
  <dcterms:created xsi:type="dcterms:W3CDTF">2023-10-09T12:07:00Z</dcterms:created>
  <dcterms:modified xsi:type="dcterms:W3CDTF">2025-04-24T13:10:00Z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