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9E3FA6E" w:rsidR="00D526C8" w:rsidRPr="0026582C" w:rsidRDefault="00C006CB" w:rsidP="0026582C">
          <w:pPr>
            <w:ind w:left="71"/>
            <w:jc w:val="center"/>
            <w:rPr>
              <w:b/>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proofErr w:type="spellStart"/>
          <w:r w:rsidR="00703097">
            <w:rPr>
              <w:rFonts w:ascii="Times New Roman" w:hAnsi="Times New Roman" w:cs="Times New Roman"/>
              <w:b/>
              <w:sz w:val="24"/>
              <w:szCs w:val="24"/>
            </w:rPr>
            <w:t>Valykliai</w:t>
          </w:r>
          <w:proofErr w:type="spellEnd"/>
          <w:r w:rsidR="00703097">
            <w:rPr>
              <w:rFonts w:ascii="Times New Roman" w:hAnsi="Times New Roman" w:cs="Times New Roman"/>
              <w:b/>
              <w:sz w:val="24"/>
              <w:szCs w:val="24"/>
            </w:rPr>
            <w:t xml:space="preserve"> ir poliravimo priemonės</w:t>
          </w:r>
          <w:r w:rsidR="0026582C" w:rsidRPr="0026582C">
            <w:rPr>
              <w:rFonts w:ascii="Times New Roman" w:hAnsi="Times New Roman" w:cs="Times New Roman"/>
              <w:b/>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5490BFFC" w:rsidR="00EB33C5" w:rsidRPr="00D302F5" w:rsidRDefault="009C0314" w:rsidP="00EB33C5">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Pagal TS-194 </w:t>
          </w:r>
          <w:bookmarkStart w:id="0" w:name="_GoBack"/>
          <w:bookmarkEnd w:id="0"/>
          <w:r w:rsidR="00D302F5" w:rsidRPr="00D302F5">
            <w:rPr>
              <w:rFonts w:ascii="Times New Roman" w:hAnsi="Times New Roman" w:cs="Times New Roman"/>
              <w:b/>
              <w:bCs/>
              <w:sz w:val="24"/>
              <w:szCs w:val="24"/>
            </w:rPr>
            <w:t xml:space="preserve">reikalinga tik 2 </w:t>
          </w:r>
          <w:proofErr w:type="spellStart"/>
          <w:r w:rsidR="00D302F5" w:rsidRPr="00D302F5">
            <w:rPr>
              <w:rFonts w:ascii="Times New Roman" w:hAnsi="Times New Roman" w:cs="Times New Roman"/>
              <w:b/>
              <w:bCs/>
              <w:sz w:val="24"/>
              <w:szCs w:val="24"/>
            </w:rPr>
            <w:t>poz</w:t>
          </w:r>
          <w:proofErr w:type="spellEnd"/>
          <w:r w:rsidR="00D302F5" w:rsidRPr="00D302F5">
            <w:rPr>
              <w:rFonts w:ascii="Times New Roman" w:hAnsi="Times New Roman" w:cs="Times New Roman"/>
              <w:b/>
              <w:bCs/>
              <w:sz w:val="24"/>
              <w:szCs w:val="24"/>
            </w:rPr>
            <w:t>. Įvairių paviršių – įrengimų valymas/</w:t>
          </w:r>
          <w:proofErr w:type="spellStart"/>
          <w:r w:rsidR="00D302F5" w:rsidRPr="00D302F5">
            <w:rPr>
              <w:rFonts w:ascii="Times New Roman" w:hAnsi="Times New Roman" w:cs="Times New Roman"/>
              <w:b/>
              <w:bCs/>
              <w:sz w:val="24"/>
              <w:szCs w:val="24"/>
            </w:rPr>
            <w:t>nuriebalinimas</w:t>
          </w:r>
          <w:proofErr w:type="spellEnd"/>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38251D"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199E7DC" w14:textId="5860A814" w:rsidR="00520FD1" w:rsidRDefault="00520FD1" w:rsidP="00520FD1">
      <w:bookmarkStart w:id="7" w:name="_Toc137194947"/>
      <w:bookmarkStart w:id="8" w:name="_Ref39666794"/>
      <w:bookmarkStart w:id="9" w:name="_Ref39666796"/>
      <w:bookmarkStart w:id="10"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7"/>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 xml:space="preserve">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5956CC">
        <w:rPr>
          <w:rFonts w:ascii="Times New Roman" w:hAnsi="Times New Roman" w:cs="Times New Roman"/>
          <w:sz w:val="22"/>
          <w:szCs w:val="22"/>
        </w:rPr>
        <w:t>viesiejipirkimai.lt</w:t>
      </w:r>
      <w:proofErr w:type="spellEnd"/>
      <w:r w:rsidR="005956CC" w:rsidRPr="005956CC">
        <w:rPr>
          <w:rFonts w:ascii="Times New Roman" w:hAnsi="Times New Roman" w:cs="Times New Roman"/>
          <w:sz w:val="22"/>
          <w:szCs w:val="22"/>
        </w:rPr>
        <w:t>/).</w:t>
      </w:r>
    </w:p>
    <w:p w14:paraId="3882208D" w14:textId="0254BB7F"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703097">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2BBC197F" w14:textId="5794F2AF" w:rsidR="0026582C" w:rsidRPr="00D646C1" w:rsidRDefault="00B57274" w:rsidP="0026582C">
      <w:pPr>
        <w:spacing w:line="240" w:lineRule="auto"/>
        <w:rPr>
          <w:rFonts w:ascii="Times New Roman" w:hAnsi="Times New Roman" w:cs="Times New Roman"/>
          <w:sz w:val="24"/>
          <w:szCs w:val="24"/>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w:t>
      </w:r>
      <w:r w:rsidR="0026582C">
        <w:rPr>
          <w:rFonts w:ascii="Times New Roman" w:eastAsia="Times New Roman" w:hAnsi="Times New Roman" w:cs="Times New Roman"/>
          <w:sz w:val="24"/>
          <w:szCs w:val="24"/>
        </w:rPr>
        <w:t>P</w:t>
      </w:r>
      <w:r w:rsidR="0026582C" w:rsidRPr="0077113C">
        <w:rPr>
          <w:rFonts w:ascii="Times New Roman" w:eastAsia="Times New Roman" w:hAnsi="Times New Roman" w:cs="Times New Roman"/>
          <w:sz w:val="24"/>
          <w:szCs w:val="24"/>
        </w:rPr>
        <w:t>erkamų prekių antrinės pakuotės turi atitikti Lietuvos Respublikos pakuočių ir pakuočių atliekų tvarkymo įstatymo ir Lietuvos Respublikos aplinkos ministro 2002 m. birželio 27 d. įsakymu Nr. 348 „Dėl pakuočių ir pakuočių atliekų tvarkymo taisyklių patvirtinimo“ patvirtintais pakuočių ar pakuočių atliekų tvarkymo reikalavimus</w:t>
      </w:r>
      <w:r w:rsidR="0026582C">
        <w:rPr>
          <w:rFonts w:ascii="Times New Roman" w:eastAsia="Times New Roman" w:hAnsi="Times New Roman" w:cs="Times New Roman"/>
          <w:sz w:val="24"/>
          <w:szCs w:val="24"/>
        </w:rPr>
        <w:t>.</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13DA90AC"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 xml:space="preserve">ijusius su pirkimų procedūromis – LK LV ĮAT Administracijos Įsigijimų skyriaus prekių </w:t>
      </w:r>
      <w:r w:rsidR="00EC1C80">
        <w:rPr>
          <w:rFonts w:ascii="Times New Roman" w:eastAsia="Times New Roman" w:hAnsi="Times New Roman" w:cs="Times New Roman"/>
          <w:sz w:val="22"/>
          <w:szCs w:val="22"/>
        </w:rPr>
        <w:t>ir paslaugų pirkimo specialistė.</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1BF3BCAF"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703097" w:rsidRPr="00703097">
        <w:rPr>
          <w:rFonts w:ascii="Times New Roman" w:hAnsi="Times New Roman" w:cs="Times New Roman"/>
          <w:sz w:val="22"/>
          <w:szCs w:val="22"/>
        </w:rPr>
        <w:t>nukalkinimo priemones</w:t>
      </w:r>
      <w:r w:rsidR="00D53DB0" w:rsidRPr="00034D9D">
        <w:rPr>
          <w:bCs/>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D53DB0">
        <w:rPr>
          <w:rFonts w:ascii="Times New Roman" w:hAnsi="Times New Roman" w:cs="Times New Roman"/>
          <w:sz w:val="22"/>
          <w:szCs w:val="22"/>
        </w:rPr>
        <w:t xml:space="preserve">priede </w:t>
      </w:r>
      <w:r w:rsidR="00456089" w:rsidRPr="00D53DB0">
        <w:rPr>
          <w:rFonts w:ascii="Times New Roman" w:hAnsi="Times New Roman" w:cs="Times New Roman"/>
          <w:sz w:val="22"/>
          <w:szCs w:val="22"/>
        </w:rPr>
        <w:t>,,</w:t>
      </w:r>
      <w:r w:rsidR="00703097" w:rsidRPr="00703097">
        <w:t xml:space="preserve"> </w:t>
      </w:r>
      <w:r w:rsidR="00703097" w:rsidRPr="00703097">
        <w:rPr>
          <w:rFonts w:ascii="Times New Roman" w:hAnsi="Times New Roman" w:cs="Times New Roman"/>
          <w:sz w:val="22"/>
          <w:szCs w:val="22"/>
        </w:rPr>
        <w:t>Įvairių paviršių – įrengimų valymas/</w:t>
      </w:r>
      <w:proofErr w:type="spellStart"/>
      <w:r w:rsidR="00703097" w:rsidRPr="00703097">
        <w:rPr>
          <w:rFonts w:ascii="Times New Roman" w:hAnsi="Times New Roman" w:cs="Times New Roman"/>
          <w:sz w:val="22"/>
          <w:szCs w:val="22"/>
        </w:rPr>
        <w:t>nuriebalinimas</w:t>
      </w:r>
      <w:proofErr w:type="spellEnd"/>
      <w:r w:rsidR="00703097">
        <w:rPr>
          <w:rFonts w:ascii="Times New Roman" w:hAnsi="Times New Roman" w:cs="Times New Roman"/>
          <w:sz w:val="22"/>
          <w:szCs w:val="22"/>
        </w:rPr>
        <w:t xml:space="preserve"> </w:t>
      </w:r>
      <w:r w:rsidR="00094C34">
        <w:rPr>
          <w:rFonts w:ascii="Times New Roman" w:hAnsi="Times New Roman" w:cs="Times New Roman"/>
          <w:sz w:val="22"/>
          <w:szCs w:val="22"/>
        </w:rPr>
        <w:t>(su atvežimu</w:t>
      </w:r>
      <w:r w:rsidR="00950478">
        <w:rPr>
          <w:rFonts w:ascii="Times New Roman" w:hAnsi="Times New Roman" w:cs="Times New Roman"/>
          <w:sz w:val="22"/>
          <w:szCs w:val="22"/>
        </w:rPr>
        <w:t>, t</w:t>
      </w:r>
      <w:r w:rsidR="00703097">
        <w:rPr>
          <w:rFonts w:ascii="Times New Roman" w:hAnsi="Times New Roman" w:cs="Times New Roman"/>
          <w:sz w:val="22"/>
          <w:szCs w:val="22"/>
        </w:rPr>
        <w:t>ransporto priemonė</w:t>
      </w:r>
      <w:r w:rsidR="00950478">
        <w:rPr>
          <w:rFonts w:ascii="Times New Roman" w:hAnsi="Times New Roman" w:cs="Times New Roman"/>
          <w:sz w:val="22"/>
          <w:szCs w:val="22"/>
        </w:rPr>
        <w:t xml:space="preserve"> privalo būti su </w:t>
      </w:r>
      <w:proofErr w:type="spellStart"/>
      <w:r w:rsidR="00950478">
        <w:rPr>
          <w:rFonts w:ascii="Times New Roman" w:hAnsi="Times New Roman" w:cs="Times New Roman"/>
          <w:sz w:val="22"/>
          <w:szCs w:val="22"/>
        </w:rPr>
        <w:t>pakėlėju</w:t>
      </w:r>
      <w:proofErr w:type="spellEnd"/>
      <w:r w:rsidR="00950478">
        <w:rPr>
          <w:rFonts w:ascii="Times New Roman" w:hAnsi="Times New Roman" w:cs="Times New Roman"/>
          <w:sz w:val="22"/>
          <w:szCs w:val="22"/>
        </w:rPr>
        <w:t xml:space="preserve"> „liftu“ patogiam prekių iškrovimui į sandėlius</w:t>
      </w:r>
      <w:r w:rsidR="00094C34">
        <w:rPr>
          <w:rFonts w:ascii="Times New Roman" w:hAnsi="Times New Roman" w:cs="Times New Roman"/>
          <w:sz w:val="22"/>
          <w:szCs w:val="22"/>
        </w:rPr>
        <w:t>) 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5324519B"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94C34">
        <w:rPr>
          <w:rFonts w:ascii="Times New Roman" w:hAnsi="Times New Roman" w:cs="Times New Roman"/>
          <w:sz w:val="22"/>
          <w:szCs w:val="22"/>
        </w:rPr>
        <w:t>atvežimo</w:t>
      </w:r>
      <w:r w:rsidR="002B0C60" w:rsidRPr="003D2881">
        <w:rPr>
          <w:rFonts w:ascii="Times New Roman" w:hAnsi="Times New Roman" w:cs="Times New Roman"/>
          <w:sz w:val="22"/>
          <w:szCs w:val="22"/>
        </w:rPr>
        <w:t xml:space="preserve"> </w:t>
      </w:r>
      <w:r w:rsidR="00834A3A">
        <w:rPr>
          <w:rFonts w:ascii="Times New Roman" w:hAnsi="Times New Roman" w:cs="Times New Roman"/>
          <w:sz w:val="22"/>
          <w:szCs w:val="22"/>
        </w:rPr>
        <w:t>adresas</w:t>
      </w:r>
      <w:r w:rsidR="00CD0D3E">
        <w:rPr>
          <w:rFonts w:ascii="Times New Roman" w:hAnsi="Times New Roman" w:cs="Times New Roman"/>
          <w:sz w:val="22"/>
          <w:szCs w:val="22"/>
        </w:rPr>
        <w:t>:</w:t>
      </w:r>
    </w:p>
    <w:p w14:paraId="3D90CC28" w14:textId="5DD0966A" w:rsidR="00530343" w:rsidRPr="00D53DB0" w:rsidRDefault="00CD0D3E"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2.3.1. </w:t>
      </w:r>
      <w:r w:rsidR="00703097">
        <w:rPr>
          <w:rFonts w:ascii="Times New Roman" w:hAnsi="Times New Roman" w:cs="Times New Roman"/>
          <w:bCs/>
          <w:sz w:val="22"/>
          <w:szCs w:val="22"/>
          <w:lang w:eastAsia="en-US"/>
        </w:rPr>
        <w:t>Jonavos r. Rukla, Laumės g. 3, Mokomojo pulko teritorija Lt-55025</w:t>
      </w:r>
      <w:r w:rsidR="00D53DB0" w:rsidRPr="00D53DB0">
        <w:rPr>
          <w:rFonts w:ascii="Times New Roman" w:hAnsi="Times New Roman" w:cs="Times New Roman"/>
          <w:bCs/>
          <w:sz w:val="22"/>
          <w:szCs w:val="22"/>
          <w:lang w:eastAsia="en-US"/>
        </w:rPr>
        <w:t>.</w:t>
      </w:r>
      <w:r w:rsidRPr="00D53DB0">
        <w:rPr>
          <w:rFonts w:ascii="Times New Roman" w:hAnsi="Times New Roman" w:cs="Times New Roman"/>
          <w:sz w:val="22"/>
          <w:szCs w:val="22"/>
        </w:rPr>
        <w:t>;</w:t>
      </w:r>
    </w:p>
    <w:p w14:paraId="77BC4895" w14:textId="2F812B72"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Sutarties galiojimo laikotarpiu, per 5</w:t>
      </w:r>
      <w:r w:rsidR="00703097">
        <w:rPr>
          <w:rFonts w:ascii="Times New Roman" w:hAnsi="Times New Roman" w:cs="Times New Roman"/>
          <w:sz w:val="22"/>
          <w:szCs w:val="22"/>
        </w:rPr>
        <w:t>-15</w:t>
      </w:r>
      <w:r w:rsidR="00865E25" w:rsidRPr="00865E25">
        <w:rPr>
          <w:rFonts w:ascii="Times New Roman" w:hAnsi="Times New Roman" w:cs="Times New Roman"/>
          <w:sz w:val="22"/>
          <w:szCs w:val="22"/>
        </w:rPr>
        <w:t xml:space="preserve"> darbo dienas nuo užsakymo el. p. pateikimo.</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lastRenderedPageBreak/>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1"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1358B62F" w14:textId="4D51E1CB" w:rsidR="00DA0C3D" w:rsidRDefault="00DA0C3D" w:rsidP="00DA0C3D">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EB77DB"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34B22E24" w14:textId="68E9EE56" w:rsidR="00EB77DB" w:rsidRPr="00EB77DB" w:rsidRDefault="00EB77DB" w:rsidP="00DA0C3D">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1"/>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8"/>
    <w:bookmarkEnd w:id="9"/>
    <w:bookmarkEnd w:id="10"/>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8048155" w14:textId="33D9DCE3"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C7C59E1"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.1. Pasiūlym</w:t>
      </w:r>
      <w:r w:rsidR="00834A3A">
        <w:rPr>
          <w:rFonts w:ascii="Times New Roman" w:eastAsia="Times New Roman" w:hAnsi="Times New Roman" w:cs="Times New Roman"/>
          <w:sz w:val="22"/>
          <w:szCs w:val="22"/>
        </w:rPr>
        <w:t>as turi galioti ne mažiau kaip 90</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devyniasdešimt</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dienų</w:t>
      </w:r>
      <w:r w:rsidR="00890470" w:rsidRPr="00890470">
        <w:rPr>
          <w:rFonts w:ascii="Times New Roman" w:eastAsia="Times New Roman" w:hAnsi="Times New Roman" w:cs="Times New Roman"/>
          <w:sz w:val="22"/>
          <w:szCs w:val="22"/>
        </w:rPr>
        <w:t xml:space="preserve">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6"/>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24EAD" w14:textId="77777777" w:rsidR="0038251D" w:rsidRDefault="0038251D" w:rsidP="00D05666">
      <w:r>
        <w:separator/>
      </w:r>
    </w:p>
  </w:endnote>
  <w:endnote w:type="continuationSeparator" w:id="0">
    <w:p w14:paraId="4532E041" w14:textId="77777777" w:rsidR="0038251D" w:rsidRDefault="0038251D" w:rsidP="00D05666">
      <w:r>
        <w:continuationSeparator/>
      </w:r>
    </w:p>
  </w:endnote>
  <w:endnote w:type="continuationNotice" w:id="1">
    <w:p w14:paraId="4EC76911" w14:textId="77777777" w:rsidR="0038251D" w:rsidRDefault="003825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9CAB2" w14:textId="77777777" w:rsidR="0038251D" w:rsidRDefault="0038251D" w:rsidP="00D05666">
      <w:r>
        <w:separator/>
      </w:r>
    </w:p>
  </w:footnote>
  <w:footnote w:type="continuationSeparator" w:id="0">
    <w:p w14:paraId="5BBCA34C" w14:textId="77777777" w:rsidR="0038251D" w:rsidRDefault="0038251D" w:rsidP="00D05666">
      <w:r>
        <w:continuationSeparator/>
      </w:r>
    </w:p>
  </w:footnote>
  <w:footnote w:type="continuationNotice" w:id="1">
    <w:p w14:paraId="791EBB63" w14:textId="77777777" w:rsidR="0038251D" w:rsidRDefault="003825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2200CF8" w:rsidR="0067176D" w:rsidRDefault="0067176D">
        <w:pPr>
          <w:pStyle w:val="Header"/>
          <w:jc w:val="center"/>
        </w:pPr>
        <w:r>
          <w:fldChar w:fldCharType="begin"/>
        </w:r>
        <w:r>
          <w:instrText>PAGE   \* MERGEFORMAT</w:instrText>
        </w:r>
        <w:r>
          <w:fldChar w:fldCharType="separate"/>
        </w:r>
        <w:r w:rsidR="009C0314">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82C"/>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51D"/>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A0C"/>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543"/>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097"/>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3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0478"/>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314"/>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DAA"/>
    <w:rsid w:val="00C74421"/>
    <w:rsid w:val="00C748B1"/>
    <w:rsid w:val="00C74A54"/>
    <w:rsid w:val="00C74B05"/>
    <w:rsid w:val="00C757EB"/>
    <w:rsid w:val="00C75E83"/>
    <w:rsid w:val="00C7706C"/>
    <w:rsid w:val="00C77938"/>
    <w:rsid w:val="00C779A4"/>
    <w:rsid w:val="00C80519"/>
    <w:rsid w:val="00C80DCB"/>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2F5"/>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3DB0"/>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B9"/>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1C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4E3"/>
    <w:rsid w:val="00F81F56"/>
    <w:rsid w:val="00F82080"/>
    <w:rsid w:val="00F8218F"/>
    <w:rsid w:val="00F82C3C"/>
    <w:rsid w:val="00F83243"/>
    <w:rsid w:val="00F83398"/>
    <w:rsid w:val="00F84093"/>
    <w:rsid w:val="00F84C15"/>
    <w:rsid w:val="00F84C49"/>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B1"/>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21B1"/>
    <w:rsid w:val="00155DA7"/>
    <w:rsid w:val="00171BEF"/>
    <w:rsid w:val="00197EDC"/>
    <w:rsid w:val="001A6EE0"/>
    <w:rsid w:val="001B40EE"/>
    <w:rsid w:val="001E3B26"/>
    <w:rsid w:val="00216EF4"/>
    <w:rsid w:val="00256A57"/>
    <w:rsid w:val="0027525E"/>
    <w:rsid w:val="002928B3"/>
    <w:rsid w:val="00295EF8"/>
    <w:rsid w:val="002C1509"/>
    <w:rsid w:val="002D7EAC"/>
    <w:rsid w:val="00322788"/>
    <w:rsid w:val="003661A6"/>
    <w:rsid w:val="004161F4"/>
    <w:rsid w:val="00430113"/>
    <w:rsid w:val="00460C76"/>
    <w:rsid w:val="0046126A"/>
    <w:rsid w:val="0049112E"/>
    <w:rsid w:val="004B576B"/>
    <w:rsid w:val="004C1327"/>
    <w:rsid w:val="004C214A"/>
    <w:rsid w:val="004D38E9"/>
    <w:rsid w:val="0052486A"/>
    <w:rsid w:val="00524902"/>
    <w:rsid w:val="00545EF5"/>
    <w:rsid w:val="0056541D"/>
    <w:rsid w:val="00565819"/>
    <w:rsid w:val="00593D61"/>
    <w:rsid w:val="00596FE1"/>
    <w:rsid w:val="005B4946"/>
    <w:rsid w:val="005E51CA"/>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46D2A"/>
    <w:rsid w:val="00B604DE"/>
    <w:rsid w:val="00B70DD9"/>
    <w:rsid w:val="00BB0E02"/>
    <w:rsid w:val="00C4287B"/>
    <w:rsid w:val="00C64F5A"/>
    <w:rsid w:val="00CD27B6"/>
    <w:rsid w:val="00CE3AC5"/>
    <w:rsid w:val="00CF1903"/>
    <w:rsid w:val="00CF4CEB"/>
    <w:rsid w:val="00D11716"/>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02F7B-85E1-4298-ABD7-7D9CD8B0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6043</Words>
  <Characters>3445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Anzela Tamosaitiene</cp:lastModifiedBy>
  <cp:revision>9</cp:revision>
  <dcterms:created xsi:type="dcterms:W3CDTF">2025-03-26T13:22:00Z</dcterms:created>
  <dcterms:modified xsi:type="dcterms:W3CDTF">2025-05-05T08:29:00Z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