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6750" w14:textId="77777777" w:rsidR="00025B27" w:rsidRPr="00E26B68" w:rsidRDefault="00025B27" w:rsidP="00025B27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 w:rsidRPr="00E26B6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EA4C23D" wp14:editId="11BC8E08">
            <wp:extent cx="2057400" cy="609600"/>
            <wp:effectExtent l="0" t="0" r="0" b="0"/>
            <wp:docPr id="5" name="Picture 5" descr="A black and white 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logo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34B6B" w14:textId="77777777" w:rsidR="00025B27" w:rsidRPr="00E26B68" w:rsidRDefault="00025B27" w:rsidP="00025B27">
      <w:pPr>
        <w:spacing w:before="40" w:after="40"/>
        <w:jc w:val="center"/>
        <w:rPr>
          <w:rFonts w:ascii="Arial" w:hAnsi="Arial" w:cs="Arial"/>
          <w:sz w:val="20"/>
          <w:szCs w:val="20"/>
        </w:rPr>
      </w:pPr>
    </w:p>
    <w:p w14:paraId="15F11C2B" w14:textId="77777777" w:rsidR="00025B27" w:rsidRPr="00E26B68" w:rsidRDefault="00025B27" w:rsidP="00025B27">
      <w:pPr>
        <w:jc w:val="center"/>
        <w:rPr>
          <w:rFonts w:ascii="Arial" w:hAnsi="Arial" w:cs="Arial"/>
          <w:b/>
          <w:sz w:val="20"/>
          <w:szCs w:val="20"/>
        </w:rPr>
      </w:pPr>
      <w:r w:rsidRPr="00E26B68">
        <w:rPr>
          <w:rFonts w:ascii="Arial" w:hAnsi="Arial" w:cs="Arial"/>
          <w:b/>
          <w:sz w:val="20"/>
          <w:szCs w:val="20"/>
        </w:rPr>
        <w:t xml:space="preserve">AKCINĖ BENDROVĖ LIETUVOS PAŠTAS </w:t>
      </w:r>
    </w:p>
    <w:p w14:paraId="5DD25E5C" w14:textId="77777777" w:rsidR="00025B27" w:rsidRPr="00E26B68" w:rsidRDefault="00025B27" w:rsidP="00025B27">
      <w:pPr>
        <w:rPr>
          <w:rFonts w:ascii="Arial" w:hAnsi="Arial" w:cs="Arial"/>
          <w:color w:val="000000" w:themeColor="text1"/>
          <w:sz w:val="20"/>
          <w:szCs w:val="20"/>
          <w:lang w:eastAsia="lt-LT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4545"/>
        <w:gridCol w:w="282"/>
        <w:gridCol w:w="1659"/>
        <w:gridCol w:w="3120"/>
        <w:gridCol w:w="425"/>
      </w:tblGrid>
      <w:tr w:rsidR="00025B27" w:rsidRPr="00E26B68" w14:paraId="45B9C165" w14:textId="77777777" w:rsidTr="00C85F3D">
        <w:tc>
          <w:tcPr>
            <w:tcW w:w="4545" w:type="dxa"/>
          </w:tcPr>
          <w:p w14:paraId="6A7AC6DC" w14:textId="77777777" w:rsidR="00025B27" w:rsidRPr="00E26B68" w:rsidRDefault="00025B27" w:rsidP="00C85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B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282" w:type="dxa"/>
          </w:tcPr>
          <w:p w14:paraId="032BE527" w14:textId="77777777" w:rsidR="00025B27" w:rsidRPr="00E26B68" w:rsidRDefault="00025B27" w:rsidP="00C85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02CCFA" w14:textId="77777777" w:rsidR="00025B27" w:rsidRPr="00E26B68" w:rsidRDefault="00025B27" w:rsidP="00C85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</w:tcPr>
          <w:p w14:paraId="747E7B6B" w14:textId="77777777" w:rsidR="00025B27" w:rsidRPr="00E26B68" w:rsidRDefault="00025B27" w:rsidP="00C85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14:paraId="3351BE98" w14:textId="77777777" w:rsidR="00025B27" w:rsidRPr="00E26B68" w:rsidRDefault="00025B27" w:rsidP="00C85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099779" w14:textId="77777777" w:rsidR="00025B27" w:rsidRPr="00E26B68" w:rsidRDefault="00025B27" w:rsidP="00C85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04D706" w14:textId="77777777" w:rsidR="00025B27" w:rsidRPr="00E26B68" w:rsidRDefault="00025B27" w:rsidP="00C85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3D0CB9" w14:textId="47E2D560" w:rsidR="00025B27" w:rsidRPr="00E26B68" w:rsidRDefault="00025B27" w:rsidP="00025B27">
      <w:pPr>
        <w:spacing w:after="120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E26B68">
        <w:rPr>
          <w:rFonts w:ascii="Arial" w:hAnsi="Arial" w:cs="Arial"/>
          <w:bCs/>
          <w:sz w:val="20"/>
          <w:szCs w:val="20"/>
        </w:rPr>
        <w:t>Suinteresuotiems tiekėjams</w:t>
      </w:r>
      <w:r w:rsidRPr="00E26B68">
        <w:rPr>
          <w:rFonts w:ascii="Arial" w:hAnsi="Arial" w:cs="Arial"/>
          <w:bCs/>
          <w:sz w:val="20"/>
          <w:szCs w:val="20"/>
        </w:rPr>
        <w:tab/>
      </w:r>
      <w:r w:rsidRPr="00E26B68">
        <w:rPr>
          <w:rFonts w:ascii="Arial" w:hAnsi="Arial" w:cs="Arial"/>
          <w:bCs/>
          <w:sz w:val="20"/>
          <w:szCs w:val="20"/>
        </w:rPr>
        <w:tab/>
      </w:r>
      <w:r w:rsidRPr="00E26B68">
        <w:rPr>
          <w:rFonts w:ascii="Arial" w:hAnsi="Arial" w:cs="Arial"/>
          <w:bCs/>
          <w:sz w:val="20"/>
          <w:szCs w:val="20"/>
        </w:rPr>
        <w:tab/>
      </w:r>
      <w:r w:rsidRPr="00E26B68">
        <w:rPr>
          <w:rFonts w:ascii="Arial" w:hAnsi="Arial" w:cs="Arial"/>
          <w:bCs/>
          <w:sz w:val="20"/>
          <w:szCs w:val="20"/>
        </w:rPr>
        <w:tab/>
      </w:r>
      <w:r w:rsidRPr="00E26B6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2025-05-05</w:t>
      </w:r>
    </w:p>
    <w:p w14:paraId="7B1DBE31" w14:textId="77777777" w:rsidR="00025B27" w:rsidRPr="00E26B68" w:rsidRDefault="00025B27" w:rsidP="00025B27">
      <w:pPr>
        <w:spacing w:after="120"/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E26B68">
        <w:rPr>
          <w:rFonts w:ascii="Arial" w:hAnsi="Arial" w:cs="Arial"/>
          <w:bCs/>
          <w:sz w:val="20"/>
          <w:szCs w:val="20"/>
        </w:rPr>
        <w:t xml:space="preserve">CVP IS susirašinėjimo priemonėmis </w:t>
      </w:r>
    </w:p>
    <w:p w14:paraId="3F16455B" w14:textId="77777777" w:rsidR="00025B27" w:rsidRPr="00E26B68" w:rsidRDefault="00025B27" w:rsidP="00025B27">
      <w:pPr>
        <w:spacing w:before="40" w:after="40"/>
        <w:jc w:val="center"/>
        <w:rPr>
          <w:rFonts w:ascii="Arial" w:hAnsi="Arial" w:cs="Arial"/>
          <w:sz w:val="20"/>
          <w:szCs w:val="20"/>
        </w:rPr>
      </w:pPr>
    </w:p>
    <w:p w14:paraId="546F7FA9" w14:textId="77777777" w:rsidR="00025B27" w:rsidRPr="00E26B68" w:rsidRDefault="00025B27" w:rsidP="00025B27">
      <w:pPr>
        <w:spacing w:before="40" w:after="40"/>
        <w:ind w:firstLine="9072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025B27" w:rsidRPr="00E26B68" w14:paraId="6D252A90" w14:textId="77777777" w:rsidTr="00C85F3D">
        <w:trPr>
          <w:cantSplit/>
        </w:trPr>
        <w:tc>
          <w:tcPr>
            <w:tcW w:w="9889" w:type="dxa"/>
          </w:tcPr>
          <w:p w14:paraId="54815ACC" w14:textId="77777777" w:rsidR="00025B27" w:rsidRPr="00F87CC4" w:rsidRDefault="00025B27" w:rsidP="00C85F3D">
            <w:pPr>
              <w:ind w:firstLine="426"/>
              <w:jc w:val="both"/>
              <w:rPr>
                <w:sz w:val="22"/>
                <w:szCs w:val="22"/>
              </w:rPr>
            </w:pPr>
            <w:r w:rsidRPr="00F87CC4">
              <w:rPr>
                <w:b/>
                <w:caps/>
                <w:sz w:val="22"/>
                <w:szCs w:val="22"/>
              </w:rPr>
              <w:t xml:space="preserve">DĖL pirkimo procedūrų NUTRAUKIMO </w:t>
            </w:r>
          </w:p>
          <w:p w14:paraId="01852D3D" w14:textId="77777777" w:rsidR="00025B27" w:rsidRPr="00E26B68" w:rsidRDefault="00025B27" w:rsidP="00C85F3D">
            <w:pPr>
              <w:ind w:firstLine="462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025B27" w:rsidRPr="00E26B68" w14:paraId="11459E54" w14:textId="77777777" w:rsidTr="00C85F3D">
        <w:trPr>
          <w:cantSplit/>
        </w:trPr>
        <w:tc>
          <w:tcPr>
            <w:tcW w:w="9889" w:type="dxa"/>
          </w:tcPr>
          <w:p w14:paraId="45DED95D" w14:textId="77777777" w:rsidR="00025B27" w:rsidRPr="00E26B68" w:rsidRDefault="00025B27" w:rsidP="00C85F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D7B251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E26B68">
        <w:rPr>
          <w:rFonts w:ascii="Arial" w:hAnsi="Arial" w:cs="Arial"/>
          <w:color w:val="000000"/>
          <w:sz w:val="20"/>
          <w:szCs w:val="20"/>
        </w:rPr>
        <w:t>Akcinės bendrovės Lietuvos pašto (toliau – Pirkėjas) komisija (toliau – komisija)</w:t>
      </w:r>
      <w:r>
        <w:rPr>
          <w:rFonts w:ascii="Arial" w:hAnsi="Arial" w:cs="Arial"/>
          <w:color w:val="000000"/>
          <w:sz w:val="20"/>
          <w:szCs w:val="20"/>
        </w:rPr>
        <w:t xml:space="preserve">, vykdydama </w:t>
      </w:r>
      <w:r w:rsidRPr="00741AAA">
        <w:rPr>
          <w:rFonts w:ascii="Arial" w:hAnsi="Arial" w:cs="Arial"/>
          <w:color w:val="000000"/>
          <w:sz w:val="20"/>
          <w:szCs w:val="20"/>
        </w:rPr>
        <w:t>„Lietuvos paštų reklaminis apipavidalinimas”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5165B">
        <w:rPr>
          <w:rFonts w:ascii="Arial" w:hAnsi="Arial" w:cs="Arial"/>
          <w:color w:val="000000"/>
          <w:sz w:val="20"/>
          <w:szCs w:val="20"/>
        </w:rPr>
        <w:t>pirkim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D5165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41AAA">
        <w:rPr>
          <w:rFonts w:ascii="Arial" w:hAnsi="Arial" w:cs="Arial"/>
          <w:color w:val="000000"/>
          <w:sz w:val="20"/>
          <w:szCs w:val="20"/>
        </w:rPr>
        <w:t xml:space="preserve">ID 2488766 </w:t>
      </w:r>
      <w:r w:rsidRPr="00D5165B">
        <w:rPr>
          <w:rFonts w:ascii="Arial" w:hAnsi="Arial" w:cs="Arial"/>
          <w:color w:val="000000"/>
          <w:sz w:val="20"/>
          <w:szCs w:val="20"/>
        </w:rPr>
        <w:t xml:space="preserve">(toliau – pirkimas) </w:t>
      </w:r>
      <w:r>
        <w:rPr>
          <w:rFonts w:ascii="Arial" w:hAnsi="Arial" w:cs="Arial"/>
          <w:color w:val="000000"/>
          <w:sz w:val="20"/>
          <w:szCs w:val="20"/>
        </w:rPr>
        <w:t xml:space="preserve">praneša, kad skelbimas apie pirkimą </w:t>
      </w:r>
      <w:r w:rsidRPr="00B86FA2">
        <w:rPr>
          <w:rFonts w:ascii="Arial" w:hAnsi="Arial" w:cs="Arial"/>
          <w:color w:val="000000"/>
          <w:sz w:val="20"/>
          <w:szCs w:val="20"/>
        </w:rPr>
        <w:t xml:space="preserve">paskelbtas CVP IS tik </w:t>
      </w:r>
      <w:r>
        <w:rPr>
          <w:rFonts w:ascii="Arial" w:hAnsi="Arial" w:cs="Arial"/>
          <w:color w:val="000000"/>
          <w:sz w:val="20"/>
          <w:szCs w:val="20"/>
        </w:rPr>
        <w:t xml:space="preserve">tada, kai buvo paskelbtas </w:t>
      </w:r>
      <w:r w:rsidRPr="00B86FA2">
        <w:rPr>
          <w:rFonts w:ascii="Arial" w:hAnsi="Arial" w:cs="Arial"/>
          <w:color w:val="000000"/>
          <w:sz w:val="20"/>
          <w:szCs w:val="20"/>
        </w:rPr>
        <w:t>TED</w:t>
      </w:r>
      <w:r>
        <w:rPr>
          <w:rFonts w:ascii="Arial" w:hAnsi="Arial" w:cs="Arial"/>
          <w:color w:val="000000"/>
          <w:sz w:val="20"/>
          <w:szCs w:val="20"/>
        </w:rPr>
        <w:t xml:space="preserve">. Komisija informuoja, kad CVP IS užpildyta neteisinga skelbimo apie pirkimą forma ir pirkimas  paskelbtas </w:t>
      </w:r>
      <w:r w:rsidRPr="00741AAA">
        <w:rPr>
          <w:rFonts w:ascii="Arial" w:hAnsi="Arial" w:cs="Arial"/>
          <w:color w:val="000000"/>
          <w:sz w:val="20"/>
          <w:szCs w:val="20"/>
        </w:rPr>
        <w:t>pažeid</w:t>
      </w:r>
      <w:r>
        <w:rPr>
          <w:rFonts w:ascii="Arial" w:hAnsi="Arial" w:cs="Arial"/>
          <w:color w:val="000000"/>
          <w:sz w:val="20"/>
          <w:szCs w:val="20"/>
        </w:rPr>
        <w:t>us</w:t>
      </w:r>
      <w:r w:rsidRPr="00741AA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VPĮ nuostatą, </w:t>
      </w:r>
      <w:r w:rsidRPr="00741AAA">
        <w:rPr>
          <w:rFonts w:ascii="Arial" w:hAnsi="Arial" w:cs="Arial"/>
          <w:color w:val="000000"/>
          <w:sz w:val="20"/>
          <w:szCs w:val="20"/>
        </w:rPr>
        <w:t>pagal kurią supaprastinto pirkimo procedūros prasideda, kai skelbimas apie pirkimą paskelbiamas CVP IS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BE090F1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Vadovaujantis Pirkimų Įstatymo 41 str. 4 p. komisija nutraukia pirkimo procedūras.</w:t>
      </w:r>
    </w:p>
    <w:p w14:paraId="412513EA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Apgailestaujame dėl žmogiškojo faktoriaus įtakos susiklosčiusios situacijos. Tiekėjus informuojame, kad skubos tvarka bus skelbiamas naujas pirkimas, labai kviečiame dalyvauti pirkime ir pateikti pasiūlymus.</w:t>
      </w:r>
    </w:p>
    <w:p w14:paraId="4679D1D9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A744381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94E8540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45ADCD8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CD6EFDC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Pagarbiai, </w:t>
      </w:r>
    </w:p>
    <w:p w14:paraId="4CBC96E6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Viešojo pirkimo komisija</w:t>
      </w:r>
    </w:p>
    <w:p w14:paraId="79F5D66F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7305B34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527D5E6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445A3A3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EA357D8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B6DB2B6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571390A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3A62F25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96B5151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51B7714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9B40E43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B93EB92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4C10199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B67484F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44DF6F6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E08034C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47362D5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9A3789F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F572D53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E72A085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E84E036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A9A65E9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04483DF" w14:textId="77777777" w:rsidR="00025B27" w:rsidRDefault="00025B27" w:rsidP="00025B27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F83CEE2" w14:textId="5D7930E4" w:rsidR="00025B27" w:rsidRPr="00025B27" w:rsidRDefault="00025B27" w:rsidP="00025B27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025B27">
        <w:rPr>
          <w:rFonts w:ascii="Arial" w:hAnsi="Arial" w:cs="Arial"/>
          <w:color w:val="000000"/>
          <w:sz w:val="16"/>
          <w:szCs w:val="16"/>
        </w:rPr>
        <w:t xml:space="preserve">Dokumentą parengė: Daina Puodžiūnienė, viešųjų pirkimų projekto vadovė, tel. +370 69876891, </w:t>
      </w:r>
      <w:proofErr w:type="spellStart"/>
      <w:r w:rsidRPr="00025B27">
        <w:rPr>
          <w:rFonts w:ascii="Arial" w:hAnsi="Arial" w:cs="Arial"/>
          <w:color w:val="000000"/>
          <w:sz w:val="16"/>
          <w:szCs w:val="16"/>
        </w:rPr>
        <w:t>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25B27">
        <w:rPr>
          <w:rFonts w:ascii="Arial" w:hAnsi="Arial" w:cs="Arial"/>
          <w:color w:val="000000"/>
          <w:sz w:val="16"/>
          <w:szCs w:val="16"/>
        </w:rPr>
        <w:t>.p. d.puodziuniene2@post.lt</w:t>
      </w:r>
    </w:p>
    <w:p w14:paraId="78C76790" w14:textId="77777777" w:rsidR="0048496B" w:rsidRDefault="0048496B"/>
    <w:sectPr w:rsidR="004849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AE9"/>
    <w:rsid w:val="00025B27"/>
    <w:rsid w:val="00127D65"/>
    <w:rsid w:val="002B5C7D"/>
    <w:rsid w:val="0048496B"/>
    <w:rsid w:val="004B5613"/>
    <w:rsid w:val="00C17A23"/>
    <w:rsid w:val="00D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191C"/>
  <w15:chartTrackingRefBased/>
  <w15:docId w15:val="{435943F8-8485-4307-BC97-6AC56955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5B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7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7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7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7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7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7A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7A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7A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7A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7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7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7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7A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7A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7A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7A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7A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7A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7A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7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7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7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7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7A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7A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7A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7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7A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7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Puodžiūnienė</dc:creator>
  <cp:keywords/>
  <dc:description/>
  <cp:lastModifiedBy>Daina Puodžiūnienė</cp:lastModifiedBy>
  <cp:revision>2</cp:revision>
  <dcterms:created xsi:type="dcterms:W3CDTF">2025-05-06T09:18:00Z</dcterms:created>
  <dcterms:modified xsi:type="dcterms:W3CDTF">2025-05-06T09:20:00Z</dcterms:modified>
</cp:coreProperties>
</file>