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535" w:type="dxa"/>
        <w:tblLayout w:type="fixed"/>
        <w:tblCellMar>
          <w:left w:w="10" w:type="dxa"/>
          <w:right w:w="10" w:type="dxa"/>
        </w:tblCellMar>
        <w:tblLook w:val="04A0" w:firstRow="1" w:lastRow="0" w:firstColumn="1" w:lastColumn="0" w:noHBand="0" w:noVBand="1"/>
      </w:tblPr>
      <w:tblGrid>
        <w:gridCol w:w="715"/>
        <w:gridCol w:w="8820"/>
      </w:tblGrid>
      <w:tr w:rsidR="00521511" w14:paraId="7CCA4745" w14:textId="77777777" w:rsidTr="002F254D">
        <w:trPr>
          <w:trHeight w:val="656"/>
        </w:trPr>
        <w:tc>
          <w:tcPr>
            <w:tcW w:w="9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6AA26" w14:textId="77777777" w:rsidR="00521511" w:rsidRDefault="00521511" w:rsidP="002F254D">
            <w:pPr>
              <w:spacing w:after="0"/>
              <w:jc w:val="center"/>
              <w:rPr>
                <w:rFonts w:ascii="Times New Roman" w:hAnsi="Times New Roman"/>
                <w:b/>
                <w:bCs/>
                <w:sz w:val="24"/>
                <w:szCs w:val="24"/>
                <w:lang w:val="lt-LT"/>
              </w:rPr>
            </w:pPr>
            <w:r>
              <w:rPr>
                <w:rFonts w:ascii="Times New Roman" w:hAnsi="Times New Roman"/>
                <w:b/>
                <w:sz w:val="24"/>
                <w:szCs w:val="24"/>
                <w:lang w:val="lt-LT"/>
              </w:rPr>
              <w:t xml:space="preserve">SARS-CoV-2 greitieji </w:t>
            </w:r>
            <w:r>
              <w:rPr>
                <w:rFonts w:ascii="Times New Roman" w:hAnsi="Times New Roman"/>
                <w:b/>
                <w:bCs/>
                <w:sz w:val="24"/>
                <w:szCs w:val="24"/>
                <w:lang w:val="lt-LT"/>
              </w:rPr>
              <w:t>antikūnų nustatymo testai</w:t>
            </w:r>
          </w:p>
        </w:tc>
      </w:tr>
      <w:tr w:rsidR="00521511" w14:paraId="7574E688" w14:textId="77777777" w:rsidTr="002F254D">
        <w:trPr>
          <w:trHeight w:val="656"/>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2F9A" w14:textId="77777777" w:rsidR="00521511" w:rsidRDefault="00521511" w:rsidP="002F254D">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82BCB" w14:textId="77777777" w:rsidR="00521511" w:rsidRDefault="00521511" w:rsidP="002F254D">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521511" w14:paraId="26D126C1" w14:textId="77777777" w:rsidTr="002F254D">
        <w:trPr>
          <w:trHeight w:val="61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CDCCE"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85CF" w14:textId="77777777" w:rsidR="00521511" w:rsidRDefault="00521511" w:rsidP="002F254D">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themeColor="text1"/>
                <w:sz w:val="24"/>
                <w:szCs w:val="24"/>
                <w:lang w:val="lt-LT"/>
              </w:rPr>
              <w:t>Rinkiniuose turi būti visos reikalingos priemonės testui atlikti (įskaitant kapiliarinio kraujo ėminio paėmimo priemones).</w:t>
            </w:r>
          </w:p>
          <w:p w14:paraId="396D07CD" w14:textId="149067F7" w:rsidR="00521511" w:rsidRDefault="00521511" w:rsidP="002F254D">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themeColor="text1"/>
                <w:sz w:val="24"/>
                <w:szCs w:val="24"/>
                <w:lang w:val="lt-LT"/>
              </w:rPr>
              <w:t xml:space="preserve">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kapiliarinio kraujo ėminio paėmimo priemones. Kapiliarinio kraujo paėmimo priemonės gali būti pateiktos kaip atskiros prekės arba sukomplektuotos su testais ir kitomis priemonėmis. </w:t>
            </w:r>
            <w:r w:rsidR="001E248E" w:rsidRPr="001E248E">
              <w:rPr>
                <w:color w:val="000000" w:themeColor="text1"/>
                <w:sz w:val="24"/>
                <w:szCs w:val="24"/>
                <w:lang w:val="lt-LT"/>
              </w:rPr>
              <w:t>Lancetas, kuriuo atliekamas odos dūris/pjūvis, turi būti sterilus.</w:t>
            </w:r>
          </w:p>
        </w:tc>
      </w:tr>
      <w:tr w:rsidR="00521511" w14:paraId="7FA8C7B5" w14:textId="77777777" w:rsidTr="002F254D">
        <w:trPr>
          <w:trHeight w:val="526"/>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88771"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0BEE8" w14:textId="77777777" w:rsidR="00521511" w:rsidRDefault="00521511" w:rsidP="002F254D">
            <w:pPr>
              <w:tabs>
                <w:tab w:val="left" w:pos="455"/>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Testui atlikti nereikalinga papildoma įranga.</w:t>
            </w:r>
          </w:p>
        </w:tc>
      </w:tr>
      <w:tr w:rsidR="00521511" w14:paraId="6CD95863" w14:textId="77777777" w:rsidTr="002F254D">
        <w:trPr>
          <w:trHeight w:val="503"/>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26D82"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FC65B" w14:textId="77777777" w:rsidR="00521511" w:rsidRDefault="00521511" w:rsidP="002F254D">
            <w:pPr>
              <w:tabs>
                <w:tab w:val="left" w:pos="172"/>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 xml:space="preserve">Testo rezultato vertinimui nereikalinga jokia speciali aparatūra, t. y. atliekamas vizualiai. </w:t>
            </w:r>
          </w:p>
        </w:tc>
      </w:tr>
      <w:tr w:rsidR="00521511" w14:paraId="06E37FE2" w14:textId="77777777" w:rsidTr="002F254D">
        <w:trPr>
          <w:trHeight w:val="79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CB2B"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F1E8B" w14:textId="77777777" w:rsidR="00521511" w:rsidRDefault="00521511" w:rsidP="002F254D">
            <w:pPr>
              <w:tabs>
                <w:tab w:val="left" w:pos="313"/>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Testas gali būti atliekamas paciento medicininės priežiūros vietoje (angl. POC (</w:t>
            </w:r>
            <w:proofErr w:type="spellStart"/>
            <w:r>
              <w:rPr>
                <w:rFonts w:ascii="Times New Roman" w:hAnsi="Times New Roman"/>
                <w:color w:val="000000"/>
                <w:sz w:val="24"/>
                <w:szCs w:val="24"/>
                <w:lang w:val="lt-LT" w:eastAsia="lt-LT" w:bidi="bn-IN"/>
              </w:rPr>
              <w:t>point</w:t>
            </w:r>
            <w:proofErr w:type="spellEnd"/>
            <w:r>
              <w:rPr>
                <w:rFonts w:ascii="Times New Roman" w:hAnsi="Times New Roman"/>
                <w:color w:val="000000"/>
                <w:sz w:val="24"/>
                <w:szCs w:val="24"/>
                <w:lang w:val="lt-LT" w:eastAsia="lt-LT" w:bidi="bn-IN"/>
              </w:rPr>
              <w:t xml:space="preserve"> </w:t>
            </w:r>
            <w:proofErr w:type="spellStart"/>
            <w:r>
              <w:rPr>
                <w:rFonts w:ascii="Times New Roman" w:hAnsi="Times New Roman"/>
                <w:color w:val="000000"/>
                <w:sz w:val="24"/>
                <w:szCs w:val="24"/>
                <w:lang w:val="lt-LT" w:eastAsia="lt-LT" w:bidi="bn-IN"/>
              </w:rPr>
              <w:t>of</w:t>
            </w:r>
            <w:proofErr w:type="spellEnd"/>
            <w:r>
              <w:rPr>
                <w:rFonts w:ascii="Times New Roman" w:hAnsi="Times New Roman"/>
                <w:color w:val="000000"/>
                <w:sz w:val="24"/>
                <w:szCs w:val="24"/>
                <w:lang w:val="lt-LT" w:eastAsia="lt-LT" w:bidi="bn-IN"/>
              </w:rPr>
              <w:t xml:space="preserve"> care) sąlygomis).</w:t>
            </w:r>
          </w:p>
        </w:tc>
      </w:tr>
      <w:tr w:rsidR="00521511" w14:paraId="0B02C9EE" w14:textId="77777777" w:rsidTr="002F254D">
        <w:trPr>
          <w:trHeight w:val="453"/>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DBC38"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A9640" w14:textId="77777777" w:rsidR="00521511" w:rsidRDefault="00521511" w:rsidP="002F254D">
            <w:pPr>
              <w:tabs>
                <w:tab w:val="left" w:pos="313"/>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Testas atliekamas iš kapiliarinio ir veninio kraujo, serumo, plazmos.</w:t>
            </w:r>
          </w:p>
        </w:tc>
      </w:tr>
      <w:tr w:rsidR="00521511" w14:paraId="181F7A7B" w14:textId="77777777" w:rsidTr="002F254D">
        <w:trPr>
          <w:trHeight w:val="447"/>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9572D"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172A" w14:textId="6823E30B" w:rsidR="00521511" w:rsidRDefault="00521511" w:rsidP="002F254D">
            <w:pPr>
              <w:tabs>
                <w:tab w:val="left" w:pos="238"/>
              </w:tabs>
              <w:spacing w:after="0"/>
              <w:jc w:val="both"/>
              <w:rPr>
                <w:rFonts w:ascii="Times New Roman" w:hAnsi="Times New Roman"/>
                <w:sz w:val="24"/>
                <w:szCs w:val="24"/>
                <w:lang w:val="lt-LT"/>
              </w:rPr>
            </w:pPr>
            <w:proofErr w:type="spellStart"/>
            <w:r>
              <w:rPr>
                <w:rFonts w:ascii="Times New Roman" w:hAnsi="Times New Roman"/>
                <w:sz w:val="24"/>
                <w:szCs w:val="24"/>
                <w:lang w:val="lt-LT"/>
              </w:rPr>
              <w:t>anti</w:t>
            </w:r>
            <w:proofErr w:type="spellEnd"/>
            <w:r>
              <w:rPr>
                <w:rFonts w:ascii="Times New Roman" w:hAnsi="Times New Roman"/>
                <w:sz w:val="24"/>
                <w:szCs w:val="24"/>
                <w:lang w:val="lt-LT"/>
              </w:rPr>
              <w:t>-S</w:t>
            </w:r>
            <w:r w:rsidR="00F20876">
              <w:rPr>
                <w:rFonts w:ascii="Times New Roman" w:hAnsi="Times New Roman"/>
                <w:sz w:val="24"/>
                <w:szCs w:val="24"/>
                <w:lang w:val="lt-LT"/>
              </w:rPr>
              <w:t xml:space="preserve"> </w:t>
            </w:r>
            <w:proofErr w:type="spellStart"/>
            <w:r w:rsidR="00F20876" w:rsidRPr="00F20876">
              <w:rPr>
                <w:rFonts w:ascii="Times New Roman" w:hAnsi="Times New Roman" w:cs="Times New Roman"/>
                <w:color w:val="000000"/>
                <w:sz w:val="24"/>
                <w:szCs w:val="24"/>
                <w:shd w:val="clear" w:color="auto" w:fill="FFFFFF"/>
              </w:rPr>
              <w:t>arba</w:t>
            </w:r>
            <w:proofErr w:type="spellEnd"/>
            <w:r w:rsidR="00F20876" w:rsidRPr="00F20876">
              <w:rPr>
                <w:rFonts w:ascii="Times New Roman" w:hAnsi="Times New Roman" w:cs="Times New Roman"/>
                <w:color w:val="000000"/>
                <w:sz w:val="24"/>
                <w:szCs w:val="24"/>
                <w:shd w:val="clear" w:color="auto" w:fill="FFFFFF"/>
              </w:rPr>
              <w:t xml:space="preserve"> anti-S1</w:t>
            </w:r>
            <w:r>
              <w:rPr>
                <w:rFonts w:ascii="Times New Roman" w:hAnsi="Times New Roman"/>
                <w:sz w:val="24"/>
                <w:szCs w:val="24"/>
                <w:lang w:val="lt-LT"/>
              </w:rPr>
              <w:t xml:space="preserve"> arba </w:t>
            </w:r>
            <w:proofErr w:type="spellStart"/>
            <w:r>
              <w:rPr>
                <w:rFonts w:ascii="Times New Roman" w:hAnsi="Times New Roman"/>
                <w:sz w:val="24"/>
                <w:szCs w:val="24"/>
                <w:lang w:val="lt-LT"/>
              </w:rPr>
              <w:t>anti</w:t>
            </w:r>
            <w:proofErr w:type="spellEnd"/>
            <w:r>
              <w:rPr>
                <w:rFonts w:ascii="Times New Roman" w:hAnsi="Times New Roman"/>
                <w:sz w:val="24"/>
                <w:szCs w:val="24"/>
                <w:lang w:val="lt-LT"/>
              </w:rPr>
              <w:t xml:space="preserve">-RBD SARS-CoV-2 </w:t>
            </w:r>
            <w:proofErr w:type="spellStart"/>
            <w:r>
              <w:rPr>
                <w:rFonts w:ascii="Times New Roman" w:hAnsi="Times New Roman"/>
                <w:sz w:val="24"/>
                <w:szCs w:val="24"/>
                <w:lang w:val="lt-LT"/>
              </w:rPr>
              <w:t>IgG</w:t>
            </w:r>
            <w:proofErr w:type="spellEnd"/>
            <w:r>
              <w:rPr>
                <w:rFonts w:ascii="Times New Roman" w:hAnsi="Times New Roman"/>
                <w:sz w:val="24"/>
                <w:szCs w:val="24"/>
                <w:lang w:val="lt-LT"/>
              </w:rPr>
              <w:t xml:space="preserve"> antikūnų testas.</w:t>
            </w:r>
          </w:p>
        </w:tc>
      </w:tr>
      <w:tr w:rsidR="00521511" w14:paraId="341DC4E2" w14:textId="77777777" w:rsidTr="002F254D">
        <w:trPr>
          <w:trHeight w:val="43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A7A75"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88FB4" w14:textId="77777777" w:rsidR="00521511" w:rsidRDefault="00521511"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Testo rezultatas gaunamas ne vėliau kaip po 30 min.</w:t>
            </w:r>
          </w:p>
        </w:tc>
      </w:tr>
      <w:tr w:rsidR="00521511" w14:paraId="08E38F2E" w14:textId="77777777" w:rsidTr="002F254D">
        <w:trPr>
          <w:trHeight w:val="521"/>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6D96E"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4E2B" w14:textId="3B619626" w:rsidR="00521511" w:rsidRDefault="00521511"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Kiekvieno testo kasetėje testo atlikimo kokybės vertinimui turi būti kontrolinė reakcijos juostelė</w:t>
            </w:r>
            <w:r w:rsidR="001E248E">
              <w:rPr>
                <w:rFonts w:ascii="Times New Roman" w:hAnsi="Times New Roman"/>
                <w:color w:val="000000"/>
                <w:sz w:val="24"/>
                <w:szCs w:val="24"/>
                <w:lang w:val="lt-LT" w:eastAsia="lt-LT" w:bidi="bn-IN"/>
              </w:rPr>
              <w:t>.</w:t>
            </w:r>
          </w:p>
        </w:tc>
      </w:tr>
      <w:tr w:rsidR="00521511" w14:paraId="5049216E" w14:textId="77777777" w:rsidTr="002F254D">
        <w:trPr>
          <w:trHeight w:val="465"/>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89D19"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8334" w14:textId="77777777" w:rsidR="00521511" w:rsidRDefault="00521511" w:rsidP="002F254D">
            <w:pPr>
              <w:tabs>
                <w:tab w:val="left" w:pos="238"/>
              </w:tabs>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521511" w14:paraId="697F04EC" w14:textId="77777777" w:rsidTr="002F254D">
        <w:trPr>
          <w:trHeight w:val="499"/>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45400"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10.</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8716" w14:textId="38B882C4" w:rsidR="00521511" w:rsidRDefault="00521511" w:rsidP="001F36CC">
            <w:pPr>
              <w:tabs>
                <w:tab w:val="left" w:pos="851"/>
              </w:tabs>
              <w:jc w:val="both"/>
              <w:rPr>
                <w:rFonts w:ascii="Times New Roman" w:hAnsi="Times New Roman"/>
                <w:i/>
                <w:iCs/>
                <w:color w:val="000000"/>
                <w:sz w:val="24"/>
                <w:szCs w:val="24"/>
                <w:lang w:val="lt-LT" w:eastAsia="lt-LT" w:bidi="bn-IN"/>
              </w:rPr>
            </w:pPr>
            <w:r>
              <w:rPr>
                <w:rFonts w:ascii="Times New Roman" w:hAnsi="Times New Roman"/>
                <w:color w:val="000000"/>
                <w:sz w:val="24"/>
                <w:szCs w:val="24"/>
                <w:lang w:val="lt-LT" w:eastAsia="lt-LT" w:bidi="bn-IN"/>
              </w:rPr>
              <w:t xml:space="preserve">Siūlomo testo klinikinis jautrumas turi būti </w:t>
            </w:r>
            <w:r>
              <w:rPr>
                <w:rFonts w:ascii="Times New Roman" w:hAnsi="Times New Roman" w:cs="Times New Roman"/>
                <w:color w:val="000000"/>
                <w:sz w:val="24"/>
                <w:szCs w:val="24"/>
                <w:lang w:val="lt-LT" w:eastAsia="lt-LT" w:bidi="bn-IN"/>
              </w:rPr>
              <w:t>≥</w:t>
            </w:r>
            <w:r>
              <w:rPr>
                <w:rFonts w:ascii="Times New Roman" w:hAnsi="Times New Roman"/>
                <w:color w:val="000000"/>
                <w:sz w:val="24"/>
                <w:szCs w:val="24"/>
                <w:lang w:val="lt-LT" w:eastAsia="lt-LT" w:bidi="bn-IN"/>
              </w:rPr>
              <w:t xml:space="preserve"> 90 procentų, kai klinikiniam jautrumui įvertinti buvo naudojama imtis </w:t>
            </w:r>
            <w:r>
              <w:rPr>
                <w:rFonts w:ascii="Times New Roman" w:hAnsi="Times New Roman" w:cs="Times New Roman"/>
                <w:color w:val="000000"/>
                <w:sz w:val="24"/>
                <w:szCs w:val="24"/>
                <w:lang w:val="lt-LT" w:eastAsia="lt-LT" w:bidi="bn-IN"/>
              </w:rPr>
              <w:t>≥</w:t>
            </w:r>
            <w:r>
              <w:rPr>
                <w:rFonts w:ascii="Times New Roman" w:hAnsi="Times New Roman"/>
                <w:color w:val="000000"/>
                <w:sz w:val="24"/>
                <w:szCs w:val="24"/>
                <w:lang w:val="lt-LT" w:eastAsia="lt-LT" w:bidi="bn-IN"/>
              </w:rPr>
              <w:t xml:space="preserve"> 100, kurią sudarantiems asmenims simptomai pasireiškė ne anksčiau kaip prieš 14 dienų ir jiems buvo patvirtintas SARS CoV-2 naudojant AT-PGR metodą.  </w:t>
            </w:r>
          </w:p>
        </w:tc>
      </w:tr>
      <w:tr w:rsidR="00521511" w14:paraId="3EC3E15C" w14:textId="77777777" w:rsidTr="001F36CC">
        <w:trPr>
          <w:trHeight w:val="692"/>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CB8D6"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11.</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00F0" w14:textId="79FE7DD5" w:rsidR="00521511" w:rsidRDefault="00521511" w:rsidP="001F36CC">
            <w:pPr>
              <w:tabs>
                <w:tab w:val="left" w:pos="851"/>
              </w:tabs>
              <w:jc w:val="both"/>
              <w:rPr>
                <w:rFonts w:ascii="Times New Roman" w:hAnsi="Times New Roman"/>
                <w:i/>
                <w:iCs/>
                <w:color w:val="000000"/>
                <w:sz w:val="24"/>
                <w:szCs w:val="24"/>
                <w:lang w:val="lt-LT" w:eastAsia="lt-LT" w:bidi="bn-IN"/>
              </w:rPr>
            </w:pPr>
            <w:r>
              <w:rPr>
                <w:rFonts w:ascii="Times New Roman" w:hAnsi="Times New Roman"/>
                <w:color w:val="000000"/>
                <w:sz w:val="24"/>
                <w:szCs w:val="24"/>
                <w:lang w:val="lt-LT" w:eastAsia="lt-LT" w:bidi="bn-IN"/>
              </w:rPr>
              <w:t xml:space="preserve">Siūlomo testo klinikinis specifiškumas turi būti </w:t>
            </w:r>
            <w:r>
              <w:rPr>
                <w:rFonts w:ascii="Times New Roman" w:hAnsi="Times New Roman" w:cs="Times New Roman"/>
                <w:color w:val="000000"/>
                <w:sz w:val="24"/>
                <w:szCs w:val="24"/>
                <w:lang w:val="lt-LT" w:eastAsia="lt-LT" w:bidi="bn-IN"/>
              </w:rPr>
              <w:t>≥</w:t>
            </w:r>
            <w:r>
              <w:rPr>
                <w:rFonts w:ascii="Times New Roman" w:hAnsi="Times New Roman"/>
                <w:color w:val="000000"/>
                <w:sz w:val="24"/>
                <w:szCs w:val="24"/>
                <w:lang w:val="lt-LT" w:eastAsia="lt-LT" w:bidi="bn-IN"/>
              </w:rPr>
              <w:t xml:space="preserve"> 98 procentai, kai klinikiniam specifiškumui įvertinti buvo naudojama imtis </w:t>
            </w:r>
            <w:r>
              <w:rPr>
                <w:rFonts w:ascii="Times New Roman" w:hAnsi="Times New Roman" w:cs="Times New Roman"/>
                <w:color w:val="000000"/>
                <w:sz w:val="24"/>
                <w:szCs w:val="24"/>
                <w:lang w:val="lt-LT" w:eastAsia="lt-LT" w:bidi="bn-IN"/>
              </w:rPr>
              <w:t>≥</w:t>
            </w:r>
            <w:r>
              <w:rPr>
                <w:rFonts w:ascii="Times New Roman" w:hAnsi="Times New Roman"/>
                <w:color w:val="000000"/>
                <w:sz w:val="24"/>
                <w:szCs w:val="24"/>
                <w:lang w:val="lt-LT" w:eastAsia="lt-LT" w:bidi="bn-IN"/>
              </w:rPr>
              <w:t xml:space="preserve"> 100.</w:t>
            </w:r>
          </w:p>
        </w:tc>
      </w:tr>
      <w:tr w:rsidR="00521511" w14:paraId="65557ED4" w14:textId="77777777" w:rsidTr="002F254D">
        <w:trPr>
          <w:trHeight w:val="21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96F18"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12.</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7E268" w14:textId="77777777" w:rsidR="00521511" w:rsidRDefault="00521511" w:rsidP="002F254D">
            <w:pPr>
              <w:tabs>
                <w:tab w:val="left" w:pos="851"/>
              </w:tabs>
              <w:jc w:val="both"/>
              <w:rPr>
                <w:rFonts w:ascii="Times New Roman" w:hAnsi="Times New Roman"/>
                <w:sz w:val="24"/>
                <w:szCs w:val="24"/>
                <w:lang w:val="lt-LT"/>
              </w:rPr>
            </w:pPr>
            <w:r>
              <w:rPr>
                <w:rFonts w:ascii="Times New Roman" w:hAnsi="Times New Roman"/>
                <w:sz w:val="24"/>
                <w:szCs w:val="24"/>
                <w:lang w:val="lt-LT"/>
              </w:rPr>
              <w:t>Testo galiojimo terminas ne trumpesnis nei 6 mėn. nuo prekių pristatymo dienos.</w:t>
            </w:r>
          </w:p>
        </w:tc>
      </w:tr>
      <w:tr w:rsidR="00521511" w14:paraId="766F7D5E" w14:textId="77777777" w:rsidTr="002F254D">
        <w:trPr>
          <w:trHeight w:val="21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F7D0F" w14:textId="77777777" w:rsidR="00521511" w:rsidRDefault="00521511"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13.</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D0682" w14:textId="68C8569C" w:rsidR="00521511" w:rsidRDefault="00521511" w:rsidP="003B045D">
            <w:pPr>
              <w:pStyle w:val="CommentText"/>
              <w:jc w:val="both"/>
              <w:rPr>
                <w:rFonts w:ascii="Times New Roman" w:hAnsi="Times New Roman"/>
                <w:color w:val="000000"/>
                <w:sz w:val="24"/>
                <w:szCs w:val="24"/>
                <w:lang w:eastAsia="lt-LT" w:bidi="bn-IN"/>
              </w:rPr>
            </w:pPr>
            <w:r>
              <w:rPr>
                <w:rFonts w:ascii="Times New Roman" w:hAnsi="Times New Roman"/>
                <w:color w:val="000000"/>
                <w:sz w:val="24"/>
                <w:szCs w:val="24"/>
              </w:rPr>
              <w:t xml:space="preserve"> Testas turi turėti CE ženklinimą pagal Europos Parlamento ir Tarybos Direktyvos 98/79/EB dėl </w:t>
            </w:r>
            <w:proofErr w:type="spellStart"/>
            <w:r>
              <w:rPr>
                <w:rFonts w:ascii="Times New Roman" w:hAnsi="Times New Roman"/>
                <w:i/>
                <w:iCs/>
                <w:color w:val="000000"/>
                <w:sz w:val="24"/>
                <w:szCs w:val="24"/>
              </w:rPr>
              <w:t>in</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vitro</w:t>
            </w:r>
            <w:proofErr w:type="spellEnd"/>
            <w:r>
              <w:rPr>
                <w:rFonts w:ascii="Times New Roman" w:hAnsi="Times New Roman"/>
                <w:color w:val="000000"/>
                <w:sz w:val="24"/>
                <w:szCs w:val="24"/>
              </w:rPr>
              <w:t xml:space="preserve"> diagnostikos medicinos prietaisų nuostatas </w:t>
            </w:r>
            <w:r w:rsidRPr="001434FD">
              <w:rPr>
                <w:rFonts w:ascii="Times New Roman" w:hAnsi="Times New Roman"/>
                <w:color w:val="000000"/>
                <w:sz w:val="24"/>
                <w:szCs w:val="24"/>
              </w:rPr>
              <w:t xml:space="preserve">arba </w:t>
            </w:r>
            <w:r w:rsidRPr="002F254D">
              <w:rPr>
                <w:rFonts w:ascii="Times New Roman" w:hAnsi="Times New Roman"/>
                <w:sz w:val="24"/>
                <w:szCs w:val="24"/>
              </w:rPr>
              <w:t xml:space="preserve">pagal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color w:val="000000"/>
                <w:sz w:val="24"/>
                <w:szCs w:val="24"/>
              </w:rPr>
              <w:t xml:space="preserve"> nuostatas</w:t>
            </w:r>
            <w:r w:rsidRPr="002F254D">
              <w:rPr>
                <w:rFonts w:ascii="Times New Roman" w:hAnsi="Times New Roman"/>
                <w:sz w:val="24"/>
                <w:szCs w:val="24"/>
              </w:rPr>
              <w:t>.</w:t>
            </w:r>
          </w:p>
        </w:tc>
      </w:tr>
      <w:tr w:rsidR="00521511" w14:paraId="1D210344" w14:textId="77777777" w:rsidTr="002F254D">
        <w:trPr>
          <w:trHeight w:val="210"/>
        </w:trPr>
        <w:tc>
          <w:tcPr>
            <w:tcW w:w="9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97EAE" w14:textId="29CA04ED" w:rsidR="00521511" w:rsidRDefault="00521511" w:rsidP="002F254D">
            <w:pPr>
              <w:pStyle w:val="CommentText"/>
              <w:jc w:val="both"/>
              <w:rPr>
                <w:rFonts w:ascii="Times New Roman" w:hAnsi="Times New Roman"/>
                <w:color w:val="000000"/>
                <w:sz w:val="24"/>
                <w:szCs w:val="24"/>
              </w:rPr>
            </w:pPr>
            <w:r>
              <w:rPr>
                <w:rFonts w:ascii="Times New Roman" w:hAnsi="Times New Roman"/>
                <w:color w:val="000000"/>
                <w:sz w:val="24"/>
                <w:szCs w:val="24"/>
              </w:rPr>
              <w:lastRenderedPageBreak/>
              <w:t xml:space="preserve">1. </w:t>
            </w:r>
            <w:r w:rsidR="00970A23">
              <w:rPr>
                <w:rFonts w:ascii="Times New Roman" w:hAnsi="Times New Roman"/>
                <w:color w:val="000000"/>
                <w:sz w:val="24"/>
                <w:szCs w:val="24"/>
              </w:rPr>
              <w:t>P</w:t>
            </w:r>
            <w:r>
              <w:rPr>
                <w:rFonts w:ascii="Times New Roman" w:hAnsi="Times New Roman"/>
                <w:color w:val="000000"/>
                <w:sz w:val="24"/>
                <w:szCs w:val="24"/>
              </w:rPr>
              <w:t>ateikti</w:t>
            </w:r>
            <w:r>
              <w:rPr>
                <w:rFonts w:ascii="Times New Roman" w:hAnsi="Times New Roman"/>
                <w:b/>
                <w:bCs/>
                <w:color w:val="000000"/>
                <w:sz w:val="24"/>
                <w:szCs w:val="24"/>
              </w:rPr>
              <w:t> </w:t>
            </w:r>
            <w:r>
              <w:rPr>
                <w:rFonts w:ascii="Times New Roman" w:hAnsi="Times New Roman"/>
                <w:color w:val="000000"/>
                <w:sz w:val="24"/>
                <w:szCs w:val="24"/>
              </w:rPr>
              <w:t xml:space="preserve">CE ženklinimo pagal Europos Parlamento ir Tarybos Direktyvą 98/79/EB dėl </w:t>
            </w:r>
            <w:proofErr w:type="spellStart"/>
            <w:r>
              <w:rPr>
                <w:rFonts w:ascii="Times New Roman" w:hAnsi="Times New Roman"/>
                <w:color w:val="000000"/>
                <w:sz w:val="24"/>
                <w:szCs w:val="24"/>
              </w:rPr>
              <w:t>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vitro</w:t>
            </w:r>
            <w:proofErr w:type="spellEnd"/>
            <w:r>
              <w:rPr>
                <w:rFonts w:ascii="Times New Roman" w:hAnsi="Times New Roman"/>
                <w:color w:val="000000"/>
                <w:sz w:val="24"/>
                <w:szCs w:val="24"/>
              </w:rPr>
              <w:t xml:space="preserve"> diagnostikos medicinos prietaisų nuostatas arba p</w:t>
            </w:r>
            <w:r w:rsidRPr="002F254D">
              <w:rPr>
                <w:rFonts w:ascii="Times New Roman" w:hAnsi="Times New Roman"/>
                <w:sz w:val="24"/>
                <w:szCs w:val="24"/>
              </w:rPr>
              <w:t xml:space="preserve">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sz w:val="24"/>
                <w:szCs w:val="24"/>
              </w:rPr>
              <w:t xml:space="preserve"> </w:t>
            </w:r>
            <w:r>
              <w:rPr>
                <w:rFonts w:ascii="Times New Roman" w:hAnsi="Times New Roman"/>
                <w:color w:val="000000"/>
                <w:sz w:val="24"/>
                <w:szCs w:val="24"/>
              </w:rPr>
              <w:t xml:space="preserve">nuostatas dokumentus (CE sertifikatas arba EB atitikties deklaracija arba lygiaverčiai dokumentai </w:t>
            </w:r>
            <w:r w:rsidR="00891C4D">
              <w:rPr>
                <w:rFonts w:ascii="Times New Roman" w:hAnsi="Times New Roman"/>
                <w:color w:val="000000"/>
                <w:sz w:val="24"/>
                <w:szCs w:val="24"/>
              </w:rPr>
              <w:t>anglų</w:t>
            </w:r>
            <w:r>
              <w:rPr>
                <w:rFonts w:ascii="Times New Roman" w:hAnsi="Times New Roman"/>
                <w:color w:val="000000"/>
                <w:sz w:val="24"/>
                <w:szCs w:val="24"/>
              </w:rPr>
              <w:t xml:space="preserve"> ir lietuvių kalbomis).</w:t>
            </w:r>
          </w:p>
          <w:p w14:paraId="205A41E1" w14:textId="51FA0B03" w:rsidR="001F36CC" w:rsidRDefault="00521511" w:rsidP="001F36CC">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w:t>
            </w:r>
            <w:r w:rsidR="001F36CC">
              <w:rPr>
                <w:rFonts w:ascii="Times New Roman" w:hAnsi="Times New Roman" w:cs="Times New Roman"/>
                <w:color w:val="000000"/>
                <w:sz w:val="24"/>
                <w:szCs w:val="24"/>
                <w:lang w:val="lt-LT"/>
              </w:rPr>
              <w:t xml:space="preserve">Pateikti atitikimą techniniams reikalavimams patvirtinančią gamintojo dokumentaciją (techninius aprašus, naudojimo instrukciją, bukletus ir pan.) su atžymomis į prekės atitikimą nustatytiems techniniams reikalavimams. </w:t>
            </w:r>
            <w:r w:rsidR="001F36CC">
              <w:rPr>
                <w:rFonts w:ascii="Times New Roman" w:hAnsi="Times New Roman"/>
                <w:color w:val="000000"/>
                <w:sz w:val="24"/>
                <w:szCs w:val="24"/>
                <w:lang w:val="lt-LT" w:eastAsia="lt-LT" w:bidi="bn-IN"/>
              </w:rPr>
              <w:t xml:space="preserve">Tiekėjas turi pateikti dokumentus įrodančius, kad jautrumo (Techninės specifikacijos 10 p.) ir specifiškumo (Techninės specifikacijos 11 p.) įvertinimai buvo atlikti. Tiekėjo ar gamintojo deklaratyvus raštas, kad </w:t>
            </w:r>
            <w:r w:rsidR="00AD53CB">
              <w:rPr>
                <w:rFonts w:ascii="Times New Roman" w:hAnsi="Times New Roman"/>
                <w:color w:val="000000"/>
                <w:sz w:val="24"/>
                <w:szCs w:val="24"/>
                <w:lang w:val="lt-LT" w:eastAsia="lt-LT" w:bidi="bn-IN"/>
              </w:rPr>
              <w:t>prekė</w:t>
            </w:r>
            <w:r w:rsidR="001F36CC">
              <w:rPr>
                <w:rFonts w:ascii="Times New Roman" w:hAnsi="Times New Roman"/>
                <w:color w:val="000000"/>
                <w:sz w:val="24"/>
                <w:szCs w:val="24"/>
                <w:lang w:val="lt-LT" w:eastAsia="lt-LT" w:bidi="bn-IN"/>
              </w:rPr>
              <w:t xml:space="preserve"> atitinka Techninės specifikacijos 10 p. ir 11 p. reikalavimus, nebus laikomas atitikimo įrodymu. </w:t>
            </w:r>
          </w:p>
          <w:p w14:paraId="3C18F940" w14:textId="77777777" w:rsidR="00521511" w:rsidRDefault="001F36CC" w:rsidP="001F36CC">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08ED92AF" w14:textId="32053C73" w:rsidR="00AD53CB" w:rsidRDefault="00AD53CB" w:rsidP="001F36CC">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Pr="00AD53CB">
              <w:rPr>
                <w:rFonts w:ascii="Times New Roman" w:hAnsi="Times New Roman" w:cs="Times New Roman"/>
                <w:color w:val="000000"/>
                <w:sz w:val="24"/>
                <w:szCs w:val="24"/>
                <w:lang w:val="lt-LT"/>
              </w:rPr>
              <w:t>Perkančiajai organizacijai pareikalavus, tiekėjas privalo pateikti prekės/-</w:t>
            </w:r>
            <w:proofErr w:type="spellStart"/>
            <w:r w:rsidRPr="00AD53CB">
              <w:rPr>
                <w:rFonts w:ascii="Times New Roman" w:hAnsi="Times New Roman" w:cs="Times New Roman"/>
                <w:color w:val="000000"/>
                <w:sz w:val="24"/>
                <w:szCs w:val="24"/>
                <w:lang w:val="lt-LT"/>
              </w:rPr>
              <w:t>ių</w:t>
            </w:r>
            <w:proofErr w:type="spellEnd"/>
            <w:r w:rsidRPr="00AD53CB">
              <w:rPr>
                <w:rFonts w:ascii="Times New Roman" w:hAnsi="Times New Roman" w:cs="Times New Roman"/>
                <w:color w:val="000000"/>
                <w:sz w:val="24"/>
                <w:szCs w:val="24"/>
                <w:lang w:val="lt-LT"/>
              </w:rPr>
              <w:t xml:space="preserve"> pavyzdį/-</w:t>
            </w:r>
            <w:proofErr w:type="spellStart"/>
            <w:r w:rsidRPr="00AD53CB">
              <w:rPr>
                <w:rFonts w:ascii="Times New Roman" w:hAnsi="Times New Roman" w:cs="Times New Roman"/>
                <w:color w:val="000000"/>
                <w:sz w:val="24"/>
                <w:szCs w:val="24"/>
                <w:lang w:val="lt-LT"/>
              </w:rPr>
              <w:t>ius</w:t>
            </w:r>
            <w:proofErr w:type="spellEnd"/>
            <w:r w:rsidRPr="00AD53CB">
              <w:rPr>
                <w:rFonts w:ascii="Times New Roman" w:hAnsi="Times New Roman" w:cs="Times New Roman"/>
                <w:color w:val="000000"/>
                <w:sz w:val="24"/>
                <w:szCs w:val="24"/>
                <w:lang w:val="lt-LT"/>
              </w:rPr>
              <w:t>, neatlygintinai ir negrąžintinai.</w:t>
            </w: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7112D" w14:textId="77777777" w:rsidR="000C1E1E" w:rsidRDefault="000C1E1E" w:rsidP="00924920">
      <w:pPr>
        <w:spacing w:after="0" w:line="240" w:lineRule="auto"/>
      </w:pPr>
      <w:r>
        <w:separator/>
      </w:r>
    </w:p>
  </w:endnote>
  <w:endnote w:type="continuationSeparator" w:id="0">
    <w:p w14:paraId="33D27E45" w14:textId="77777777" w:rsidR="000C1E1E" w:rsidRDefault="000C1E1E"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6697F" w14:textId="77777777" w:rsidR="000C1E1E" w:rsidRDefault="000C1E1E" w:rsidP="00924920">
      <w:pPr>
        <w:spacing w:after="0" w:line="240" w:lineRule="auto"/>
      </w:pPr>
      <w:r>
        <w:separator/>
      </w:r>
    </w:p>
  </w:footnote>
  <w:footnote w:type="continuationSeparator" w:id="0">
    <w:p w14:paraId="63CA066A" w14:textId="77777777" w:rsidR="000C1E1E" w:rsidRDefault="000C1E1E"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190" w14:textId="2E34A44C" w:rsidR="00924920" w:rsidRDefault="00924920" w:rsidP="00924920">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1F36CC">
      <w:rPr>
        <w:rFonts w:ascii="Times New Roman" w:hAnsi="Times New Roman" w:cs="Times New Roman"/>
        <w:sz w:val="24"/>
        <w:szCs w:val="24"/>
        <w:lang w:val="lt-LT"/>
      </w:rPr>
      <w:t>4</w:t>
    </w:r>
  </w:p>
  <w:bookmarkEnd w:id="0"/>
  <w:p w14:paraId="7480C75A" w14:textId="77777777" w:rsidR="00924920" w:rsidRDefault="00924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16720"/>
    <w:rsid w:val="00045E86"/>
    <w:rsid w:val="000C1E1E"/>
    <w:rsid w:val="000E79CD"/>
    <w:rsid w:val="001E248E"/>
    <w:rsid w:val="001F36CC"/>
    <w:rsid w:val="00287910"/>
    <w:rsid w:val="003B045D"/>
    <w:rsid w:val="003F2D82"/>
    <w:rsid w:val="004375F0"/>
    <w:rsid w:val="00521511"/>
    <w:rsid w:val="00766139"/>
    <w:rsid w:val="00891C4D"/>
    <w:rsid w:val="00924920"/>
    <w:rsid w:val="00970A23"/>
    <w:rsid w:val="009D6800"/>
    <w:rsid w:val="00AD53CB"/>
    <w:rsid w:val="00B37428"/>
    <w:rsid w:val="00F2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2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10</cp:revision>
  <dcterms:created xsi:type="dcterms:W3CDTF">2021-02-17T12:01:00Z</dcterms:created>
  <dcterms:modified xsi:type="dcterms:W3CDTF">2021-02-19T08:12:00Z</dcterms:modified>
</cp:coreProperties>
</file>