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nustatyti Darbų užduotyje ir kiti darbai bei būtinos Sutarčiai atlikti paslaugos (jeigu yra), kuriuos pagal Sutartį privalo atlikti Rangovas.</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08045E87"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1B0693">
              <w:rPr>
                <w:b/>
                <w:bCs/>
                <w:szCs w:val="24"/>
                <w:lang w:eastAsia="lt-LT"/>
              </w:rPr>
              <w:t>7</w:t>
            </w:r>
            <w:r w:rsidRPr="00D66F1D">
              <w:rPr>
                <w:b/>
                <w:bCs/>
                <w:szCs w:val="24"/>
                <w:lang w:eastAsia="ar-SA"/>
              </w:rPr>
              <w:t xml:space="preserve"> (</w:t>
            </w:r>
            <w:r w:rsidR="001B0693">
              <w:rPr>
                <w:b/>
                <w:bCs/>
                <w:szCs w:val="24"/>
                <w:lang w:eastAsia="ar-SA"/>
              </w:rPr>
              <w:t>septyni</w:t>
            </w:r>
            <w:r w:rsidRPr="00D66F1D">
              <w:rPr>
                <w:b/>
                <w:bCs/>
                <w:szCs w:val="24"/>
                <w:lang w:eastAsia="ar-SA"/>
              </w:rPr>
              <w:t>) mėnesi</w:t>
            </w:r>
            <w:r w:rsidR="00D66F1D" w:rsidRPr="00D66F1D">
              <w:rPr>
                <w:b/>
                <w:bCs/>
                <w:szCs w:val="24"/>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r w:rsidRPr="00F2340C">
              <w:rPr>
                <w:b/>
                <w:bCs/>
                <w:szCs w:val="24"/>
                <w:lang w:eastAsia="ar-SA"/>
              </w:rPr>
              <w:t xml:space="preserve">  </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6942D1AB"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Darbus: </w:t>
            </w:r>
            <w:r w:rsidR="00555B8D" w:rsidRPr="008463EF">
              <w:rPr>
                <w:rFonts w:eastAsia="Calibri" w:cstheme="minorHAnsi"/>
                <w:b/>
                <w:bCs/>
                <w:color w:val="000000" w:themeColor="text1"/>
              </w:rPr>
              <w:t>Gyvenamosios paskirties pas</w:t>
            </w:r>
            <w:r w:rsidR="00D66F1D">
              <w:rPr>
                <w:rFonts w:eastAsia="Calibri" w:cstheme="minorHAnsi"/>
                <w:b/>
                <w:bCs/>
                <w:color w:val="000000" w:themeColor="text1"/>
              </w:rPr>
              <w:t>t</w:t>
            </w:r>
            <w:r w:rsidR="00555B8D" w:rsidRPr="008463EF">
              <w:rPr>
                <w:rFonts w:eastAsia="Calibri" w:cstheme="minorHAnsi"/>
                <w:b/>
                <w:bCs/>
                <w:color w:val="000000" w:themeColor="text1"/>
              </w:rPr>
              <w:t xml:space="preserve">ato, adresu Jaunimo g. 15, Kupiškis, Kupiškio rajono savivaldybei </w:t>
            </w:r>
            <w:r w:rsidR="00D66F1D">
              <w:rPr>
                <w:rFonts w:eastAsia="Calibri" w:cstheme="minorHAnsi"/>
                <w:b/>
                <w:bCs/>
                <w:color w:val="000000" w:themeColor="text1"/>
              </w:rPr>
              <w:t xml:space="preserve">nuosavybės teise </w:t>
            </w:r>
            <w:r w:rsidR="00555B8D" w:rsidRPr="008463EF">
              <w:rPr>
                <w:rFonts w:eastAsia="Calibri" w:cstheme="minorHAnsi"/>
                <w:b/>
                <w:bCs/>
                <w:color w:val="000000" w:themeColor="text1"/>
              </w:rPr>
              <w:t>priklausančių butų Nr. 1, 3, 4, 9 centralizuotos šildymo inžinerinės sistemos įrengim</w:t>
            </w:r>
            <w:r w:rsidR="00555B8D">
              <w:rPr>
                <w:rFonts w:eastAsia="Calibri" w:cstheme="minorHAnsi"/>
                <w:b/>
                <w:bCs/>
                <w:color w:val="000000" w:themeColor="text1"/>
              </w:rPr>
              <w:t>o darbus</w:t>
            </w:r>
            <w:r w:rsidRPr="006B5C78">
              <w:rPr>
                <w:b/>
                <w:bCs/>
                <w:szCs w:val="22"/>
                <w:lang w:eastAsia="lt-LT"/>
              </w:rPr>
              <w:t>,</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shd w:val="clear" w:color="auto" w:fill="auto"/>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09CC3276" w14:textId="77777777" w:rsidR="00D8137B"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79B8A1D8" w14:textId="77777777" w:rsidR="00D8137B" w:rsidRDefault="00D8137B" w:rsidP="00380255">
            <w:pPr>
              <w:widowControl w:val="0"/>
              <w:jc w:val="both"/>
              <w:rPr>
                <w:szCs w:val="22"/>
                <w:lang w:eastAsia="lt-LT"/>
              </w:rPr>
            </w:pPr>
          </w:p>
          <w:p w14:paraId="6F321270" w14:textId="77777777" w:rsidR="00D8137B" w:rsidRDefault="00D8137B" w:rsidP="00380255">
            <w:pPr>
              <w:widowControl w:val="0"/>
              <w:jc w:val="both"/>
              <w:rPr>
                <w:szCs w:val="22"/>
                <w:lang w:eastAsia="lt-LT"/>
              </w:rPr>
            </w:pPr>
          </w:p>
          <w:p w14:paraId="13B26D82" w14:textId="77777777" w:rsidR="00E3123F" w:rsidRDefault="00E3123F" w:rsidP="00380255">
            <w:pPr>
              <w:widowControl w:val="0"/>
              <w:jc w:val="both"/>
              <w:rPr>
                <w:szCs w:val="22"/>
                <w:lang w:eastAsia="lt-LT"/>
              </w:rPr>
            </w:pPr>
          </w:p>
          <w:p w14:paraId="3B25D886" w14:textId="77777777" w:rsidR="00E3123F" w:rsidRPr="006B5C78" w:rsidRDefault="00E3123F"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shd w:val="clear" w:color="auto" w:fill="auto"/>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shd w:val="clear" w:color="auto" w:fill="auto"/>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shd w:val="clear" w:color="auto" w:fill="auto"/>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shd w:val="clear" w:color="auto" w:fill="auto"/>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shd w:val="clear" w:color="auto" w:fill="auto"/>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shd w:val="clear" w:color="auto" w:fill="auto"/>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shd w:val="clear" w:color="auto" w:fill="auto"/>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shd w:val="clear" w:color="auto" w:fill="auto"/>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shd w:val="clear" w:color="auto" w:fill="auto"/>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shd w:val="clear" w:color="auto" w:fill="auto"/>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shd w:val="clear" w:color="auto" w:fill="auto"/>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shd w:val="clear" w:color="auto" w:fill="auto"/>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shd w:val="clear" w:color="auto" w:fill="auto"/>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shd w:val="clear" w:color="auto" w:fill="auto"/>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shd w:val="clear" w:color="auto" w:fill="auto"/>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shd w:val="clear" w:color="auto" w:fill="auto"/>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shd w:val="clear" w:color="auto" w:fill="auto"/>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shd w:val="clear" w:color="auto" w:fill="auto"/>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shd w:val="clear" w:color="auto" w:fill="auto"/>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shd w:val="clear" w:color="auto" w:fill="auto"/>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shd w:val="clear" w:color="auto" w:fill="auto"/>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shd w:val="clear" w:color="auto" w:fill="auto"/>
                </w:tcPr>
                <w:p w14:paraId="22DE634E" w14:textId="762B8206" w:rsidR="00D8137B" w:rsidRPr="002C2A6E" w:rsidRDefault="00EC27E3" w:rsidP="00380255">
                  <w:pPr>
                    <w:widowControl w:val="0"/>
                    <w:rPr>
                      <w:b/>
                      <w:bCs/>
                      <w:szCs w:val="22"/>
                      <w:lang w:eastAsia="lt-LT"/>
                    </w:rPr>
                  </w:pPr>
                  <w:r>
                    <w:rPr>
                      <w:b/>
                      <w:bCs/>
                      <w:szCs w:val="22"/>
                      <w:lang w:eastAsia="lt-LT"/>
                    </w:rPr>
                    <w:t>4</w:t>
                  </w:r>
                  <w:r w:rsidR="00D8137B" w:rsidRPr="002C2A6E">
                    <w:rPr>
                      <w:b/>
                      <w:bCs/>
                      <w:szCs w:val="22"/>
                      <w:lang w:eastAsia="lt-LT"/>
                    </w:rPr>
                    <w:t xml:space="preserve"> (</w:t>
                  </w:r>
                  <w:r>
                    <w:rPr>
                      <w:b/>
                      <w:bCs/>
                      <w:szCs w:val="22"/>
                      <w:lang w:eastAsia="lt-LT"/>
                    </w:rPr>
                    <w:t>keturi</w:t>
                  </w:r>
                  <w:r w:rsidR="00D8137B" w:rsidRPr="002C2A6E">
                    <w:rPr>
                      <w:b/>
                      <w:bCs/>
                      <w:szCs w:val="22"/>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shd w:val="clear" w:color="auto" w:fill="auto"/>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shd w:val="clear" w:color="auto" w:fill="auto"/>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shd w:val="clear" w:color="auto" w:fill="auto"/>
                </w:tcPr>
                <w:p w14:paraId="7C4CA1BC" w14:textId="77777777" w:rsidR="001B0693" w:rsidRDefault="001B0693" w:rsidP="001B0693">
                  <w:pPr>
                    <w:autoSpaceDE w:val="0"/>
                    <w:autoSpaceDN w:val="0"/>
                    <w:adjustRightInd w:val="0"/>
                    <w:rPr>
                      <w:rFonts w:ascii="TimesNewRomanPSMT" w:eastAsiaTheme="minorHAnsi" w:hAnsi="TimesNewRomanPSMT" w:cs="TimesNewRomanPSMT"/>
                      <w:sz w:val="22"/>
                      <w:szCs w:val="22"/>
                      <w14:ligatures w14:val="standardContextual"/>
                    </w:rPr>
                  </w:pPr>
                  <w:r>
                    <w:rPr>
                      <w:rFonts w:ascii="TimesNewRomanPSMT" w:eastAsiaTheme="minorHAnsi" w:hAnsi="TimesNewRomanPSMT" w:cs="TimesNewRomanPSMT"/>
                      <w:sz w:val="22"/>
                      <w:szCs w:val="22"/>
                      <w14:ligatures w14:val="standardContextual"/>
                    </w:rPr>
                    <w:t>Darbų atlikimo terminas gali būti pratęstas 2</w:t>
                  </w:r>
                </w:p>
                <w:p w14:paraId="22E5B63B" w14:textId="77777777" w:rsidR="001B0693" w:rsidRDefault="001B0693" w:rsidP="001B0693">
                  <w:pPr>
                    <w:autoSpaceDE w:val="0"/>
                    <w:autoSpaceDN w:val="0"/>
                    <w:adjustRightInd w:val="0"/>
                    <w:rPr>
                      <w:rFonts w:ascii="TimesNewRomanPSMT" w:eastAsiaTheme="minorHAnsi" w:hAnsi="TimesNewRomanPSMT" w:cs="TimesNewRomanPSMT"/>
                      <w:sz w:val="22"/>
                      <w:szCs w:val="22"/>
                      <w14:ligatures w14:val="standardContextual"/>
                    </w:rPr>
                  </w:pPr>
                  <w:r>
                    <w:rPr>
                      <w:rFonts w:ascii="TimesNewRomanPSMT" w:eastAsiaTheme="minorHAnsi" w:hAnsi="TimesNewRomanPSMT" w:cs="TimesNewRomanPSMT"/>
                      <w:sz w:val="22"/>
                      <w:szCs w:val="22"/>
                      <w14:ligatures w14:val="standardContextual"/>
                    </w:rPr>
                    <w:t>mėn. iki šildymo sezono pradžios, sistemos</w:t>
                  </w:r>
                </w:p>
                <w:p w14:paraId="7415DF30" w14:textId="618CB33F" w:rsidR="00D8137B" w:rsidRPr="00EC27E3" w:rsidRDefault="001B0693"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pajungimo patikrinimui.</w:t>
                  </w:r>
                </w:p>
              </w:tc>
            </w:tr>
            <w:tr w:rsidR="00D8137B" w:rsidRPr="006B5C78" w14:paraId="6F381DF9" w14:textId="77777777" w:rsidTr="00380255">
              <w:tc>
                <w:tcPr>
                  <w:tcW w:w="3577" w:type="dxa"/>
                  <w:shd w:val="clear" w:color="auto" w:fill="auto"/>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shd w:val="clear" w:color="auto" w:fill="auto"/>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shd w:val="clear" w:color="auto" w:fill="auto"/>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shd w:val="clear" w:color="auto" w:fill="auto"/>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shd w:val="clear" w:color="auto" w:fill="auto"/>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shd w:val="clear" w:color="auto" w:fill="auto"/>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shd w:val="clear" w:color="auto" w:fill="auto"/>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shd w:val="clear" w:color="auto" w:fill="auto"/>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shd w:val="clear" w:color="auto" w:fill="auto"/>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shd w:val="clear" w:color="auto" w:fill="auto"/>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shd w:val="clear" w:color="auto" w:fill="auto"/>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shd w:val="clear" w:color="auto" w:fill="auto"/>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shd w:val="clear" w:color="auto" w:fill="auto"/>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shd w:val="clear" w:color="auto" w:fill="auto"/>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shd w:val="clear" w:color="auto" w:fill="auto"/>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shd w:val="clear" w:color="auto" w:fill="auto"/>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shd w:val="clear" w:color="auto" w:fill="auto"/>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shd w:val="clear" w:color="auto" w:fill="auto"/>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shd w:val="clear" w:color="auto" w:fill="auto"/>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shd w:val="clear" w:color="auto" w:fill="auto"/>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shd w:val="clear" w:color="auto" w:fill="auto"/>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shd w:val="clear" w:color="auto" w:fill="auto"/>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shd w:val="clear" w:color="auto" w:fill="auto"/>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shd w:val="clear" w:color="auto" w:fill="auto"/>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shd w:val="clear" w:color="auto" w:fill="auto"/>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shd w:val="clear" w:color="auto" w:fill="auto"/>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shd w:val="clear" w:color="auto" w:fill="auto"/>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58386CC" w14:textId="77777777" w:rsidR="00D8137B" w:rsidRPr="006B5C78" w:rsidRDefault="00D8137B" w:rsidP="00380255">
            <w:pPr>
              <w:widowControl w:val="0"/>
              <w:jc w:val="both"/>
              <w:rPr>
                <w:szCs w:val="22"/>
                <w:lang w:eastAsia="lt-LT"/>
              </w:rPr>
            </w:pPr>
            <w:r w:rsidRPr="006B5C78">
              <w:rPr>
                <w:szCs w:val="22"/>
                <w:lang w:eastAsia="lt-LT"/>
              </w:rPr>
              <w:t>Rangovui tinkamai atlikus Darbus, Užsakovas privalo sumokėti Sutarties kainą.</w:t>
            </w: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77777777" w:rsidR="00D8137B" w:rsidRPr="006B5C78" w:rsidRDefault="00D8137B" w:rsidP="00380255">
            <w:pPr>
              <w:widowControl w:val="0"/>
              <w:jc w:val="both"/>
              <w:rPr>
                <w:szCs w:val="22"/>
                <w:lang w:eastAsia="lt-LT"/>
              </w:rPr>
            </w:pPr>
            <w:r w:rsidRPr="006B5C78">
              <w:rPr>
                <w:szCs w:val="22"/>
                <w:lang w:eastAsia="lt-LT"/>
              </w:rPr>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w:t>
            </w:r>
            <w:r w:rsidRPr="006B5C78">
              <w:rPr>
                <w:szCs w:val="22"/>
                <w:lang w:eastAsia="lt-LT"/>
              </w:rPr>
              <w:lastRenderedPageBreak/>
              <w:t>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02FF14FA" w14:textId="77777777" w:rsidR="00D8137B" w:rsidRPr="006B5C78" w:rsidRDefault="00D8137B"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77777777"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 xml:space="preserve">nuo Darbų pradžios. Rangovas iki Darbų atlikimo termino pabaigos privalo atlikti visus Darbus, įskaitant baigiamuosius bandymus (jeigu taikoma). Atliktų darbų atkavimas vykdomas </w:t>
            </w:r>
            <w:r w:rsidRPr="006B5C78">
              <w:rPr>
                <w:szCs w:val="24"/>
                <w:lang w:eastAsia="lt-LT"/>
              </w:rPr>
              <w:t>kas mėnesį arba 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77777777" w:rsidR="00D8137B" w:rsidRPr="006B5C78" w:rsidRDefault="00D8137B" w:rsidP="00380255">
            <w:pPr>
              <w:widowControl w:val="0"/>
              <w:jc w:val="both"/>
              <w:rPr>
                <w:szCs w:val="22"/>
                <w:lang w:eastAsia="lt-LT"/>
              </w:rPr>
            </w:pPr>
            <w:r w:rsidRPr="006B5C78">
              <w:rPr>
                <w:szCs w:val="22"/>
                <w:lang w:eastAsia="lt-LT"/>
              </w:rPr>
              <w:t xml:space="preserve">Aplinkybės, dėl kurių gali būti stabdomi darbai, yra: </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įskaitant ir baigiamuosius bandymus, kurių rezultatai yra teigiami,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3EE1E1E1" w14:textId="77777777" w:rsidR="00D8137B" w:rsidRPr="006B5C78" w:rsidRDefault="00D8137B" w:rsidP="00380255">
            <w:pPr>
              <w:widowControl w:val="0"/>
              <w:jc w:val="both"/>
              <w:rPr>
                <w:szCs w:val="22"/>
                <w:lang w:eastAsia="lt-LT"/>
              </w:rPr>
            </w:pPr>
            <w:r w:rsidRPr="006B5C78">
              <w:rPr>
                <w:szCs w:val="22"/>
                <w:lang w:eastAsia="lt-LT"/>
              </w:rPr>
              <w:t xml:space="preserve">Rangovas, užbaigęs Darbus, bei, jeigu reikia, atlikęs baigiamuosius bandymus, su prašymu dėl Darbų perdavimo-priėmimo raštu privalo kreiptis į Užsakovą kartu pateikdamas atliktų statybos darbų perdavimo Užsakovui aktą. </w:t>
            </w:r>
          </w:p>
          <w:p w14:paraId="7AA35A60" w14:textId="77777777" w:rsidR="00D8137B" w:rsidRPr="006B5C78" w:rsidRDefault="00D8137B" w:rsidP="00380255">
            <w:pPr>
              <w:widowControl w:val="0"/>
              <w:jc w:val="both"/>
              <w:rPr>
                <w:szCs w:val="22"/>
                <w:lang w:eastAsia="lt-LT"/>
              </w:rPr>
            </w:pPr>
            <w:r w:rsidRPr="006B5C78">
              <w:rPr>
                <w:szCs w:val="22"/>
                <w:lang w:eastAsia="lt-LT"/>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61C36D" w14:textId="77777777" w:rsidR="00D8137B"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7F931D70" w14:textId="77777777" w:rsidR="00D8137B" w:rsidRPr="006B5C78" w:rsidRDefault="00D8137B"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 xml:space="preserve">išankstinio mokėjimo suma yra jame nurodytas dydis. Rangovui sumokėtas išankstinis mokėjimas turi būti grąžintas darant atsiskaitymus nuo kiekvieno </w:t>
            </w:r>
            <w:r w:rsidRPr="006B5C78">
              <w:rPr>
                <w:szCs w:val="22"/>
                <w:lang w:eastAsia="lt-LT"/>
              </w:rPr>
              <w:lastRenderedPageBreak/>
              <w:t>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B5C78" w:rsidRDefault="00D8137B" w:rsidP="00380255">
            <w:pPr>
              <w:widowControl w:val="0"/>
              <w:jc w:val="both"/>
              <w:rPr>
                <w:szCs w:val="22"/>
                <w:lang w:eastAsia="lt-LT"/>
              </w:rPr>
            </w:pPr>
            <w:r w:rsidRPr="006B5C78">
              <w:rPr>
                <w:szCs w:val="22"/>
                <w:lang w:eastAsia="lt-LT"/>
              </w:rPr>
              <w:t xml:space="preserve">Apmokėjimo už tinkamai pagal Sutartį atliktus Darbus sumai nustatyti turi būti taikomos </w:t>
            </w:r>
            <w:r>
              <w:rPr>
                <w:szCs w:val="22"/>
                <w:lang w:eastAsia="lt-LT"/>
              </w:rPr>
              <w:t>Darbų kiekių žiniaraštyje</w:t>
            </w:r>
            <w:r w:rsidRPr="006B5C78">
              <w:rPr>
                <w:szCs w:val="22"/>
                <w:lang w:eastAsia="lt-LT"/>
              </w:rPr>
              <w:t xml:space="preserve"> nurodytos fiksuotos Darbų grupių (etapų) kainos.</w:t>
            </w:r>
          </w:p>
          <w:p w14:paraId="243BCBAC" w14:textId="77777777" w:rsidR="00D8137B" w:rsidRPr="006B5C78" w:rsidRDefault="00D8137B" w:rsidP="00380255">
            <w:pPr>
              <w:widowControl w:val="0"/>
              <w:jc w:val="both"/>
              <w:rPr>
                <w:szCs w:val="22"/>
                <w:lang w:eastAsia="lt-LT"/>
              </w:rPr>
            </w:pPr>
            <w:r>
              <w:rPr>
                <w:szCs w:val="22"/>
                <w:lang w:eastAsia="lt-LT"/>
              </w:rPr>
              <w:t>Darbų kiekių žiniaraštyje</w:t>
            </w:r>
            <w:r w:rsidRPr="006B5C78">
              <w:rPr>
                <w:szCs w:val="22"/>
                <w:lang w:eastAsia="lt-LT"/>
              </w:rPr>
              <w:t xml:space="preserv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w:t>
            </w:r>
            <w:r>
              <w:rPr>
                <w:szCs w:val="22"/>
                <w:lang w:eastAsia="lt-LT"/>
              </w:rPr>
              <w:t>Darbų kiekių žiniaraštyje</w:t>
            </w:r>
            <w:r w:rsidRPr="006B5C78">
              <w:rPr>
                <w:szCs w:val="22"/>
                <w:lang w:eastAsia="lt-LT"/>
              </w:rPr>
              <w:t xml:space="preserv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B5C78" w:rsidRDefault="00D8137B" w:rsidP="00380255">
            <w:pPr>
              <w:widowControl w:val="0"/>
              <w:jc w:val="both"/>
              <w:rPr>
                <w:szCs w:val="22"/>
                <w:lang w:eastAsia="lt-LT"/>
              </w:rPr>
            </w:pPr>
            <w:r w:rsidRPr="006B5C78">
              <w:rPr>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B5C78" w:rsidRDefault="00D8137B" w:rsidP="00D8137B">
            <w:pPr>
              <w:widowControl w:val="0"/>
              <w:numPr>
                <w:ilvl w:val="0"/>
                <w:numId w:val="25"/>
              </w:numPr>
              <w:ind w:left="851" w:hanging="567"/>
              <w:jc w:val="both"/>
              <w:rPr>
                <w:szCs w:val="22"/>
                <w:lang w:eastAsia="lt-LT"/>
              </w:rPr>
            </w:pPr>
            <w:r w:rsidRPr="006B5C78">
              <w:rPr>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284668" w:rsidRDefault="00D8137B" w:rsidP="00D8137B">
            <w:pPr>
              <w:widowControl w:val="0"/>
              <w:numPr>
                <w:ilvl w:val="0"/>
                <w:numId w:val="25"/>
              </w:numPr>
              <w:ind w:left="851" w:hanging="567"/>
              <w:jc w:val="both"/>
              <w:rPr>
                <w:szCs w:val="22"/>
                <w:lang w:eastAsia="lt-LT"/>
              </w:rPr>
            </w:pPr>
            <w:r w:rsidRPr="006B5C78">
              <w:rPr>
                <w:szCs w:val="22"/>
                <w:lang w:eastAsia="lt-LT"/>
              </w:rPr>
              <w:t xml:space="preserve">Rangovas pagal Sutartį neatliko arba neatlieka kokio nors Darbo arba įsipareigojimo, apie kurį jam atitinkamai buvo pranešęs Užsakovas. Tokiu atveju Užsakovas gali reikalauti Rangovo pateikti pakoreguotus mokėjimo dokumentus, atitinkamai </w:t>
            </w:r>
            <w:r w:rsidRPr="00284668">
              <w:rPr>
                <w:szCs w:val="22"/>
                <w:lang w:eastAsia="lt-LT"/>
              </w:rPr>
              <w:t>sumažinant tarpinio mokėjimo sumą to Darbo arba įsipareigojimo verte.</w:t>
            </w:r>
          </w:p>
          <w:p w14:paraId="30D8094C" w14:textId="2B16C58B" w:rsidR="00C179C1" w:rsidRPr="00284668" w:rsidRDefault="00C179C1" w:rsidP="00D8137B">
            <w:pPr>
              <w:widowControl w:val="0"/>
              <w:numPr>
                <w:ilvl w:val="0"/>
                <w:numId w:val="25"/>
              </w:numPr>
              <w:ind w:left="851" w:hanging="567"/>
              <w:jc w:val="both"/>
              <w:rPr>
                <w:szCs w:val="22"/>
                <w:lang w:eastAsia="lt-LT"/>
              </w:rPr>
            </w:pPr>
            <w:bookmarkStart w:id="1" w:name="_Hlk499109882"/>
            <w:bookmarkStart w:id="2" w:name="_Hlk153868650"/>
            <w:r w:rsidRPr="00284668">
              <w:rPr>
                <w:sz w:val="22"/>
                <w:szCs w:val="22"/>
                <w:bdr w:val="nil"/>
              </w:rPr>
              <w:t xml:space="preserve">Vykdant Sutartį, sąskaitos faktūros, kreditiniai ir debetiniai dokumentai bei avansinės sąskaitos turi būti teikiamos naudojantis </w:t>
            </w:r>
            <w:bookmarkEnd w:id="1"/>
            <w:r w:rsidRPr="00284668">
              <w:rPr>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284668">
              <w:rPr>
                <w:sz w:val="22"/>
                <w:szCs w:val="22"/>
                <w:bdr w:val="nil"/>
              </w:rPr>
              <w:t>.</w:t>
            </w:r>
          </w:p>
          <w:p w14:paraId="10C0EF2F" w14:textId="77777777" w:rsidR="00D8137B" w:rsidRPr="006B5C78" w:rsidRDefault="00D8137B" w:rsidP="00380255">
            <w:pPr>
              <w:widowControl w:val="0"/>
              <w:jc w:val="both"/>
              <w:rPr>
                <w:szCs w:val="22"/>
                <w:lang w:eastAsia="lt-LT"/>
              </w:rPr>
            </w:pPr>
            <w:r w:rsidRPr="006B5C78">
              <w:rPr>
                <w:szCs w:val="22"/>
                <w:lang w:eastAsia="lt-LT"/>
              </w:rPr>
              <w:t xml:space="preserve">Kiekvieno tarpinio mokėjimo suma sumažinama atėmus 3.4 papunktyje nurodytą sulaikymo dydį. </w:t>
            </w:r>
          </w:p>
          <w:p w14:paraId="54A4A914" w14:textId="77777777" w:rsidR="00D8137B" w:rsidRPr="006B5C78" w:rsidRDefault="00D8137B" w:rsidP="00380255">
            <w:pPr>
              <w:widowControl w:val="0"/>
              <w:jc w:val="both"/>
              <w:rPr>
                <w:szCs w:val="22"/>
                <w:lang w:eastAsia="lt-LT"/>
              </w:rPr>
            </w:pPr>
            <w:r w:rsidRPr="006B5C78">
              <w:rPr>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8134611"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08134612"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08134613"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08134614"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08134615"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shd w:val="clear" w:color="auto" w:fill="auto"/>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shd w:val="clear" w:color="auto" w:fill="auto"/>
          </w:tcPr>
          <w:p w14:paraId="074B6671" w14:textId="77777777" w:rsidR="00D8137B" w:rsidRPr="007140C9" w:rsidRDefault="00D8137B" w:rsidP="00380255">
            <w:pPr>
              <w:widowControl w:val="0"/>
              <w:jc w:val="both"/>
              <w:rPr>
                <w:szCs w:val="24"/>
                <w:lang w:eastAsia="lt-LT"/>
              </w:rPr>
            </w:pPr>
            <w:r w:rsidRPr="007140C9">
              <w:rPr>
                <w:color w:val="000000"/>
                <w:spacing w:val="-3"/>
                <w:szCs w:val="24"/>
                <w:lang w:eastAsia="lt-LT"/>
              </w:rPr>
              <w:t xml:space="preserve">Užsakovas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shd w:val="clear" w:color="auto" w:fill="auto"/>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shd w:val="clear" w:color="auto" w:fill="auto"/>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7777777"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shd w:val="clear" w:color="auto" w:fill="auto"/>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shd w:val="clear" w:color="auto" w:fill="auto"/>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shd w:val="clear" w:color="auto" w:fill="auto"/>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shd w:val="clear" w:color="auto" w:fill="auto"/>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shd w:val="clear" w:color="auto" w:fill="auto"/>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shd w:val="clear" w:color="auto" w:fill="auto"/>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shd w:val="clear" w:color="auto" w:fill="auto"/>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C36E2"/>
    <w:rsid w:val="001B0693"/>
    <w:rsid w:val="00241D85"/>
    <w:rsid w:val="00284668"/>
    <w:rsid w:val="002C2A6E"/>
    <w:rsid w:val="002C2E85"/>
    <w:rsid w:val="0030166F"/>
    <w:rsid w:val="00422844"/>
    <w:rsid w:val="004B0D0F"/>
    <w:rsid w:val="00555B8D"/>
    <w:rsid w:val="0057406F"/>
    <w:rsid w:val="006B0B81"/>
    <w:rsid w:val="008656F7"/>
    <w:rsid w:val="00A44449"/>
    <w:rsid w:val="00BE2222"/>
    <w:rsid w:val="00C179C1"/>
    <w:rsid w:val="00CE595B"/>
    <w:rsid w:val="00D66F1D"/>
    <w:rsid w:val="00D8137B"/>
    <w:rsid w:val="00DF5F7B"/>
    <w:rsid w:val="00E3123F"/>
    <w:rsid w:val="00E92696"/>
    <w:rsid w:val="00EC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32279</Words>
  <Characters>18400</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Rita Meškienė</cp:lastModifiedBy>
  <cp:revision>13</cp:revision>
  <dcterms:created xsi:type="dcterms:W3CDTF">2025-01-14T15:48:00Z</dcterms:created>
  <dcterms:modified xsi:type="dcterms:W3CDTF">2025-05-07T11:50:00Z</dcterms:modified>
</cp:coreProperties>
</file>